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gif" ContentType="image/gif"/>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bottom w:val="double" w:sz="4" w:space="1" w:color="000000"/>
        </w:pBdr>
        <w:bidi w:val="0"/>
        <w:jc w:val="left"/>
        <w:rPr/>
      </w:pPr>
      <w:bookmarkStart w:id="0" w:name="fmao-20260727.htm"/>
      <w:bookmarkStart w:id="1" w:name="ksfmao20260727"/>
      <w:bookmarkEnd w:id="0"/>
      <w:bookmarkEnd w:id="1"/>
      <w:r>
        <w:rPr/>
        <w:t> </w:t>
      </w:r>
    </w:p>
    <w:p>
      <w:pPr>
        <w:pStyle w:val="TextBody"/>
        <w:bidi w:val="0"/>
        <w:spacing w:before="80" w:after="283"/>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4" w:space="1" w:color="000000"/>
        </w:pBdr>
        <w:bidi w:val="0"/>
        <w:jc w:val="center"/>
        <w:rPr/>
      </w:pPr>
      <w:r>
        <w:rPr/>
        <w:t> </w:t>
      </w:r>
    </w:p>
    <w:p>
      <w:pPr>
        <w:pStyle w:val="TextBody"/>
        <w:bidi w:val="0"/>
        <w:spacing w:before="120" w:after="283"/>
        <w:jc w:val="center"/>
        <w:rPr>
          <w:rFonts w:ascii="Times New Roman" w:hAnsi="Times New Roman"/>
          <w:b/>
          <w:color w:val="000000"/>
          <w:sz w:val="36"/>
        </w:rPr>
      </w:pPr>
      <w:r>
        <w:rPr>
          <w:rFonts w:ascii="Times New Roman" w:hAnsi="Times New Roman"/>
          <w:b/>
          <w:color w:val="000000"/>
          <w:sz w:val="36"/>
        </w:rPr>
        <w:t>FORM 8-K</w:t>
      </w:r>
    </w:p>
    <w:p>
      <w:pPr>
        <w:pStyle w:val="TextBody"/>
        <w:pBdr>
          <w:bottom w:val="single" w:sz="4" w:space="1" w:color="000000"/>
        </w:pBdr>
        <w:bidi w:val="0"/>
        <w:jc w:val="center"/>
        <w:rPr/>
      </w:pPr>
      <w:r>
        <w:rPr/>
        <w:t> </w:t>
      </w:r>
    </w:p>
    <w:p>
      <w:pPr>
        <w:pStyle w:val="TextBody"/>
        <w:bidi w:val="0"/>
        <w:spacing w:before="120" w:after="283"/>
        <w:jc w:val="center"/>
        <w:rPr>
          <w:rFonts w:ascii="Times New Roman" w:hAnsi="Times New Roman"/>
          <w:sz w:val="20"/>
        </w:rPr>
      </w:pPr>
      <w:r>
        <w:rPr>
          <w:rFonts w:ascii="Times New Roman" w:hAnsi="Times New Roman"/>
          <w:b/>
          <w:color w:val="000000"/>
          <w:sz w:val="24"/>
        </w:rPr>
        <w:t xml:space="preserve">CURRENT REPORT </w:t>
      </w:r>
      <w:r>
        <w:rPr>
          <w:rFonts w:ascii="Times New Roman" w:hAnsi="Times New Roman"/>
          <w:b/>
          <w:caps/>
          <w:color w:val="000000"/>
          <w:sz w:val="24"/>
        </w:rPr>
        <w:t>Pursuant</w:t>
      </w:r>
    </w:p>
    <w:p>
      <w:pPr>
        <w:pStyle w:val="TextBody"/>
        <w:bidi w:val="0"/>
        <w:jc w:val="center"/>
        <w:rPr>
          <w:rFonts w:ascii="Times New Roman" w:hAnsi="Times New Roman"/>
          <w:sz w:val="20"/>
        </w:rPr>
      </w:pPr>
      <w:r>
        <w:rPr>
          <w:rFonts w:ascii="Times New Roman" w:hAnsi="Times New Roman"/>
          <w:b/>
          <w:caps/>
          <w:color w:val="000000"/>
          <w:sz w:val="24"/>
        </w:rPr>
        <w:t>to Section 13 or 15(</w:t>
      </w:r>
      <w:r>
        <w:rPr>
          <w:rFonts w:ascii="Times New Roman" w:hAnsi="Times New Roman"/>
          <w:b/>
          <w:color w:val="000000"/>
          <w:sz w:val="24"/>
        </w:rPr>
        <w:t>d</w:t>
      </w:r>
      <w:r>
        <w:rPr>
          <w:rFonts w:ascii="Times New Roman" w:hAnsi="Times New Roman"/>
          <w:b/>
          <w:caps/>
          <w:color w:val="000000"/>
          <w:sz w:val="24"/>
        </w:rPr>
        <w:t>) of the</w:t>
      </w:r>
    </w:p>
    <w:p>
      <w:pPr>
        <w:pStyle w:val="TextBody"/>
        <w:bidi w:val="0"/>
        <w:jc w:val="center"/>
        <w:rPr>
          <w:rFonts w:ascii="Times New Roman" w:hAnsi="Times New Roman"/>
          <w:b/>
          <w:caps/>
          <w:color w:val="000000"/>
          <w:sz w:val="24"/>
        </w:rPr>
      </w:pPr>
      <w:r>
        <w:rPr>
          <w:rFonts w:ascii="Times New Roman" w:hAnsi="Times New Roman"/>
          <w:b/>
          <w:caps/>
          <w:color w:val="000000"/>
          <w:sz w:val="24"/>
        </w:rPr>
        <w:t>Securities Exchange Act of 1934</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Date of Report (Date of earliest event reported) July 27, 2026</w:t>
      </w:r>
    </w:p>
    <w:p>
      <w:pPr>
        <w:pStyle w:val="TextBody"/>
        <w:pBdr>
          <w:bottom w:val="single" w:sz="4" w:space="1" w:color="000000"/>
        </w:pBdr>
        <w:bidi w:val="0"/>
        <w:jc w:val="center"/>
        <w:rPr/>
      </w:pPr>
      <w:r>
        <w:rPr/>
        <w:t> </w:t>
      </w:r>
    </w:p>
    <w:p>
      <w:pPr>
        <w:pStyle w:val="TextBody"/>
        <w:bidi w:val="0"/>
        <w:spacing w:before="120" w:after="283"/>
        <w:jc w:val="center"/>
        <w:rPr>
          <w:rFonts w:ascii="Times New Roman" w:hAnsi="Times New Roman"/>
          <w:b/>
          <w:color w:val="000000"/>
          <w:sz w:val="48"/>
        </w:rPr>
      </w:pPr>
      <w:r>
        <w:rPr>
          <w:rFonts w:ascii="Times New Roman" w:hAnsi="Times New Roman"/>
          <w:b/>
          <w:color w:val="000000"/>
          <w:sz w:val="48"/>
        </w:rPr>
        <w:t>Farmers &amp; Merchants Bancorp, Inc.</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pBdr>
          <w:bottom w:val="single" w:sz="4" w:space="1" w:color="000000"/>
        </w:pBdr>
        <w:bidi w:val="0"/>
        <w:jc w:val="center"/>
        <w:rPr/>
      </w:pPr>
      <w:r>
        <w:rPr/>
        <w:t> </w:t>
      </w:r>
    </w:p>
    <w:p>
      <w:pPr>
        <w:pStyle w:val="TextBody"/>
        <w:bidi w:val="0"/>
        <w:jc w:val="left"/>
        <w:rPr/>
      </w:pPr>
      <w:r>
        <w:rPr/>
        <w:t> </w:t>
      </w:r>
    </w:p>
    <w:tbl>
      <w:tblPr>
        <w:tblW w:w="4698" w:type="dxa"/>
        <w:jc w:val="left"/>
        <w:tblInd w:w="0" w:type="dxa"/>
        <w:tblLayout w:type="fixed"/>
        <w:tblCellMar>
          <w:top w:w="28" w:type="dxa"/>
          <w:left w:w="28" w:type="dxa"/>
          <w:bottom w:w="28" w:type="dxa"/>
          <w:right w:w="28" w:type="dxa"/>
        </w:tblCellMar>
      </w:tblPr>
      <w:tblGrid>
        <w:gridCol w:w="2146"/>
        <w:gridCol w:w="1066"/>
        <w:gridCol w:w="1486"/>
      </w:tblGrid>
      <w:tr>
        <w:trPr/>
        <w:tc>
          <w:tcPr>
            <w:tcW w:w="214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21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Ohio</w:t>
            </w:r>
          </w:p>
        </w:tc>
        <w:tc>
          <w:tcPr>
            <w:tcW w:w="10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001-38084</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34-1469491</w:t>
            </w:r>
          </w:p>
        </w:tc>
      </w:tr>
      <w:tr>
        <w:trPr/>
        <w:tc>
          <w:tcPr>
            <w:tcW w:w="21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(State or Other Jurisdiction</w:t>
            </w:r>
          </w:p>
        </w:tc>
        <w:tc>
          <w:tcPr>
            <w:tcW w:w="10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(Commission</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(IRS Employer</w:t>
            </w:r>
          </w:p>
        </w:tc>
      </w:tr>
      <w:tr>
        <w:trPr/>
        <w:tc>
          <w:tcPr>
            <w:tcW w:w="21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of Incorporation)</w:t>
            </w:r>
          </w:p>
        </w:tc>
        <w:tc>
          <w:tcPr>
            <w:tcW w:w="10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File Number)</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Identification No.)</w:t>
            </w:r>
          </w:p>
        </w:tc>
      </w:tr>
    </w:tbl>
    <w:p>
      <w:pPr>
        <w:pStyle w:val="TextBody"/>
        <w:bidi w:val="0"/>
        <w:jc w:val="left"/>
        <w:rPr/>
      </w:pPr>
      <w:r>
        <w:rPr/>
        <w:t> </w:t>
      </w:r>
    </w:p>
    <w:tbl>
      <w:tblPr>
        <w:tblW w:w="4622" w:type="dxa"/>
        <w:jc w:val="left"/>
        <w:tblInd w:w="0" w:type="dxa"/>
        <w:tblLayout w:type="fixed"/>
        <w:tblCellMar>
          <w:top w:w="28" w:type="dxa"/>
          <w:left w:w="28" w:type="dxa"/>
          <w:bottom w:w="28" w:type="dxa"/>
          <w:right w:w="28" w:type="dxa"/>
        </w:tblCellMar>
      </w:tblPr>
      <w:tblGrid>
        <w:gridCol w:w="3691"/>
        <w:gridCol w:w="931"/>
      </w:tblGrid>
      <w:tr>
        <w:trPr/>
        <w:tc>
          <w:tcPr>
            <w:tcW w:w="369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r>
      <w:tr>
        <w:trPr/>
        <w:tc>
          <w:tcPr>
            <w:tcW w:w="36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307 North Defiance Street, Archbold, Ohio</w:t>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43502</w:t>
            </w:r>
          </w:p>
        </w:tc>
      </w:tr>
      <w:tr>
        <w:trPr/>
        <w:tc>
          <w:tcPr>
            <w:tcW w:w="36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(Address of Principal Executive Offices)</w:t>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(Zip Code)</w:t>
            </w:r>
          </w:p>
        </w:tc>
      </w:tr>
    </w:tbl>
    <w:p>
      <w:pPr>
        <w:pStyle w:val="TextBody"/>
        <w:bidi w:val="0"/>
        <w:spacing w:before="200" w:after="283"/>
        <w:jc w:val="center"/>
        <w:rPr>
          <w:rFonts w:ascii="Times New Roman" w:hAnsi="Times New Roman"/>
          <w:sz w:val="20"/>
        </w:rPr>
      </w:pPr>
      <w:r>
        <w:rPr>
          <w:rFonts w:ascii="Times New Roman" w:hAnsi="Times New Roman"/>
          <w:b/>
          <w:color w:val="000000"/>
          <w:sz w:val="20"/>
        </w:rPr>
        <w:t>Registrant's Telephone Number, including Area Code (419)</w:t>
      </w:r>
      <w:r>
        <w:rPr>
          <w:rFonts w:ascii="Times New Roman" w:hAnsi="Times New Roman"/>
          <w:color w:val="000000"/>
          <w:sz w:val="20"/>
        </w:rPr>
        <w:t xml:space="preserve"> </w:t>
      </w:r>
      <w:r>
        <w:rPr>
          <w:rFonts w:ascii="Times New Roman" w:hAnsi="Times New Roman"/>
          <w:b/>
          <w:color w:val="000000"/>
          <w:sz w:val="20"/>
        </w:rPr>
        <w:t>446-2501</w:t>
      </w:r>
    </w:p>
    <w:p>
      <w:pPr>
        <w:pStyle w:val="TextBody"/>
        <w:bidi w:val="0"/>
        <w:spacing w:before="200" w:after="283"/>
        <w:jc w:val="center"/>
        <w:rPr>
          <w:rFonts w:ascii="Times New Roman" w:hAnsi="Times New Roman"/>
          <w:b/>
          <w:color w:val="000000"/>
          <w:sz w:val="20"/>
        </w:rPr>
      </w:pPr>
      <w:r>
        <w:rPr>
          <w:rFonts w:ascii="Times New Roman" w:hAnsi="Times New Roman"/>
          <w:b/>
          <w:color w:val="000000"/>
          <w:sz w:val="20"/>
        </w:rPr>
        <w:t>N/A</w:t>
      </w:r>
    </w:p>
    <w:p>
      <w:pPr>
        <w:pStyle w:val="TextBody"/>
        <w:bidi w:val="0"/>
        <w:jc w:val="center"/>
        <w:rPr>
          <w:rFonts w:ascii="Times New Roman" w:hAnsi="Times New Roman"/>
          <w:b/>
          <w:color w:val="000000"/>
          <w:sz w:val="16"/>
        </w:rPr>
      </w:pPr>
      <w:r>
        <w:rPr>
          <w:rFonts w:ascii="Times New Roman" w:hAnsi="Times New Roman"/>
          <w:b/>
          <w:color w:val="000000"/>
          <w:sz w:val="16"/>
        </w:rPr>
        <w:t>(Former Name or Former Address, if Changed Since Last Report)</w:t>
      </w:r>
    </w:p>
    <w:p>
      <w:pPr>
        <w:pStyle w:val="TextBody"/>
        <w:pBdr>
          <w:bottom w:val="single" w:sz="4" w:space="1" w:color="000000"/>
        </w:pBdr>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18"/>
        </w:rPr>
      </w:pPr>
      <w:r>
        <w:rPr>
          <w:rFonts w:ascii="Times New Roman" w:hAnsi="Times New Roman"/>
          <w:color w:val="000000"/>
          <w:sz w:val="18"/>
        </w:rPr>
        <w:t>Securities registered pursuant to Section 12(b) of the Act:</w:t>
      </w:r>
    </w:p>
    <w:tbl>
      <w:tblPr>
        <w:tblW w:w="5778" w:type="dxa"/>
        <w:jc w:val="left"/>
        <w:tblInd w:w="0" w:type="dxa"/>
        <w:tblLayout w:type="fixed"/>
        <w:tblCellMar>
          <w:top w:w="28" w:type="dxa"/>
          <w:left w:w="28" w:type="dxa"/>
          <w:bottom w:w="28" w:type="dxa"/>
          <w:right w:w="28" w:type="dxa"/>
        </w:tblCellMar>
      </w:tblPr>
      <w:tblGrid>
        <w:gridCol w:w="2296"/>
        <w:gridCol w:w="1456"/>
        <w:gridCol w:w="2026"/>
      </w:tblGrid>
      <w:tr>
        <w:trPr/>
        <w:tc>
          <w:tcPr>
            <w:tcW w:w="229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r>
      <w:tr>
        <w:trPr/>
        <w:tc>
          <w:tcPr>
            <w:tcW w:w="2296"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Title of each class</w:t>
            </w:r>
          </w:p>
        </w:tc>
        <w:tc>
          <w:tcPr>
            <w:tcW w:w="1456" w:type="dxa"/>
            <w:tcBorders>
              <w:top w:val="single" w:sz="4" w:space="0" w:color="000000"/>
              <w:bottom w:val="single" w:sz="4" w:space="0" w:color="000000"/>
              <w:right w:val="single" w:sz="4" w:space="0" w:color="000000"/>
            </w:tcBorders>
            <w:tcMar>
              <w:left w:w="0" w:type="dxa"/>
              <w:right w:w="115"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Trading Symbol(s)</w:t>
            </w:r>
          </w:p>
        </w:tc>
        <w:tc>
          <w:tcPr>
            <w:tcW w:w="2026" w:type="dxa"/>
            <w:tcBorders>
              <w:top w:val="single" w:sz="4" w:space="0" w:color="000000"/>
              <w:bottom w:val="single" w:sz="4" w:space="0" w:color="000000"/>
              <w:right w:val="single" w:sz="4" w:space="0" w:color="000000"/>
            </w:tcBorders>
            <w:tcMar>
              <w:left w:w="0" w:type="dxa"/>
              <w:right w:w="115"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Name of Each Exchange</w:t>
            </w:r>
          </w:p>
        </w:tc>
      </w:tr>
      <w:tr>
        <w:trPr/>
        <w:tc>
          <w:tcPr>
            <w:tcW w:w="2296"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Common Stock, No Par Value</w:t>
            </w:r>
          </w:p>
        </w:tc>
        <w:tc>
          <w:tcPr>
            <w:tcW w:w="145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FMAO</w:t>
            </w:r>
          </w:p>
        </w:tc>
        <w:tc>
          <w:tcPr>
            <w:tcW w:w="202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18"/>
              </w:rPr>
              <w:t>NASDAQ</w:t>
            </w:r>
            <w:r>
              <w:rPr>
                <w:rFonts w:ascii="Times New Roman" w:hAnsi="Times New Roman"/>
                <w:color w:val="000000"/>
                <w:sz w:val="20"/>
              </w:rPr>
              <w:t> </w:t>
            </w:r>
            <w:r>
              <w:rPr>
                <w:rFonts w:ascii="Times New Roman" w:hAnsi="Times New Roman"/>
                <w:color w:val="000000"/>
                <w:sz w:val="18"/>
              </w:rPr>
              <w:t>Capital Market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80" w:after="283"/>
        <w:jc w:val="left"/>
        <w:rPr/>
      </w:pPr>
      <w:r>
        <w:rPr>
          <w:color w:val="000000"/>
        </w:rPr>
        <w:t xml:space="preserve">☐ </w:t>
      </w:r>
      <w:r>
        <w:rPr>
          <w:rFonts w:ascii="Times New Roman" w:hAnsi="Times New Roman"/>
          <w:color w:val="000000"/>
          <w:sz w:val="20"/>
        </w:rPr>
        <w:t>Written communications pursuant to Rule 425 under the Securities Act (17 CFR 230.425)</w:t>
      </w:r>
    </w:p>
    <w:p>
      <w:pPr>
        <w:pStyle w:val="TextBody"/>
        <w:bidi w:val="0"/>
        <w:spacing w:before="80" w:after="283"/>
        <w:jc w:val="left"/>
        <w:rPr/>
      </w:pPr>
      <w:r>
        <w:rPr>
          <w:color w:val="000000"/>
        </w:rPr>
        <w:t xml:space="preserve">☐ </w:t>
      </w:r>
      <w:r>
        <w:rPr>
          <w:rFonts w:ascii="Times New Roman" w:hAnsi="Times New Roman"/>
          <w:color w:val="000000"/>
          <w:sz w:val="20"/>
        </w:rPr>
        <w:t>Soliciting material pursuant to Rule 14a-12 under the Exchange Act (17 CFR 240.14a-12)</w:t>
      </w:r>
    </w:p>
    <w:p>
      <w:pPr>
        <w:pStyle w:val="TextBody"/>
        <w:bidi w:val="0"/>
        <w:spacing w:before="80" w:after="283"/>
        <w:jc w:val="left"/>
        <w:rPr/>
      </w:pPr>
      <w:r>
        <w:rPr>
          <w:color w:val="000000"/>
        </w:rPr>
        <w:t xml:space="preserve">☐ </w:t>
      </w:r>
      <w:r>
        <w:rPr>
          <w:rFonts w:ascii="Times New Roman" w:hAnsi="Times New Roman"/>
          <w:color w:val="000000"/>
          <w:sz w:val="20"/>
        </w:rPr>
        <w:t>Pre-commencement communications pursuant to Rule 14d-2(b) under the Exchange Act (17 CFR 240.14d-2(b))</w:t>
      </w:r>
    </w:p>
    <w:p>
      <w:pPr>
        <w:pStyle w:val="TextBody"/>
        <w:bidi w:val="0"/>
        <w:spacing w:before="80" w:after="283"/>
        <w:jc w:val="left"/>
        <w:rPr/>
      </w:pPr>
      <w:r>
        <w:rPr>
          <w:color w:val="000000"/>
        </w:rPr>
        <w:t xml:space="preserve">☐ </w:t>
      </w:r>
      <w:r>
        <w:rPr>
          <w:rFonts w:ascii="Times New Roman" w:hAnsi="Times New Roman"/>
          <w:color w:val="000000"/>
          <w:sz w:val="20"/>
        </w:rPr>
        <w:t>Pre-commencement communications pursuant to Rule 13e-4(c) under the Exchange Act (17-CFR 240.13e-4(c))</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Emerging growth company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color w:val="000000"/>
          <w:sz w:val="20"/>
        </w:rPr>
      </w:pPr>
      <w:r>
        <w:rPr>
          <w:rFonts w:ascii="Times New Roman" w:hAnsi="Times New Roman"/>
          <w:color w:val="000000"/>
          <w:sz w:val="20"/>
        </w:rPr>
        <w:t>ITEM 2.02. Results of Operation and Financial Condition</w:t>
      </w:r>
    </w:p>
    <w:p>
      <w:pPr>
        <w:pStyle w:val="TextBody"/>
        <w:bidi w:val="0"/>
        <w:spacing w:before="240" w:after="160"/>
        <w:jc w:val="both"/>
        <w:rPr>
          <w:rFonts w:ascii="Times New Roman" w:hAnsi="Times New Roman"/>
          <w:color w:val="000000"/>
          <w:sz w:val="20"/>
        </w:rPr>
      </w:pPr>
      <w:r>
        <w:rPr>
          <w:rFonts w:ascii="Times New Roman" w:hAnsi="Times New Roman"/>
          <w:color w:val="000000"/>
          <w:sz w:val="20"/>
        </w:rPr>
        <w:t>On July 27, 2026, Farmers &amp; Merchants Bancorp, Inc. issued a press release (the “Release”) announcing its earnings for the three and six months ended June 30, 2026. A copy of the press release is attached hereto as Exhibit 99 and is incorporated by reference herein.</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ITEM 9.01. Financial Statements and Exhibits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 Exhibits.</w:t>
      </w:r>
    </w:p>
    <w:p>
      <w:pPr>
        <w:pStyle w:val="TextBody"/>
        <w:bidi w:val="0"/>
        <w:jc w:val="left"/>
        <w:rPr/>
      </w:pPr>
      <w:r>
        <w:rPr/>
        <w:t> </w:t>
      </w:r>
    </w:p>
    <w:tbl>
      <w:tblPr>
        <w:tblW w:w="4427" w:type="dxa"/>
        <w:jc w:val="left"/>
        <w:tblInd w:w="0" w:type="dxa"/>
        <w:tblLayout w:type="fixed"/>
        <w:tblCellMar>
          <w:top w:w="28" w:type="dxa"/>
          <w:left w:w="28" w:type="dxa"/>
          <w:bottom w:w="28" w:type="dxa"/>
          <w:right w:w="28" w:type="dxa"/>
        </w:tblCellMar>
      </w:tblPr>
      <w:tblGrid>
        <w:gridCol w:w="706"/>
        <w:gridCol w:w="3721"/>
      </w:tblGrid>
      <w:tr>
        <w:trPr/>
        <w:tc>
          <w:tcPr>
            <w:tcW w:w="706" w:type="dxa"/>
            <w:tcBorders/>
            <w:vAlign w:val="center"/>
          </w:tcPr>
          <w:p>
            <w:pPr>
              <w:pStyle w:val="TableContents"/>
              <w:bidi w:val="0"/>
              <w:spacing w:before="0" w:after="283"/>
              <w:jc w:val="left"/>
              <w:rPr>
                <w:sz w:val="4"/>
                <w:szCs w:val="4"/>
              </w:rPr>
            </w:pPr>
            <w:r>
              <w:rPr>
                <w:sz w:val="4"/>
                <w:szCs w:val="4"/>
              </w:rPr>
            </w:r>
          </w:p>
        </w:tc>
        <w:tc>
          <w:tcPr>
            <w:tcW w:w="3721" w:type="dxa"/>
            <w:tcBorders/>
            <w:vAlign w:val="center"/>
          </w:tcPr>
          <w:p>
            <w:pPr>
              <w:pStyle w:val="TableContents"/>
              <w:bidi w:val="0"/>
              <w:spacing w:before="0" w:after="283"/>
              <w:jc w:val="left"/>
              <w:rPr>
                <w:sz w:val="4"/>
                <w:szCs w:val="4"/>
              </w:rPr>
            </w:pPr>
            <w:r>
              <w:rPr>
                <w:sz w:val="4"/>
                <w:szCs w:val="4"/>
              </w:rPr>
            </w:r>
          </w:p>
        </w:tc>
      </w:tr>
      <w:tr>
        <w:trPr/>
        <w:tc>
          <w:tcPr>
            <w:tcW w:w="706" w:type="dxa"/>
            <w:tcBorders/>
            <w:tcMar>
              <w:top w:w="0" w:type="dxa"/>
              <w:left w:w="0" w:type="dxa"/>
              <w:bottom w:w="0" w:type="dxa"/>
              <w:right w:w="0" w:type="dxa"/>
            </w:tcMar>
            <w:vAlign w:val="center"/>
          </w:tcPr>
          <w:p>
            <w:pPr>
              <w:pStyle w:val="TableContents"/>
              <w:bidi w:val="0"/>
              <w:jc w:val="left"/>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Number</w:t>
            </w:r>
          </w:p>
        </w:tc>
        <w:tc>
          <w:tcPr>
            <w:tcW w:w="37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Exhibit</w:t>
            </w:r>
          </w:p>
        </w:tc>
      </w:tr>
      <w:tr>
        <w:trPr/>
        <w:tc>
          <w:tcPr>
            <w:tcW w:w="706" w:type="dxa"/>
            <w:tcBorders/>
            <w:tcMar>
              <w:top w:w="0" w:type="dxa"/>
              <w:left w:w="0" w:type="dxa"/>
              <w:bottom w:w="0" w:type="dxa"/>
              <w:right w:w="0" w:type="dxa"/>
            </w:tcMar>
            <w:vAlign w:val="center"/>
          </w:tcPr>
          <w:p>
            <w:pPr>
              <w:pStyle w:val="TableContents"/>
              <w:bidi w:val="0"/>
              <w:spacing w:before="0" w:after="283"/>
              <w:jc w:val="both"/>
              <w:rPr/>
            </w:pPr>
            <w:r>
              <w:rPr/>
              <w:t> </w:t>
            </w:r>
          </w:p>
        </w:tc>
        <w:tc>
          <w:tcPr>
            <w:tcW w:w="3721"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w:t>
            </w:r>
          </w:p>
        </w:tc>
        <w:tc>
          <w:tcPr>
            <w:tcW w:w="3721" w:type="dxa"/>
            <w:tcBorders/>
            <w:tcMar>
              <w:top w:w="0" w:type="dxa"/>
              <w:left w:w="0" w:type="dxa"/>
              <w:bottom w:w="0" w:type="dxa"/>
              <w:right w:w="0" w:type="dxa"/>
            </w:tcMar>
            <w:vAlign w:val="center"/>
          </w:tcPr>
          <w:p>
            <w:pPr>
              <w:pStyle w:val="TableContents"/>
              <w:bidi w:val="0"/>
              <w:spacing w:before="0" w:after="283"/>
              <w:jc w:val="left"/>
              <w:rPr/>
            </w:pPr>
            <w:hyperlink w:anchor="fmao-ex99.htm">
              <w:r>
                <w:rPr>
                  <w:rStyle w:val="InternetLink"/>
                  <w:rFonts w:ascii="Times New Roman" w:hAnsi="Times New Roman"/>
                  <w:color w:val="0000FF"/>
                  <w:sz w:val="20"/>
                  <w:u w:val="single"/>
                </w:rPr>
                <w:t>Company Press Release dated July 27, 2026</w:t>
              </w:r>
            </w:hyperlink>
          </w:p>
        </w:tc>
      </w:tr>
    </w:tbl>
    <w:p>
      <w:pPr>
        <w:pStyle w:val="TextBody"/>
        <w:bidi w:val="0"/>
        <w:jc w:val="left"/>
        <w:rPr/>
      </w:pPr>
      <w:r>
        <w:rPr/>
        <w:t> </w:t>
      </w:r>
    </w:p>
    <w:tbl>
      <w:tblPr>
        <w:tblW w:w="7397" w:type="dxa"/>
        <w:jc w:val="left"/>
        <w:tblInd w:w="0" w:type="dxa"/>
        <w:tblLayout w:type="fixed"/>
        <w:tblCellMar>
          <w:top w:w="28" w:type="dxa"/>
          <w:left w:w="28" w:type="dxa"/>
          <w:bottom w:w="28" w:type="dxa"/>
          <w:right w:w="28" w:type="dxa"/>
        </w:tblCellMar>
      </w:tblPr>
      <w:tblGrid>
        <w:gridCol w:w="436"/>
        <w:gridCol w:w="6961"/>
      </w:tblGrid>
      <w:tr>
        <w:trPr/>
        <w:tc>
          <w:tcPr>
            <w:tcW w:w="436" w:type="dxa"/>
            <w:tcBorders/>
            <w:vAlign w:val="center"/>
          </w:tcPr>
          <w:p>
            <w:pPr>
              <w:pStyle w:val="TableContents"/>
              <w:bidi w:val="0"/>
              <w:spacing w:before="0" w:after="283"/>
              <w:jc w:val="left"/>
              <w:rPr>
                <w:sz w:val="4"/>
                <w:szCs w:val="4"/>
              </w:rPr>
            </w:pPr>
            <w:r>
              <w:rPr>
                <w:sz w:val="4"/>
                <w:szCs w:val="4"/>
              </w:rPr>
            </w:r>
          </w:p>
        </w:tc>
        <w:tc>
          <w:tcPr>
            <w:tcW w:w="6961" w:type="dxa"/>
            <w:tcBorders/>
            <w:vAlign w:val="center"/>
          </w:tcPr>
          <w:p>
            <w:pPr>
              <w:pStyle w:val="TableContents"/>
              <w:bidi w:val="0"/>
              <w:spacing w:before="0" w:after="283"/>
              <w:jc w:val="left"/>
              <w:rPr>
                <w:sz w:val="4"/>
                <w:szCs w:val="4"/>
              </w:rPr>
            </w:pPr>
            <w:r>
              <w:rPr>
                <w:sz w:val="4"/>
                <w:szCs w:val="4"/>
              </w:rPr>
            </w:r>
          </w:p>
        </w:tc>
      </w:tr>
      <w:tr>
        <w:trPr/>
        <w:tc>
          <w:tcPr>
            <w:tcW w:w="4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69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Cover Page Interactive Data File (embedded within the Inline XBRL document)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authorized.</w:t>
      </w:r>
    </w:p>
    <w:p>
      <w:pPr>
        <w:pStyle w:val="TextBody"/>
        <w:bidi w:val="0"/>
        <w:jc w:val="left"/>
        <w:rPr/>
      </w:pPr>
      <w:r>
        <w:rPr/>
        <w:t> </w:t>
      </w:r>
    </w:p>
    <w:tbl>
      <w:tblPr>
        <w:tblW w:w="6256" w:type="dxa"/>
        <w:jc w:val="left"/>
        <w:tblInd w:w="0" w:type="dxa"/>
        <w:tblLayout w:type="fixed"/>
        <w:tblCellMar>
          <w:top w:w="28" w:type="dxa"/>
          <w:left w:w="28" w:type="dxa"/>
          <w:bottom w:w="28" w:type="dxa"/>
          <w:right w:w="28" w:type="dxa"/>
        </w:tblCellMar>
      </w:tblPr>
      <w:tblGrid>
        <w:gridCol w:w="1082"/>
        <w:gridCol w:w="733"/>
        <w:gridCol w:w="4441"/>
      </w:tblGrid>
      <w:tr>
        <w:trPr/>
        <w:tc>
          <w:tcPr>
            <w:tcW w:w="1082"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4441" w:type="dxa"/>
            <w:tcBorders/>
            <w:vAlign w:val="center"/>
          </w:tcPr>
          <w:p>
            <w:pPr>
              <w:pStyle w:val="TableContents"/>
              <w:bidi w:val="0"/>
              <w:spacing w:before="0" w:after="283"/>
              <w:jc w:val="left"/>
              <w:rPr>
                <w:sz w:val="4"/>
                <w:szCs w:val="4"/>
              </w:rPr>
            </w:pPr>
            <w:r>
              <w:rPr>
                <w:sz w:val="4"/>
                <w:szCs w:val="4"/>
              </w:rPr>
            </w:r>
          </w:p>
        </w:tc>
      </w:tr>
      <w:tr>
        <w:trPr/>
        <w:tc>
          <w:tcPr>
            <w:tcW w:w="1082" w:type="dxa"/>
            <w:tcBorders/>
            <w:tcMar>
              <w:top w:w="0" w:type="dxa"/>
              <w:left w:w="0" w:type="dxa"/>
              <w:bottom w:w="0" w:type="dxa"/>
              <w:right w:w="0" w:type="dxa"/>
            </w:tcMar>
            <w:vAlign w:val="center"/>
          </w:tcPr>
          <w:p>
            <w:pPr>
              <w:pStyle w:val="TableContents"/>
              <w:bidi w:val="0"/>
              <w:spacing w:before="0" w:after="283"/>
              <w:jc w:val="left"/>
              <w:rPr/>
            </w:pPr>
            <w:r>
              <w:rPr/>
              <w:t> </w:t>
            </w:r>
          </w:p>
        </w:tc>
        <w:tc>
          <w:tcPr>
            <w:tcW w:w="5174"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FARMERS &amp; MERCHANTS BANCORP, INC.</w:t>
            </w:r>
          </w:p>
        </w:tc>
      </w:tr>
      <w:tr>
        <w:trPr/>
        <w:tc>
          <w:tcPr>
            <w:tcW w:w="1815"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44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(Registrant)</w:t>
            </w:r>
          </w:p>
        </w:tc>
      </w:tr>
      <w:tr>
        <w:trPr/>
        <w:tc>
          <w:tcPr>
            <w:tcW w:w="1815" w:type="dxa"/>
            <w:gridSpan w:val="2"/>
            <w:tcBorders/>
            <w:tcMar>
              <w:top w:w="0" w:type="dxa"/>
              <w:left w:w="0" w:type="dxa"/>
              <w:bottom w:w="0" w:type="dxa"/>
              <w:right w:w="0" w:type="dxa"/>
            </w:tcMar>
            <w:vAlign w:val="center"/>
          </w:tcPr>
          <w:p>
            <w:pPr>
              <w:pStyle w:val="TableContents"/>
              <w:bidi w:val="0"/>
              <w:spacing w:before="0" w:after="283"/>
              <w:jc w:val="both"/>
              <w:rPr/>
            </w:pPr>
            <w:r>
              <w:rPr/>
              <w:t> </w:t>
            </w:r>
          </w:p>
        </w:tc>
        <w:tc>
          <w:tcPr>
            <w:tcW w:w="4441"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181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Dated: July 27, 2026</w:t>
            </w:r>
          </w:p>
        </w:tc>
        <w:tc>
          <w:tcPr>
            <w:tcW w:w="444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Lars B. Eller</w:t>
            </w:r>
          </w:p>
        </w:tc>
      </w:tr>
      <w:tr>
        <w:trPr/>
        <w:tc>
          <w:tcPr>
            <w:tcW w:w="1815" w:type="dxa"/>
            <w:gridSpan w:val="2"/>
            <w:tcBorders/>
            <w:tcMar>
              <w:top w:w="0" w:type="dxa"/>
              <w:left w:w="0" w:type="dxa"/>
              <w:bottom w:w="0" w:type="dxa"/>
              <w:right w:w="0" w:type="dxa"/>
            </w:tcMar>
            <w:vAlign w:val="center"/>
          </w:tcPr>
          <w:p>
            <w:pPr>
              <w:pStyle w:val="TableContents"/>
              <w:bidi w:val="0"/>
              <w:spacing w:before="0" w:after="283"/>
              <w:jc w:val="both"/>
              <w:rPr/>
            </w:pPr>
            <w:r>
              <w:rPr/>
              <w:t> </w:t>
            </w:r>
          </w:p>
        </w:tc>
        <w:tc>
          <w:tcPr>
            <w:tcW w:w="444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Lars B. Eller</w:t>
            </w:r>
          </w:p>
        </w:tc>
      </w:tr>
      <w:tr>
        <w:trPr/>
        <w:tc>
          <w:tcPr>
            <w:tcW w:w="1815"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44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and Chief Executive Officer</w:t>
            </w:r>
          </w:p>
        </w:tc>
      </w:tr>
      <w:tr>
        <w:trPr/>
        <w:tc>
          <w:tcPr>
            <w:tcW w:w="1815" w:type="dxa"/>
            <w:gridSpan w:val="2"/>
            <w:tcBorders/>
            <w:tcMar>
              <w:top w:w="0" w:type="dxa"/>
              <w:left w:w="0" w:type="dxa"/>
              <w:bottom w:w="0" w:type="dxa"/>
              <w:right w:w="0" w:type="dxa"/>
            </w:tcMar>
            <w:vAlign w:val="center"/>
          </w:tcPr>
          <w:p>
            <w:pPr>
              <w:pStyle w:val="TableContents"/>
              <w:bidi w:val="0"/>
              <w:spacing w:before="0" w:after="283"/>
              <w:jc w:val="both"/>
              <w:rPr/>
            </w:pPr>
            <w:r>
              <w:rPr/>
              <w:t> </w:t>
            </w:r>
          </w:p>
        </w:tc>
        <w:tc>
          <w:tcPr>
            <w:tcW w:w="4441"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1815" w:type="dxa"/>
            <w:gridSpan w:val="2"/>
            <w:tcBorders/>
            <w:tcMar>
              <w:top w:w="0" w:type="dxa"/>
              <w:left w:w="0" w:type="dxa"/>
              <w:bottom w:w="0" w:type="dxa"/>
              <w:right w:w="0" w:type="dxa"/>
            </w:tcMar>
            <w:vAlign w:val="center"/>
          </w:tcPr>
          <w:p>
            <w:pPr>
              <w:pStyle w:val="TableContents"/>
              <w:bidi w:val="0"/>
              <w:spacing w:before="0" w:after="283"/>
              <w:jc w:val="both"/>
              <w:rPr/>
            </w:pPr>
            <w:r>
              <w:rPr/>
              <w:t> </w:t>
            </w:r>
          </w:p>
        </w:tc>
        <w:tc>
          <w:tcPr>
            <w:tcW w:w="4441" w:type="dxa"/>
            <w:tcBorders>
              <w:bottom w:val="single" w:sz="4" w:space="0" w:color="000000"/>
            </w:tcBorders>
            <w:tcMar>
              <w:top w:w="0" w:type="dxa"/>
              <w:left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/s/ Barbara J. Britenriker</w:t>
            </w:r>
          </w:p>
        </w:tc>
      </w:tr>
      <w:tr>
        <w:trPr/>
        <w:tc>
          <w:tcPr>
            <w:tcW w:w="1815"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44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Barbara J. Britenriker</w:t>
            </w:r>
          </w:p>
        </w:tc>
      </w:tr>
      <w:tr>
        <w:trPr/>
        <w:tc>
          <w:tcPr>
            <w:tcW w:w="1815" w:type="dxa"/>
            <w:gridSpan w:val="2"/>
            <w:tcBorders/>
            <w:tcMar>
              <w:top w:w="0" w:type="dxa"/>
              <w:left w:w="0" w:type="dxa"/>
              <w:bottom w:w="0" w:type="dxa"/>
              <w:right w:w="0" w:type="dxa"/>
            </w:tcMar>
            <w:vAlign w:val="center"/>
          </w:tcPr>
          <w:p>
            <w:pPr>
              <w:pStyle w:val="TableContents"/>
              <w:bidi w:val="0"/>
              <w:spacing w:before="0" w:after="283"/>
              <w:jc w:val="both"/>
              <w:rPr/>
            </w:pPr>
            <w:r>
              <w:rPr/>
              <w:t> </w:t>
            </w:r>
          </w:p>
        </w:tc>
        <w:tc>
          <w:tcPr>
            <w:tcW w:w="444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Executive Vice President and Chief Financial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20"/>
        <w:jc w:val="right"/>
        <w:rPr>
          <w:rFonts w:ascii="Times New Roman" w:hAnsi="Times New Roman"/>
          <w:b/>
          <w:color w:val="000000"/>
          <w:sz w:val="24"/>
        </w:rPr>
      </w:pPr>
      <w:bookmarkStart w:id="2" w:name="fmao-ex99.htm"/>
      <w:bookmarkStart w:id="3" w:name="ksfmaoex99"/>
      <w:bookmarkEnd w:id="2"/>
      <w:bookmarkEnd w:id="3"/>
      <w:r>
        <w:rPr>
          <w:rFonts w:ascii="Times New Roman" w:hAnsi="Times New Roman"/>
          <w:b/>
          <w:color w:val="000000"/>
          <w:sz w:val="24"/>
        </w:rPr>
        <w:t>Exhibit 99</w:t>
      </w:r>
      <w:r>
        <w:br w:type="page"/>
      </w:r>
    </w:p>
    <w:tbl>
      <w:tblPr>
        <w:tblW w:w="6732" w:type="dxa"/>
        <w:jc w:val="left"/>
        <w:tblInd w:w="0" w:type="dxa"/>
        <w:tblLayout w:type="fixed"/>
        <w:tblCellMar>
          <w:top w:w="28" w:type="dxa"/>
          <w:left w:w="28" w:type="dxa"/>
          <w:bottom w:w="28" w:type="dxa"/>
          <w:right w:w="28" w:type="dxa"/>
        </w:tblCellMar>
      </w:tblPr>
      <w:tblGrid>
        <w:gridCol w:w="3866"/>
        <w:gridCol w:w="2866"/>
      </w:tblGrid>
      <w:tr>
        <w:trPr/>
        <w:tc>
          <w:tcPr>
            <w:tcW w:w="3866" w:type="dxa"/>
            <w:tcBorders/>
            <w:vAlign w:val="center"/>
          </w:tcPr>
          <w:p>
            <w:pPr>
              <w:pStyle w:val="TableContents"/>
              <w:bidi w:val="0"/>
              <w:spacing w:before="0" w:after="283"/>
              <w:jc w:val="left"/>
              <w:rPr>
                <w:sz w:val="4"/>
                <w:szCs w:val="4"/>
              </w:rPr>
            </w:pPr>
            <w:r>
              <w:rPr>
                <w:sz w:val="4"/>
                <w:szCs w:val="4"/>
              </w:rPr>
            </w:r>
          </w:p>
        </w:tc>
        <w:tc>
          <w:tcPr>
            <w:tcW w:w="2866" w:type="dxa"/>
            <w:tcBorders/>
            <w:vAlign w:val="center"/>
          </w:tcPr>
          <w:p>
            <w:pPr>
              <w:pStyle w:val="TableContents"/>
              <w:bidi w:val="0"/>
              <w:spacing w:before="0" w:after="283"/>
              <w:jc w:val="left"/>
              <w:rPr>
                <w:sz w:val="4"/>
                <w:szCs w:val="4"/>
              </w:rPr>
            </w:pPr>
            <w:r>
              <w:rPr>
                <w:sz w:val="4"/>
                <w:szCs w:val="4"/>
              </w:rPr>
            </w:r>
          </w:p>
        </w:tc>
      </w:tr>
      <w:tr>
        <w:trPr/>
        <w:tc>
          <w:tcPr>
            <w:tcW w:w="3866" w:type="dxa"/>
            <w:tcBorders/>
            <w:tcMar>
              <w:top w:w="0" w:type="dxa"/>
              <w:left w:w="0" w:type="dxa"/>
              <w:bottom w:w="0" w:type="dxa"/>
              <w:right w:w="0" w:type="dxa"/>
            </w:tcMar>
            <w:vAlign w:val="center"/>
          </w:tcPr>
          <w:p>
            <w:pPr>
              <w:pStyle w:val="TableContents"/>
              <w:bidi w:val="0"/>
              <w:jc w:val="center"/>
              <w:rPr/>
            </w:pPr>
            <w:r>
              <w:rPr/>
              <w:drawing>
                <wp:inline distT="0" distB="0" distL="0" distR="0">
                  <wp:extent cx="2390775" cy="7524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390775" cy="752475"/>
                          </a:xfrm>
                          <a:prstGeom prst="rect">
                            <a:avLst/>
                          </a:prstGeom>
                        </pic:spPr>
                      </pic:pic>
                    </a:graphicData>
                  </a:graphic>
                </wp:inline>
              </w:drawing>
            </w:r>
          </w:p>
          <w:p>
            <w:pPr>
              <w:pStyle w:val="TableContents"/>
              <w:bidi w:val="0"/>
              <w:jc w:val="center"/>
              <w:rPr>
                <w:rFonts w:ascii="Times New Roman" w:hAnsi="Times New Roman"/>
                <w:color w:val="002060"/>
                <w:sz w:val="18"/>
              </w:rPr>
            </w:pPr>
            <w:r>
              <w:rPr>
                <w:rFonts w:ascii="Times New Roman" w:hAnsi="Times New Roman"/>
                <w:color w:val="002060"/>
                <w:sz w:val="18"/>
              </w:rPr>
              <w:t>Post Office Box 216</w:t>
            </w:r>
          </w:p>
          <w:p>
            <w:pPr>
              <w:pStyle w:val="TableContents"/>
              <w:bidi w:val="0"/>
              <w:jc w:val="center"/>
              <w:rPr>
                <w:rFonts w:ascii="Times New Roman" w:hAnsi="Times New Roman"/>
                <w:color w:val="002060"/>
                <w:sz w:val="18"/>
              </w:rPr>
            </w:pPr>
            <w:r>
              <w:rPr>
                <w:rFonts w:ascii="Times New Roman" w:hAnsi="Times New Roman"/>
                <w:color w:val="002060"/>
                <w:sz w:val="18"/>
              </w:rPr>
              <w:t>307 North Defiance Street</w:t>
            </w:r>
          </w:p>
          <w:p>
            <w:pPr>
              <w:pStyle w:val="TableContents"/>
              <w:bidi w:val="0"/>
              <w:spacing w:before="0" w:after="283"/>
              <w:jc w:val="center"/>
              <w:rPr>
                <w:rFonts w:ascii="Times New Roman" w:hAnsi="Times New Roman"/>
                <w:color w:val="002060"/>
                <w:sz w:val="18"/>
              </w:rPr>
            </w:pPr>
            <w:r>
              <w:rPr>
                <w:rFonts w:ascii="Times New Roman" w:hAnsi="Times New Roman"/>
                <w:color w:val="002060"/>
                <w:sz w:val="18"/>
              </w:rPr>
              <w:t>Archbold, Ohio 43502</w:t>
            </w:r>
          </w:p>
        </w:tc>
        <w:tc>
          <w:tcPr>
            <w:tcW w:w="28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b/>
                <w:i/>
                <w:color w:val="002060"/>
                <w:sz w:val="36"/>
              </w:rPr>
            </w:pPr>
            <w:r>
              <w:rPr>
                <w:rFonts w:ascii="Times New Roman" w:hAnsi="Times New Roman"/>
                <w:b/>
                <w:i/>
                <w:color w:val="002060"/>
                <w:sz w:val="36"/>
              </w:rPr>
              <w:t>NEWS RELEASE</w:t>
            </w:r>
          </w:p>
        </w:tc>
      </w:tr>
    </w:tbl>
    <w:p>
      <w:pPr>
        <w:pStyle w:val="TextBody"/>
        <w:bidi w:val="0"/>
        <w:spacing w:before="0" w:after="120"/>
        <w:jc w:val="left"/>
        <w:rPr/>
      </w:pPr>
      <w:r>
        <w:rPr/>
        <w:t> </w:t>
      </w:r>
    </w:p>
    <w:tbl>
      <w:tblPr>
        <w:tblW w:w="5192" w:type="dxa"/>
        <w:jc w:val="left"/>
        <w:tblInd w:w="0" w:type="dxa"/>
        <w:tblLayout w:type="fixed"/>
        <w:tblCellMar>
          <w:top w:w="28" w:type="dxa"/>
          <w:left w:w="28" w:type="dxa"/>
          <w:bottom w:w="28" w:type="dxa"/>
          <w:right w:w="28" w:type="dxa"/>
        </w:tblCellMar>
      </w:tblPr>
      <w:tblGrid>
        <w:gridCol w:w="2806"/>
        <w:gridCol w:w="2386"/>
      </w:tblGrid>
      <w:tr>
        <w:trPr/>
        <w:tc>
          <w:tcPr>
            <w:tcW w:w="2806" w:type="dxa"/>
            <w:tcBorders/>
            <w:vAlign w:val="center"/>
          </w:tcPr>
          <w:p>
            <w:pPr>
              <w:pStyle w:val="TableContents"/>
              <w:bidi w:val="0"/>
              <w:spacing w:before="0" w:after="283"/>
              <w:jc w:val="left"/>
              <w:rPr>
                <w:sz w:val="4"/>
                <w:szCs w:val="4"/>
              </w:rPr>
            </w:pPr>
            <w:r>
              <w:rPr>
                <w:sz w:val="4"/>
                <w:szCs w:val="4"/>
              </w:rPr>
            </w:r>
          </w:p>
        </w:tc>
        <w:tc>
          <w:tcPr>
            <w:tcW w:w="2386" w:type="dxa"/>
            <w:tcBorders/>
            <w:vAlign w:val="center"/>
          </w:tcPr>
          <w:p>
            <w:pPr>
              <w:pStyle w:val="TableContents"/>
              <w:bidi w:val="0"/>
              <w:spacing w:before="0" w:after="283"/>
              <w:jc w:val="left"/>
              <w:rPr>
                <w:sz w:val="4"/>
                <w:szCs w:val="4"/>
              </w:rPr>
            </w:pPr>
            <w:r>
              <w:rPr>
                <w:sz w:val="4"/>
                <w:szCs w:val="4"/>
              </w:rPr>
            </w:r>
          </w:p>
        </w:tc>
      </w:tr>
      <w:tr>
        <w:trPr/>
        <w:tc>
          <w:tcPr>
            <w:tcW w:w="28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Company Contact:</w:t>
            </w:r>
          </w:p>
        </w:tc>
        <w:tc>
          <w:tcPr>
            <w:tcW w:w="23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Investor and Media Contact:</w:t>
            </w:r>
          </w:p>
        </w:tc>
      </w:tr>
      <w:tr>
        <w:trPr/>
        <w:tc>
          <w:tcPr>
            <w:tcW w:w="2806"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18"/>
              </w:rPr>
            </w:pPr>
            <w:r>
              <w:rPr>
                <w:rFonts w:ascii="Times New Roman" w:hAnsi="Times New Roman"/>
                <w:color w:val="000000"/>
                <w:sz w:val="18"/>
              </w:rPr>
              <w:t>Lars B. Eller</w:t>
            </w:r>
          </w:p>
          <w:p>
            <w:pPr>
              <w:pStyle w:val="TableContents"/>
              <w:bidi w:val="0"/>
              <w:jc w:val="left"/>
              <w:rPr>
                <w:rFonts w:ascii="Times New Roman" w:hAnsi="Times New Roman"/>
                <w:color w:val="000000"/>
                <w:sz w:val="18"/>
              </w:rPr>
            </w:pPr>
            <w:r>
              <w:rPr>
                <w:rFonts w:ascii="Times New Roman" w:hAnsi="Times New Roman"/>
                <w:color w:val="000000"/>
                <w:sz w:val="18"/>
              </w:rPr>
              <w:t>President and Chief Executive Officer</w:t>
            </w:r>
          </w:p>
          <w:p>
            <w:pPr>
              <w:pStyle w:val="TableContents"/>
              <w:bidi w:val="0"/>
              <w:jc w:val="left"/>
              <w:rPr>
                <w:rFonts w:ascii="Times New Roman" w:hAnsi="Times New Roman"/>
                <w:color w:val="000000"/>
                <w:sz w:val="18"/>
              </w:rPr>
            </w:pPr>
            <w:r>
              <w:rPr>
                <w:rFonts w:ascii="Times New Roman" w:hAnsi="Times New Roman"/>
                <w:color w:val="000000"/>
                <w:sz w:val="18"/>
              </w:rPr>
              <w:t>Farmers &amp; Merchants Bancorp, Inc.</w:t>
            </w:r>
          </w:p>
          <w:p>
            <w:pPr>
              <w:pStyle w:val="TableContents"/>
              <w:bidi w:val="0"/>
              <w:jc w:val="left"/>
              <w:rPr>
                <w:rFonts w:ascii="Times New Roman" w:hAnsi="Times New Roman"/>
                <w:color w:val="000000"/>
                <w:sz w:val="18"/>
              </w:rPr>
            </w:pPr>
            <w:r>
              <w:rPr>
                <w:rFonts w:ascii="Times New Roman" w:hAnsi="Times New Roman"/>
                <w:color w:val="000000"/>
                <w:sz w:val="18"/>
              </w:rPr>
              <w:t xml:space="preserve">(419) 446-2501 </w:t>
            </w:r>
          </w:p>
          <w:p>
            <w:pPr>
              <w:pStyle w:val="TableContents"/>
              <w:bidi w:val="0"/>
              <w:spacing w:before="0" w:after="283"/>
              <w:jc w:val="left"/>
              <w:rPr>
                <w:rFonts w:ascii="Times New Roman" w:hAnsi="Times New Roman"/>
                <w:color w:val="0000FF"/>
                <w:sz w:val="18"/>
                <w:u w:val="single"/>
              </w:rPr>
            </w:pPr>
            <w:r>
              <w:rPr>
                <w:rFonts w:ascii="Times New Roman" w:hAnsi="Times New Roman"/>
                <w:color w:val="0000FF"/>
                <w:sz w:val="18"/>
                <w:u w:val="single"/>
              </w:rPr>
              <w:t>leller@fm.bank</w:t>
            </w:r>
          </w:p>
        </w:tc>
        <w:tc>
          <w:tcPr>
            <w:tcW w:w="2386"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18"/>
              </w:rPr>
            </w:pPr>
            <w:r>
              <w:rPr>
                <w:rFonts w:ascii="Times New Roman" w:hAnsi="Times New Roman"/>
                <w:color w:val="000000"/>
                <w:sz w:val="18"/>
              </w:rPr>
              <w:t>Andrew M. Berger</w:t>
            </w:r>
          </w:p>
          <w:p>
            <w:pPr>
              <w:pStyle w:val="TableContents"/>
              <w:bidi w:val="0"/>
              <w:jc w:val="left"/>
              <w:rPr>
                <w:rFonts w:ascii="Times New Roman" w:hAnsi="Times New Roman"/>
                <w:color w:val="000000"/>
                <w:sz w:val="18"/>
              </w:rPr>
            </w:pPr>
            <w:r>
              <w:rPr>
                <w:rFonts w:ascii="Times New Roman" w:hAnsi="Times New Roman"/>
                <w:color w:val="000000"/>
                <w:sz w:val="18"/>
              </w:rPr>
              <w:t>Managing Director</w:t>
            </w:r>
          </w:p>
          <w:p>
            <w:pPr>
              <w:pStyle w:val="TableContents"/>
              <w:bidi w:val="0"/>
              <w:jc w:val="left"/>
              <w:rPr>
                <w:rFonts w:ascii="Times New Roman" w:hAnsi="Times New Roman"/>
                <w:color w:val="000000"/>
                <w:sz w:val="18"/>
              </w:rPr>
            </w:pPr>
            <w:r>
              <w:rPr>
                <w:rFonts w:ascii="Times New Roman" w:hAnsi="Times New Roman"/>
                <w:color w:val="000000"/>
                <w:sz w:val="18"/>
              </w:rPr>
              <w:t xml:space="preserve">SM Berger &amp; Company, Inc. </w:t>
            </w:r>
          </w:p>
          <w:p>
            <w:pPr>
              <w:pStyle w:val="TableContents"/>
              <w:bidi w:val="0"/>
              <w:jc w:val="left"/>
              <w:rPr>
                <w:rFonts w:ascii="Times New Roman" w:hAnsi="Times New Roman"/>
                <w:color w:val="000000"/>
                <w:sz w:val="18"/>
              </w:rPr>
            </w:pPr>
            <w:r>
              <w:rPr>
                <w:rFonts w:ascii="Times New Roman" w:hAnsi="Times New Roman"/>
                <w:color w:val="000000"/>
                <w:sz w:val="18"/>
              </w:rPr>
              <w:t>(216) 464-6400</w:t>
            </w:r>
          </w:p>
          <w:p>
            <w:pPr>
              <w:pStyle w:val="TableContents"/>
              <w:bidi w:val="0"/>
              <w:spacing w:before="0" w:after="283"/>
              <w:jc w:val="left"/>
              <w:rPr>
                <w:rFonts w:ascii="Times New Roman" w:hAnsi="Times New Roman"/>
                <w:sz w:val="18"/>
              </w:rPr>
            </w:pPr>
            <w:r>
              <w:rPr>
                <w:rFonts w:ascii="Times New Roman" w:hAnsi="Times New Roman"/>
                <w:color w:val="0000FF"/>
                <w:sz w:val="18"/>
                <w:u w:val="single"/>
              </w:rPr>
              <w:t>andrew@smberger.com</w:t>
            </w:r>
            <w:r>
              <w:rPr>
                <w:rFonts w:ascii="Times New Roman" w:hAnsi="Times New Roman"/>
                <w:color w:val="000000"/>
                <w:sz w:val="18"/>
              </w:rPr>
              <w:t xml:space="preserve"> </w:t>
            </w:r>
          </w:p>
        </w:tc>
      </w:tr>
    </w:tbl>
    <w:p>
      <w:pPr>
        <w:pStyle w:val="TextBody"/>
        <w:bidi w:val="0"/>
        <w:jc w:val="center"/>
        <w:rPr/>
      </w:pPr>
      <w:r>
        <w:rPr/>
        <w:t> </w:t>
      </w:r>
    </w:p>
    <w:p>
      <w:pPr>
        <w:pStyle w:val="TextBody"/>
        <w:bidi w:val="0"/>
        <w:jc w:val="center"/>
        <w:rPr>
          <w:rFonts w:ascii="Times New Roman" w:hAnsi="Times New Roman"/>
          <w:b/>
          <w:color w:val="000000"/>
          <w:sz w:val="28"/>
        </w:rPr>
      </w:pPr>
      <w:r>
        <w:rPr>
          <w:rFonts w:ascii="Times New Roman" w:hAnsi="Times New Roman"/>
          <w:b/>
          <w:color w:val="000000"/>
          <w:sz w:val="28"/>
        </w:rPr>
        <w:t>Farmers &amp; Merchants Bancorp, Inc. Reports</w:t>
      </w:r>
    </w:p>
    <w:p>
      <w:pPr>
        <w:pStyle w:val="TextBody"/>
        <w:bidi w:val="0"/>
        <w:jc w:val="center"/>
        <w:rPr>
          <w:rFonts w:ascii="Times New Roman" w:hAnsi="Times New Roman"/>
          <w:b/>
          <w:color w:val="000000"/>
          <w:sz w:val="28"/>
        </w:rPr>
      </w:pPr>
      <w:r>
        <w:rPr>
          <w:rFonts w:ascii="Times New Roman" w:hAnsi="Times New Roman"/>
          <w:b/>
          <w:color w:val="000000"/>
          <w:sz w:val="28"/>
        </w:rPr>
        <w:t>2026 Second-Quarter and Year-to-Date Financial Results</w:t>
      </w:r>
    </w:p>
    <w:p>
      <w:pPr>
        <w:pStyle w:val="TextBody"/>
        <w:bidi w:val="0"/>
        <w:jc w:val="left"/>
        <w:rPr/>
      </w:pPr>
      <w:r>
        <w:rPr/>
        <w:t> </w:t>
      </w:r>
    </w:p>
    <w:p>
      <w:pPr>
        <w:pStyle w:val="TextBody"/>
        <w:bidi w:val="0"/>
        <w:jc w:val="both"/>
        <w:rPr>
          <w:rFonts w:ascii="Times New Roman" w:hAnsi="Times New Roman"/>
          <w:color w:val="000000"/>
          <w:sz w:val="24"/>
        </w:rPr>
      </w:pPr>
      <w:r>
        <w:rPr>
          <w:rFonts w:ascii="Times New Roman" w:hAnsi="Times New Roman"/>
          <w:color w:val="000000"/>
          <w:sz w:val="24"/>
        </w:rPr>
        <w:t>ARCHBOLD, OHIO, July 27, 2026, Farmers &amp; Merchants Bancorp, Inc. (Nasdaq: FMAO) today reported financial results for the 2026 second quarter and year-to-date ended June 30, 2026, on a consolidated basis.</w:t>
      </w:r>
    </w:p>
    <w:p>
      <w:pPr>
        <w:pStyle w:val="TextBody"/>
        <w:bidi w:val="0"/>
        <w:jc w:val="both"/>
        <w:rPr/>
      </w:pPr>
      <w:r>
        <w:rPr/>
        <w:t> </w:t>
      </w:r>
    </w:p>
    <w:p>
      <w:pPr>
        <w:pStyle w:val="TextBody"/>
        <w:bidi w:val="0"/>
        <w:jc w:val="both"/>
        <w:rPr>
          <w:rFonts w:ascii="Times New Roman" w:hAnsi="Times New Roman"/>
          <w:b/>
          <w:color w:val="000000"/>
          <w:sz w:val="22"/>
        </w:rPr>
      </w:pPr>
      <w:r>
        <w:rPr>
          <w:rFonts w:ascii="Times New Roman" w:hAnsi="Times New Roman"/>
          <w:b/>
          <w:color w:val="000000"/>
          <w:sz w:val="22"/>
        </w:rPr>
        <w:t>2026 Second-Quarter Financial and Operating Highlights</w:t>
      </w:r>
    </w:p>
    <w:p>
      <w:pPr>
        <w:pStyle w:val="TextBody"/>
        <w:bidi w:val="0"/>
        <w:jc w:val="both"/>
        <w:rPr>
          <w:rFonts w:ascii="Times New Roman" w:hAnsi="Times New Roman"/>
          <w:color w:val="000000"/>
          <w:sz w:val="22"/>
        </w:rPr>
      </w:pPr>
      <w:r>
        <w:rPr>
          <w:rFonts w:ascii="Times New Roman" w:hAnsi="Times New Roman"/>
          <w:color w:val="000000"/>
          <w:sz w:val="22"/>
        </w:rPr>
        <w:t>(at June 30, 2026, and on a year-over-year basis unless noted)</w:t>
      </w:r>
    </w:p>
    <w:p>
      <w:pPr>
        <w:pStyle w:val="TextBody"/>
        <w:bidi w:val="0"/>
        <w:jc w:val="both"/>
        <w:rPr/>
      </w:pPr>
      <w:r>
        <w:rPr/>
        <w:t> </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 xml:space="preserve">93 consecutive quarters of profitability </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Net income increased 53.0% to a quarterly record of $11.8 million, or $0.86 per basic and diluted share</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 xml:space="preserve">Strong profitability drives ROAA to 1.34%, compared to 0.92% </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Net charge-offs to average loans of 0.00%</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Tier 1 leverage ratio was 8.99%</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Cost of interest-bearing liabilities improved to 2.56%, from 2.83%</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Net interest margin increased by 26 basis points to 3.48%</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Efficiency ratio improved to 56.08%, compared to 64.93%</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2"/>
        </w:rPr>
      </w:pPr>
      <w:r>
        <w:rPr>
          <w:rFonts w:ascii="Times New Roman" w:hAnsi="Times New Roman"/>
          <w:color w:val="000000"/>
          <w:sz w:val="22"/>
        </w:rPr>
        <w:t>Second quarter dividend per share increased 4.0% to $0.92 annualized</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Lars B. Eller, President and Chief Executive Officer, stated, “I am proud to report the second quarter of 2026 was the most profitable quarter in our 129-year history. Our record performance builds upon the strong start we established in the first quarter and demonstrates the meaningful operating leverage across our business. With growing earnings momentum, a solid balance sheet and continued investments in our people, technology, and markets, we believe F&amp;M is well positioned to deliver sustained profitable growth and long-term value for our shareholders.”</w:t>
      </w:r>
    </w:p>
    <w:p>
      <w:pPr>
        <w:pStyle w:val="TextBody"/>
        <w:bidi w:val="0"/>
        <w:jc w:val="left"/>
        <w:rPr/>
      </w:pPr>
      <w:r>
        <w:rPr/>
        <w:t> </w:t>
      </w:r>
    </w:p>
    <w:p>
      <w:pPr>
        <w:pStyle w:val="TextBody"/>
        <w:bidi w:val="0"/>
        <w:jc w:val="both"/>
        <w:rPr>
          <w:rFonts w:ascii="Times New Roman" w:hAnsi="Times New Roman"/>
          <w:b/>
          <w:color w:val="404040"/>
          <w:sz w:val="22"/>
        </w:rPr>
      </w:pPr>
      <w:r>
        <w:rPr>
          <w:rFonts w:ascii="Times New Roman" w:hAnsi="Times New Roman"/>
          <w:b/>
          <w:color w:val="404040"/>
          <w:sz w:val="22"/>
        </w:rPr>
        <w:t>Income Statement</w:t>
      </w:r>
    </w:p>
    <w:p>
      <w:pPr>
        <w:pStyle w:val="TextBody"/>
        <w:bidi w:val="0"/>
        <w:jc w:val="both"/>
        <w:rPr>
          <w:rFonts w:ascii="Times New Roman" w:hAnsi="Times New Roman"/>
          <w:sz w:val="20"/>
        </w:rPr>
      </w:pPr>
      <w:r>
        <w:rPr>
          <w:rFonts w:ascii="Times New Roman" w:hAnsi="Times New Roman"/>
          <w:color w:val="000000"/>
          <w:sz w:val="22"/>
        </w:rPr>
        <w:t>Net income for the quarter ended June 30, 2026, was $11.8 million, compared to $7.7 million</w:t>
      </w:r>
      <w:r>
        <w:rPr>
          <w:rFonts w:ascii="Times New Roman" w:hAnsi="Times New Roman"/>
          <w:color w:val="EE0000"/>
          <w:sz w:val="20"/>
        </w:rPr>
        <w:t xml:space="preserve"> </w:t>
      </w:r>
      <w:r>
        <w:rPr>
          <w:rFonts w:ascii="Times New Roman" w:hAnsi="Times New Roman"/>
          <w:color w:val="000000"/>
          <w:sz w:val="22"/>
        </w:rPr>
        <w:t>for the same period last year. Net income per basic and diluted share for the 2026 second quarter was $0.86, compared to $0.56 for the same period last year. Net income for the 2026 first half ended June 30, 2026, was $21.4 million, compared to $14.7 million for the same period last year. Net income per basic and diluted share for the 2026 first half was $1.55, compared to $1.07 for the same period last year.</w:t>
      </w:r>
    </w:p>
    <w:p>
      <w:pPr>
        <w:pStyle w:val="TextBody"/>
        <w:bidi w:val="0"/>
        <w:jc w:val="both"/>
        <w:rPr/>
      </w:pPr>
      <w:r>
        <w:rPr/>
        <w:t> </w:t>
      </w:r>
    </w:p>
    <w:p>
      <w:pPr>
        <w:pStyle w:val="TextBody"/>
        <w:bidi w:val="0"/>
        <w:jc w:val="both"/>
        <w:rPr/>
      </w:pPr>
      <w:r>
        <w:rPr>
          <w:color w:val="000000"/>
        </w:rPr>
        <w:t>“</w:t>
      </w:r>
      <w:r>
        <w:rPr>
          <w:rFonts w:ascii="Times New Roman" w:hAnsi="Times New Roman"/>
          <w:color w:val="000000"/>
          <w:sz w:val="22"/>
        </w:rPr>
        <w:t>Second quarter 2026, net income increased 53% year-over-year and 23% sequentially, reflecting continued net interest margin expansion, strong levels of noninterest income, disciplined expense management, and effective balance sheet execution. Record levels of net income drove a significant expansion in our return on average assets at June 30, 2026, to 1.34%, the highest quarterly level in 23 quarters. We achieved these levels of profitability, while maintaining excellent credit quality, underscoring the strength and consistency of our core banking franchise,” continued Mr. Eller.</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b/>
          <w:color w:val="404040"/>
          <w:sz w:val="22"/>
        </w:rPr>
      </w:pPr>
      <w:r>
        <w:rPr>
          <w:rFonts w:ascii="Times New Roman" w:hAnsi="Times New Roman"/>
          <w:b/>
          <w:color w:val="404040"/>
          <w:sz w:val="22"/>
        </w:rPr>
        <w:t>Deposits</w:t>
      </w:r>
    </w:p>
    <w:p>
      <w:pPr>
        <w:pStyle w:val="TextBody"/>
        <w:bidi w:val="0"/>
        <w:jc w:val="both"/>
        <w:rPr>
          <w:rFonts w:ascii="Times New Roman" w:hAnsi="Times New Roman"/>
          <w:color w:val="000000"/>
          <w:sz w:val="22"/>
        </w:rPr>
      </w:pPr>
      <w:r>
        <w:rPr>
          <w:rFonts w:ascii="Times New Roman" w:hAnsi="Times New Roman"/>
          <w:color w:val="000000"/>
          <w:sz w:val="22"/>
        </w:rPr>
        <w:t>At June 30, 2026, total deposits were $2.87 billion, an increase of 5.9%, or $159.1 million from June 30, 2025. For the three months ended June 30, 2026, F&amp;M’s cost of interest-bearing liabilities was 2.56%, compared to 2.83% in the same period last year.</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Mr. Eller continued: “We continue to see favorable business and economic trends across our Ohio, Indiana, and Michigan markets, supporting higher year-over-year levels of both loans and deposits. We believe this growth reflects the value customers place on our relationship-based approach, local decision-making and ability to deliver responsive, tailored financial solutions. Our deposit growth was also accompanied by improved funding costs, with the cost of interest-bearing liabilities declining 27 basis points from the prior-year period. Together, these trends demonstrate the strength of our local franchise and our continued ability to attract, retain, and deepen high-quality customer relationships across the communities we serve.”</w:t>
      </w:r>
    </w:p>
    <w:p>
      <w:pPr>
        <w:pStyle w:val="TextBody"/>
        <w:bidi w:val="0"/>
        <w:jc w:val="left"/>
        <w:rPr/>
      </w:pPr>
      <w:r>
        <w:rPr/>
        <w:t> </w:t>
      </w:r>
    </w:p>
    <w:p>
      <w:pPr>
        <w:pStyle w:val="TextBody"/>
        <w:bidi w:val="0"/>
        <w:jc w:val="both"/>
        <w:rPr>
          <w:rFonts w:ascii="Times New Roman" w:hAnsi="Times New Roman"/>
          <w:b/>
          <w:color w:val="000000"/>
          <w:sz w:val="22"/>
        </w:rPr>
      </w:pPr>
      <w:r>
        <w:rPr>
          <w:rFonts w:ascii="Times New Roman" w:hAnsi="Times New Roman"/>
          <w:b/>
          <w:color w:val="000000"/>
          <w:sz w:val="22"/>
        </w:rPr>
        <w:t>Loan Portfolio and Asset Quality</w:t>
      </w:r>
    </w:p>
    <w:p>
      <w:pPr>
        <w:pStyle w:val="TextBody"/>
        <w:bidi w:val="0"/>
        <w:jc w:val="both"/>
        <w:rPr>
          <w:rFonts w:ascii="Times New Roman" w:hAnsi="Times New Roman"/>
          <w:sz w:val="20"/>
        </w:rPr>
      </w:pPr>
      <w:r>
        <w:rPr>
          <w:rFonts w:ascii="Times New Roman" w:hAnsi="Times New Roman"/>
          <w:color w:val="000000"/>
          <w:sz w:val="22"/>
        </w:rPr>
        <w:t>Total loans, net at June 30, 2026, increased 3.0%, or by $79.5 million to $2.70 billion, compared to $2.62 billion at June 30, 2025. The year-over-year increase was driven primarily by higher consumer real estate, commercial and industrial, and agricultural loans, partially offset by lower commercial real estate, agricultural real estate, and consumer loans.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2"/>
        </w:rPr>
        <w:t>F&amp;M continues to closely monitor its loan portfolio with a particular emphasis on higher risk sectors. Nonperforming loans continue to normalize on a quarter-over-quarter basis and were $7.4 million, or 0.27% of total loans at June 30, 2026, compared to $11.1 million, or 0.42% of total loans at March 31, 2026, and $3.7 million, or 0.14% of total loans at June 30, 2025.</w:t>
      </w:r>
      <w:r>
        <w:rPr>
          <w:rFonts w:ascii="Times New Roman" w:hAnsi="Times New Roman"/>
          <w:color w:val="000000"/>
          <w:sz w:val="20"/>
        </w:rPr>
        <w:t xml:space="preserve"> </w:t>
      </w:r>
    </w:p>
    <w:p>
      <w:pPr>
        <w:pStyle w:val="TextBody"/>
        <w:bidi w:val="0"/>
        <w:jc w:val="both"/>
        <w:rPr/>
      </w:pPr>
      <w:r>
        <w:rPr/>
        <w:t> </w:t>
      </w:r>
    </w:p>
    <w:p>
      <w:pPr>
        <w:pStyle w:val="TextBody"/>
        <w:bidi w:val="0"/>
        <w:jc w:val="left"/>
        <w:rPr>
          <w:rFonts w:ascii="Times New Roman" w:hAnsi="Times New Roman"/>
          <w:sz w:val="20"/>
        </w:rPr>
      </w:pPr>
      <w:r>
        <w:rPr>
          <w:rFonts w:ascii="Times New Roman" w:hAnsi="Times New Roman"/>
          <w:color w:val="000000"/>
          <w:sz w:val="22"/>
        </w:rPr>
        <w:t xml:space="preserve">F&amp;M maintains a well-balanced, diverse, and high performing CRE portfolio. CRE loans represented 48.4% of the Company’s total loan portfolio at June 30, 2026. F&amp;M’s CRE portfolio included the following categories at June 30, 2026 </w:t>
      </w:r>
      <w:r>
        <w:rPr>
          <w:rFonts w:ascii="Times New Roman" w:hAnsi="Times New Roman"/>
          <w:b/>
          <w:color w:val="000000"/>
          <w:sz w:val="15"/>
        </w:rPr>
        <w:t>(*)</w:t>
      </w:r>
      <w:r>
        <w:rPr>
          <w:rFonts w:ascii="Times New Roman" w:hAnsi="Times New Roman"/>
          <w:color w:val="000000"/>
          <w:sz w:val="22"/>
        </w:rPr>
        <w:t>:</w:t>
      </w:r>
    </w:p>
    <w:p>
      <w:pPr>
        <w:pStyle w:val="TextBody"/>
        <w:bidi w:val="0"/>
        <w:jc w:val="left"/>
        <w:rPr/>
      </w:pPr>
      <w:r>
        <w:rPr/>
        <w:t> </w:t>
      </w:r>
    </w:p>
    <w:tbl>
      <w:tblPr>
        <w:tblW w:w="6559" w:type="dxa"/>
        <w:jc w:val="left"/>
        <w:tblInd w:w="0" w:type="dxa"/>
        <w:tblLayout w:type="fixed"/>
        <w:tblCellMar>
          <w:top w:w="28" w:type="dxa"/>
          <w:left w:w="28" w:type="dxa"/>
          <w:bottom w:w="28" w:type="dxa"/>
          <w:right w:w="28" w:type="dxa"/>
        </w:tblCellMar>
      </w:tblPr>
      <w:tblGrid>
        <w:gridCol w:w="1471"/>
        <w:gridCol w:w="146"/>
        <w:gridCol w:w="226"/>
        <w:gridCol w:w="1066"/>
        <w:gridCol w:w="146"/>
        <w:gridCol w:w="146"/>
        <w:gridCol w:w="203"/>
        <w:gridCol w:w="907"/>
        <w:gridCol w:w="286"/>
        <w:gridCol w:w="146"/>
        <w:gridCol w:w="257"/>
        <w:gridCol w:w="928"/>
        <w:gridCol w:w="631"/>
      </w:tblGrid>
      <w:tr>
        <w:trPr/>
        <w:tc>
          <w:tcPr>
            <w:tcW w:w="14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r>
      <w:tr>
        <w:trPr/>
        <w:tc>
          <w:tcPr>
            <w:tcW w:w="1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CRE Category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Dollar</w:t>
              <w:br/>
              <w:t>Balance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 xml:space="preserve">Percent of </w:t>
              <w:br/>
              <w:t xml:space="preserve">CRE </w:t>
              <w:br/>
              <w:t>Portfolio</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 xml:space="preserve">Percent of </w:t>
              <w:br/>
              <w:t xml:space="preserve">Total Loan </w:t>
              <w:br/>
              <w:t>Portfolio</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Multi-family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241,662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18.5</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8.9</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r>
      <w:tr>
        <w:trPr/>
        <w:tc>
          <w:tcPr>
            <w:tcW w:w="1471"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Retail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233,404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17.8</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8.6</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r>
      <w:tr>
        <w:trPr/>
        <w:tc>
          <w:tcPr>
            <w:tcW w:w="1471" w:type="dxa"/>
            <w:tcBorders/>
            <w:shd w:fill="CFF0FC"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Industrial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216,907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16.6</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8.0</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r>
      <w:tr>
        <w:trPr/>
        <w:tc>
          <w:tcPr>
            <w:tcW w:w="1471"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Hotels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165,848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12.7</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6.1</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r>
      <w:tr>
        <w:trPr/>
        <w:tc>
          <w:tcPr>
            <w:tcW w:w="1471" w:type="dxa"/>
            <w:tcBorders/>
            <w:shd w:fill="CFF0FC"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Office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134,215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10.3</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5.0</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r>
      <w:tr>
        <w:trPr/>
        <w:tc>
          <w:tcPr>
            <w:tcW w:w="1471"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Gas Stations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77,758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5.9</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2.9</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r>
      <w:tr>
        <w:trPr/>
        <w:tc>
          <w:tcPr>
            <w:tcW w:w="1471" w:type="dxa"/>
            <w:tcBorders/>
            <w:shd w:fill="CFF0FC"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Food Service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50,067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3.8</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1.9</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r>
      <w:tr>
        <w:trPr/>
        <w:tc>
          <w:tcPr>
            <w:tcW w:w="1471"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37,698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2.9</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1.4</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r>
      <w:tr>
        <w:trPr/>
        <w:tc>
          <w:tcPr>
            <w:tcW w:w="1471" w:type="dxa"/>
            <w:tcBorders/>
            <w:shd w:fill="CFF0FC"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Auto Dealers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25,347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1.9</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0.9</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r>
      <w:tr>
        <w:trPr/>
        <w:tc>
          <w:tcPr>
            <w:tcW w:w="1471"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Senior Living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20,843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1.6</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0.8</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r>
      <w:tr>
        <w:trPr/>
        <w:tc>
          <w:tcPr>
            <w:tcW w:w="1471" w:type="dxa"/>
            <w:tcBorders/>
            <w:shd w:fill="CFF0FC"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104,851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8.0</w:t>
            </w:r>
          </w:p>
        </w:tc>
        <w:tc>
          <w:tcPr>
            <w:tcW w:w="2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3.9</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rFonts w:ascii="Times New Roman" w:hAnsi="Times New Roman"/>
                <w:color w:val="000000"/>
                <w:sz w:val="22"/>
              </w:rPr>
            </w:pPr>
            <w:r>
              <w:rPr>
                <w:rFonts w:ascii="Times New Roman" w:hAnsi="Times New Roman"/>
                <w:color w:val="000000"/>
                <w:sz w:val="22"/>
              </w:rPr>
              <w:t>%</w:t>
            </w:r>
          </w:p>
        </w:tc>
      </w:tr>
      <w:tr>
        <w:trPr/>
        <w:tc>
          <w:tcPr>
            <w:tcW w:w="147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2"/>
              </w:rPr>
            </w:pPr>
            <w:r>
              <w:rPr>
                <w:rFonts w:ascii="Times New Roman" w:hAnsi="Times New Roman"/>
                <w:color w:val="000000"/>
                <w:sz w:val="22"/>
              </w:rPr>
              <w:t>Total CRE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0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1,308,600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100.0</w:t>
            </w:r>
          </w:p>
        </w:tc>
        <w:tc>
          <w:tcPr>
            <w:tcW w:w="2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48.4</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r>
    </w:tbl>
    <w:p>
      <w:pPr>
        <w:pStyle w:val="TextBody"/>
        <w:bidi w:val="0"/>
        <w:jc w:val="both"/>
        <w:rPr>
          <w:rFonts w:ascii="Times New Roman" w:hAnsi="Times New Roman"/>
          <w:sz w:val="20"/>
        </w:rPr>
      </w:pPr>
      <w:r>
        <w:rPr>
          <w:rFonts w:ascii="Times New Roman" w:hAnsi="Times New Roman"/>
          <w:color w:val="404040"/>
          <w:sz w:val="22"/>
        </w:rPr>
        <w:t xml:space="preserve">* </w:t>
      </w:r>
      <w:r>
        <w:rPr>
          <w:rFonts w:ascii="Times New Roman" w:hAnsi="Times New Roman"/>
          <w:color w:val="000000"/>
          <w:sz w:val="22"/>
        </w:rPr>
        <w:t>Numbers have been rounded; totals may not foot due to rounding; and dollar amounts in thousands.</w:t>
      </w:r>
      <w:r>
        <w:rPr>
          <w:rFonts w:ascii="Times New Roman" w:hAnsi="Times New Roman"/>
          <w:color w:val="40404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2"/>
        </w:rPr>
        <w:t>At June 30, 2026, the Company’s total allowance for credit losses to total loans was 1.08%,</w:t>
      </w:r>
      <w:r>
        <w:rPr>
          <w:rFonts w:ascii="Times New Roman" w:hAnsi="Times New Roman"/>
          <w:color w:val="EE0000"/>
          <w:sz w:val="20"/>
        </w:rPr>
        <w:t xml:space="preserve"> </w:t>
      </w:r>
      <w:r>
        <w:rPr>
          <w:rFonts w:ascii="Times New Roman" w:hAnsi="Times New Roman"/>
          <w:color w:val="000000"/>
          <w:sz w:val="22"/>
        </w:rPr>
        <w:t>compared to 1.08%</w:t>
      </w:r>
      <w:r>
        <w:rPr>
          <w:rFonts w:ascii="Times New Roman" w:hAnsi="Times New Roman"/>
          <w:color w:val="EE0000"/>
          <w:sz w:val="20"/>
        </w:rPr>
        <w:t xml:space="preserve"> </w:t>
      </w:r>
      <w:r>
        <w:rPr>
          <w:rFonts w:ascii="Times New Roman" w:hAnsi="Times New Roman"/>
          <w:color w:val="000000"/>
          <w:sz w:val="22"/>
        </w:rPr>
        <w:t>at June 30, 2025.</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Mr. Eller concluded, “Our record second-quarter and year-to-date profitability demonstrate the strength of the platform we have built and the progress we are making across F&amp;M. As we execute our new three-year strategic plan, we remain focused on building upon this momentum, while preserving the relationship-based service, local decision-making and tailored financial solutions that distinguish F&amp;M across our markets. We believe this combination positions us to achieve the next level of profitable growth and create increasing long-term value for our customers, communities, and shareholders.”</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b/>
          <w:color w:val="404040"/>
          <w:sz w:val="22"/>
        </w:rPr>
      </w:pPr>
      <w:r>
        <w:rPr>
          <w:rFonts w:ascii="Times New Roman" w:hAnsi="Times New Roman"/>
          <w:b/>
          <w:color w:val="404040"/>
          <w:sz w:val="22"/>
        </w:rPr>
        <w:t>Stockholders’ Equity and Dividends</w:t>
      </w:r>
    </w:p>
    <w:p>
      <w:pPr>
        <w:pStyle w:val="TextBody"/>
        <w:bidi w:val="0"/>
        <w:jc w:val="both"/>
        <w:rPr>
          <w:rFonts w:ascii="Times New Roman" w:hAnsi="Times New Roman"/>
          <w:sz w:val="20"/>
        </w:rPr>
      </w:pPr>
      <w:r>
        <w:rPr>
          <w:rFonts w:ascii="Times New Roman" w:hAnsi="Times New Roman"/>
          <w:color w:val="000000"/>
          <w:sz w:val="22"/>
        </w:rPr>
        <w:t>Total stockholders’ equity increased 9.7% to $384.7 million, or $27.92 per share at June 30, 2026, from $350.8 million, or $25.56 per share at June 30, 2025. The Company had a Tier 1 leverage ratio of 8.99% at June 30, 2026, compared to 8.50% at June 30, 2025.</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2"/>
        </w:rPr>
        <w:t>Tangible stockholders’ equity increased to $295.0 million at June 30, 2026, compared to $259.6 million at June 30, 2025. On a per share basis, tangible stockholders’ equity at June 30, 2026, was $21.41</w:t>
      </w:r>
      <w:r>
        <w:rPr>
          <w:rFonts w:ascii="Times New Roman" w:hAnsi="Times New Roman"/>
          <w:color w:val="EE0000"/>
          <w:sz w:val="20"/>
        </w:rPr>
        <w:t xml:space="preserve"> </w:t>
      </w:r>
      <w:r>
        <w:rPr>
          <w:rFonts w:ascii="Times New Roman" w:hAnsi="Times New Roman"/>
          <w:color w:val="000000"/>
          <w:sz w:val="22"/>
        </w:rPr>
        <w:t>per share, compared to $18.91 per share at June 30, 2025. Tangible stockholders’ equity and tangible book value per share are non-GAAP financial measures; see “Use of Non-GAAP Financial Measures.”</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F&amp;M is committed to returning capital to shareholders and has increased the annual cash dividend for 31 consecutive years. For the six months ended June 30, 2026, the Company declared cash dividends of $0.46 per share, representing a 4.0% increase over the same period last year. For the six months ended June 30, 2026, the dividend payout ratio was 29.27% compared to 40.90% for the same period last year.</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b/>
          <w:color w:val="000000"/>
          <w:sz w:val="22"/>
        </w:rPr>
      </w:pPr>
      <w:r>
        <w:rPr>
          <w:rFonts w:ascii="Times New Roman" w:hAnsi="Times New Roman"/>
          <w:b/>
          <w:color w:val="000000"/>
          <w:sz w:val="22"/>
        </w:rPr>
        <w:t>About Farmers &amp; Merchants Bancorp, Inc.</w:t>
      </w:r>
    </w:p>
    <w:p>
      <w:pPr>
        <w:pStyle w:val="TextBody"/>
        <w:bidi w:val="0"/>
        <w:jc w:val="both"/>
        <w:rPr>
          <w:rFonts w:ascii="Times New Roman" w:hAnsi="Times New Roman"/>
          <w:color w:val="000000"/>
          <w:sz w:val="22"/>
        </w:rPr>
      </w:pPr>
      <w:r>
        <w:rPr>
          <w:rFonts w:ascii="Times New Roman" w:hAnsi="Times New Roman"/>
          <w:color w:val="000000"/>
          <w:sz w:val="22"/>
        </w:rPr>
        <w:t>Farmers &amp; Merchants Bancorp, Inc. (Nasdaq: FMAO) is a financial holding company headquartered in Archbold, Ohio, and the parent company of The Farmers &amp; Merchants State Bank.</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2"/>
        </w:rPr>
        <w:t>About Farmers &amp; Merchants State Bank:</w:t>
      </w:r>
      <w:r>
        <w:rPr>
          <w:rFonts w:ascii="Times New Roman" w:hAnsi="Times New Roman"/>
          <w:color w:val="404040"/>
          <w:sz w:val="20"/>
        </w:rPr>
        <w:t xml:space="preserve"> </w:t>
      </w:r>
    </w:p>
    <w:p>
      <w:pPr>
        <w:pStyle w:val="TextBody"/>
        <w:bidi w:val="0"/>
        <w:jc w:val="both"/>
        <w:rPr>
          <w:rFonts w:ascii="Times New Roman" w:hAnsi="Times New Roman"/>
          <w:color w:val="000000"/>
          <w:sz w:val="22"/>
        </w:rPr>
      </w:pPr>
      <w:r>
        <w:rPr>
          <w:rFonts w:ascii="Times New Roman" w:hAnsi="Times New Roman"/>
          <w:color w:val="000000"/>
          <w:sz w:val="22"/>
        </w:rPr>
        <w:t>F&amp;M Bank is a local independent community bank that has been serving its communities since 1897. F&amp;M Bank provides commercial banking, retail banking, and other financial services. Our locations are in Butler, Champaign, Fulton, Defiance, Hancock, Henry, Lucas, Shelby, Williams, and Wood counties in Ohio. In Northeast Indiana, we have offices located in Adams, Allen, DeKalb, Jay, Steuben, and Wells counties. The Michigan footprint includes Oakland County, and we have Loan Production Offices in Muncie, Indiana; and Perrysburg and Bryan, Ohio.</w:t>
      </w:r>
    </w:p>
    <w:p>
      <w:pPr>
        <w:pStyle w:val="TextBody"/>
        <w:bidi w:val="0"/>
        <w:jc w:val="both"/>
        <w:rPr>
          <w:rFonts w:ascii="Times New Roman" w:hAnsi="Times New Roman"/>
          <w:b/>
          <w:color w:val="000000"/>
          <w:sz w:val="22"/>
        </w:rPr>
      </w:pPr>
      <w:r>
        <w:rPr>
          <w:rFonts w:ascii="Times New Roman" w:hAnsi="Times New Roman"/>
          <w:b/>
          <w:color w:val="000000"/>
          <w:sz w:val="22"/>
        </w:rPr>
        <w:t>Use of Non-GAAP Financial Measures</w:t>
      </w:r>
    </w:p>
    <w:p>
      <w:pPr>
        <w:pStyle w:val="TextBody"/>
        <w:bidi w:val="0"/>
        <w:jc w:val="both"/>
        <w:rPr>
          <w:rFonts w:ascii="Times New Roman" w:hAnsi="Times New Roman"/>
          <w:sz w:val="20"/>
        </w:rPr>
      </w:pPr>
      <w:r>
        <w:rPr>
          <w:rFonts w:ascii="Times New Roman" w:hAnsi="Times New Roman"/>
          <w:color w:val="000000"/>
          <w:sz w:val="22"/>
        </w:rPr>
        <w:t>This release contains certain non-GAAP financial measures, including tangible stockholders’ equity and tangible book value per share. Management believes these measures facilitate period-to-period comparisons of the Company’s performance and provide useful supplemental information to investors; however, they should not be considered a substitute for, or superior to, financial measures calculated in accordance with GAAP.</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b/>
          <w:color w:val="000000"/>
          <w:sz w:val="22"/>
        </w:rPr>
      </w:pPr>
      <w:r>
        <w:rPr>
          <w:rFonts w:ascii="Times New Roman" w:hAnsi="Times New Roman"/>
          <w:b/>
          <w:color w:val="000000"/>
          <w:sz w:val="22"/>
        </w:rPr>
        <w:t>Basis of Presentation</w:t>
      </w:r>
    </w:p>
    <w:p>
      <w:pPr>
        <w:pStyle w:val="TextBody"/>
        <w:bidi w:val="0"/>
        <w:jc w:val="both"/>
        <w:rPr>
          <w:rFonts w:ascii="Times New Roman" w:hAnsi="Times New Roman"/>
          <w:color w:val="000000"/>
          <w:sz w:val="22"/>
        </w:rPr>
      </w:pPr>
      <w:r>
        <w:rPr>
          <w:rFonts w:ascii="Times New Roman" w:hAnsi="Times New Roman"/>
          <w:color w:val="000000"/>
          <w:sz w:val="22"/>
        </w:rPr>
        <w:t>The financial information in this release is preliminary, based on management’s current expectations, and is subject to change pending completion of customary quarterly closing processes and review. Unless otherwise indicated, all figures are presented on a consolidated basis and comparisons are to the same period of the prior year. Averages may be annualized. Totals may not foot due to rounding.</w:t>
      </w:r>
    </w:p>
    <w:p>
      <w:pPr>
        <w:pStyle w:val="TextBody"/>
        <w:bidi w:val="0"/>
        <w:jc w:val="left"/>
        <w:rPr/>
      </w:pPr>
      <w:r>
        <w:rPr/>
        <w:t> </w:t>
      </w:r>
    </w:p>
    <w:p>
      <w:pPr>
        <w:pStyle w:val="TextBody"/>
        <w:bidi w:val="0"/>
        <w:jc w:val="both"/>
        <w:rPr>
          <w:rFonts w:ascii="Times New Roman" w:hAnsi="Times New Roman"/>
          <w:b/>
          <w:color w:val="000000"/>
          <w:sz w:val="22"/>
        </w:rPr>
      </w:pPr>
      <w:r>
        <w:rPr>
          <w:rFonts w:ascii="Times New Roman" w:hAnsi="Times New Roman"/>
          <w:b/>
          <w:color w:val="000000"/>
          <w:sz w:val="22"/>
        </w:rPr>
        <w:t>Safe Harbor Statement</w:t>
      </w:r>
    </w:p>
    <w:p>
      <w:pPr>
        <w:pStyle w:val="TextBody"/>
        <w:bidi w:val="0"/>
        <w:jc w:val="both"/>
        <w:rPr>
          <w:rFonts w:ascii="Times New Roman" w:hAnsi="Times New Roman"/>
          <w:sz w:val="20"/>
        </w:rPr>
      </w:pPr>
      <w:r>
        <w:rPr>
          <w:rFonts w:ascii="Times New Roman" w:hAnsi="Times New Roman"/>
          <w:color w:val="000000"/>
          <w:sz w:val="22"/>
        </w:rPr>
        <w:t xml:space="preserve">Farmers &amp; Merchants Bancorp, Inc. (“F&amp;M”) wishes to take advantage of the Safe Harbor provisions included in the Private Securities Litigation Reform Act of 1995. Statements by F&amp;M, including management’s expectations and comments, may not be based on historical facts and are “forward-looking statements” within the meaning of Section 27A of the Securities Act of 1933, as amended, and Section 21E of the Securities Exchange Act of 1934, as amended. Forward-looking statements are typically identified by words such as “believe,” “expect,” “anticipate,” “intend,” “plan,” “seek,” “estimate,” “project,” “target,” “goal,” “will,” “would,” and similar expressions. Actual results could vary materially depending on risks and uncertainties inherent in general and local banking conditions, competitive factors specific to markets in which F&amp;M and its subsidiaries operate, future interest rate levels, legislative and regulatory decisions, capital market conditions, deposit flows and pricing, liquidity and access to wholesale funding, interest rate and asset-liability management, credit quality (including commercial real estate exposures), collateral values, inflation and macroeconomic conditions, changes in laws and regulations (including capital and liquidity requirements and the implementation of “Basel III Endgame”), FDIC assessments, stress testing and supervisory expectations, cybersecurity and third-party/vendor risks, competition and technological change, geopolitical events, severe weather and natural disasters, agricultural sector conditions, the accuracy of CECL estimates and other accounting judgments, capital and dividend restrictions, and other risks described in F&amp;M’s filings with the SEC. F&amp;M undertakes no obligation to update any forward-looking statements, whether as a result of new information, future events or otherwise, except as required by law. For more details, please refer to F&amp;M’s SEC filing, including its most recent Annual Report on Form 10-K and quarterly reports on Form 10-Q. Such filings can be viewed at the SEC’s website, www.sec.gov or through F&amp;M’s website </w:t>
      </w:r>
      <w:r>
        <w:rPr>
          <w:rFonts w:ascii="Times New Roman" w:hAnsi="Times New Roman"/>
          <w:color w:val="0000FF"/>
          <w:sz w:val="22"/>
        </w:rPr>
        <w:t>www.fm.bank</w:t>
      </w:r>
      <w:r>
        <w:rPr>
          <w:rFonts w:ascii="Times New Roman" w:hAnsi="Times New Roman"/>
          <w:color w:val="000000"/>
          <w:sz w:val="22"/>
        </w:rPr>
        <w:t>.</w:t>
      </w:r>
      <w:r>
        <w:rPr>
          <w:rFonts w:ascii="Times New Roman" w:hAnsi="Times New Roman"/>
          <w:color w:val="000000"/>
          <w:sz w:val="20"/>
        </w:rPr>
        <w:t xml:space="preserve">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color w:val="000000"/>
          <w:sz w:val="20"/>
        </w:rPr>
      </w:pPr>
      <w:r>
        <w:rPr>
          <w:rFonts w:ascii="Times New Roman" w:hAnsi="Times New Roman"/>
          <w:color w:val="000000"/>
          <w:sz w:val="20"/>
        </w:rPr>
        <w:t>FARMERS &amp; MERCHANTS BANCORP, INC. AND SUBSIDIARIES</w:t>
      </w:r>
    </w:p>
    <w:p>
      <w:pPr>
        <w:pStyle w:val="TextBody"/>
        <w:bidi w:val="0"/>
        <w:jc w:val="center"/>
        <w:rPr>
          <w:rFonts w:ascii="Times New Roman" w:hAnsi="Times New Roman"/>
          <w:color w:val="000000"/>
          <w:sz w:val="20"/>
        </w:rPr>
      </w:pPr>
      <w:r>
        <w:rPr>
          <w:rFonts w:ascii="Times New Roman" w:hAnsi="Times New Roman"/>
          <w:color w:val="000000"/>
          <w:sz w:val="20"/>
        </w:rPr>
        <w:t xml:space="preserve">CONSOLIDATED STATEMENTS OF INCOME &amp; COMPREHENSIVE INCOME </w:t>
      </w:r>
    </w:p>
    <w:p>
      <w:pPr>
        <w:pStyle w:val="TextBody"/>
        <w:bidi w:val="0"/>
        <w:jc w:val="center"/>
        <w:rPr>
          <w:rFonts w:ascii="Times New Roman" w:hAnsi="Times New Roman"/>
          <w:color w:val="000000"/>
          <w:sz w:val="20"/>
        </w:rPr>
      </w:pPr>
      <w:r>
        <w:rPr>
          <w:rFonts w:ascii="Times New Roman" w:hAnsi="Times New Roman"/>
          <w:color w:val="000000"/>
          <w:sz w:val="20"/>
        </w:rPr>
        <w:t xml:space="preserve">(Unaudited) (in thousands of dollars, except per share data) </w:t>
      </w:r>
    </w:p>
    <w:p>
      <w:pPr>
        <w:pStyle w:val="TextBody"/>
        <w:bidi w:val="0"/>
        <w:jc w:val="center"/>
        <w:rPr/>
      </w:pPr>
      <w:r>
        <w:rPr/>
        <w:t> </w:t>
      </w:r>
    </w:p>
    <w:tbl>
      <w:tblPr>
        <w:tblW w:w="10747" w:type="dxa"/>
        <w:jc w:val="left"/>
        <w:tblInd w:w="0" w:type="dxa"/>
        <w:tblLayout w:type="fixed"/>
        <w:tblCellMar>
          <w:top w:w="28" w:type="dxa"/>
          <w:left w:w="28" w:type="dxa"/>
          <w:bottom w:w="28" w:type="dxa"/>
          <w:right w:w="28" w:type="dxa"/>
        </w:tblCellMar>
      </w:tblPr>
      <w:tblGrid>
        <w:gridCol w:w="1866"/>
        <w:gridCol w:w="146"/>
        <w:gridCol w:w="211"/>
        <w:gridCol w:w="676"/>
        <w:gridCol w:w="146"/>
        <w:gridCol w:w="146"/>
        <w:gridCol w:w="211"/>
        <w:gridCol w:w="676"/>
        <w:gridCol w:w="166"/>
        <w:gridCol w:w="146"/>
        <w:gridCol w:w="217"/>
        <w:gridCol w:w="699"/>
        <w:gridCol w:w="166"/>
        <w:gridCol w:w="146"/>
        <w:gridCol w:w="228"/>
        <w:gridCol w:w="733"/>
        <w:gridCol w:w="166"/>
        <w:gridCol w:w="146"/>
        <w:gridCol w:w="211"/>
        <w:gridCol w:w="676"/>
        <w:gridCol w:w="146"/>
        <w:gridCol w:w="146"/>
        <w:gridCol w:w="211"/>
        <w:gridCol w:w="676"/>
        <w:gridCol w:w="166"/>
        <w:gridCol w:w="146"/>
        <w:gridCol w:w="211"/>
        <w:gridCol w:w="676"/>
        <w:gridCol w:w="591"/>
      </w:tblGrid>
      <w:tr>
        <w:trPr/>
        <w:tc>
          <w:tcPr>
            <w:tcW w:w="18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18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6"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June</w:t>
              <w:br/>
              <w:t>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w:t>
              <w:br/>
              <w:t> 31,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December</w:t>
              <w:br/>
              <w:t> 31,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September</w:t>
              <w:br/>
              <w:t> 30,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June</w:t>
              <w:br/>
              <w:t> 30,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June</w:t>
              <w:br/>
              <w:t>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June</w:t>
              <w:br/>
              <w:t> 30, 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Loans, including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80,666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76,602</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Debt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18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 xml:space="preserve">U.S. Treasury and </w:t>
              <w:br/>
              <w:t xml:space="preserve">   government </w:t>
              <w:br/>
              <w:t>   agencies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4,328</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186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Municipalities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751</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Dividends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649</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Federal funds sold and</w:t>
              <w:br/>
              <w:t>   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2,164</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18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45,647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44,566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88,945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84,494</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Deposits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28,801</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 xml:space="preserve">Federal funds purchased </w:t>
              <w:br/>
              <w:t xml:space="preserve">   and securities sold </w:t>
              <w:br/>
              <w:t xml:space="preserve">   under agreement to </w:t>
              <w:br/>
              <w:t>   repurchase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543</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Borrowed funds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4,961</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Subordinated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569</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18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 xml:space="preserve">Total interest </w:t>
              <w:br/>
              <w: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16,729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16,795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17,583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17,781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32,583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34,874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8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 xml:space="preserve">Net Interest Income - </w:t>
              <w:br/>
              <w:t xml:space="preserve">   Before Provision for </w:t>
              <w:br/>
              <w:t>   Credit Losses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56,362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49,620</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Provision for Credit</w:t>
              <w:br/>
              <w:t>   Losses - Loans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1,472</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 xml:space="preserve">Provision for (Recovery of) </w:t>
              <w:br/>
              <w:t xml:space="preserve">   Credit Losses - Off </w:t>
              <w:br/>
              <w:t>   Balance Sheet Credit</w:t>
              <w:br/>
              <w:t>   Exposures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8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 xml:space="preserve">Net Interest Income </w:t>
              <w:br/>
              <w:t xml:space="preserve">   After Provision for </w:t>
              <w:br/>
              <w:t>   Credit Losses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55,733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48,381</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Noninterest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Customer service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711</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service charges</w:t>
              <w:br/>
              <w:t>   and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2,330</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Interchange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2,680</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Loan servicing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1,391</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gain on sale of loans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541</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Increase in cash surrender</w:t>
              <w:br/>
              <w:t xml:space="preserve">   value of bank owned </w:t>
              <w:br/>
              <w:t>   life insurance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483</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 xml:space="preserve">Net gain (loss) on sale </w:t>
              <w:br/>
              <w:t>   of other assets owned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8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 xml:space="preserve">Net loss on sale of </w:t>
              <w:br/>
              <w:t xml:space="preserve">   available-for-sale </w:t>
              <w:br/>
              <w: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18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 xml:space="preserve">Total noninterest </w:t>
              <w:br/>
              <w: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8,097</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18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156" w:type="dxa"/>
            <w:gridSpan w:val="2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(continued)</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color w:val="000000"/>
          <w:sz w:val="20"/>
        </w:rPr>
      </w:pPr>
      <w:r>
        <w:rPr>
          <w:rFonts w:ascii="Times New Roman" w:hAnsi="Times New Roman"/>
          <w:color w:val="000000"/>
          <w:sz w:val="20"/>
        </w:rPr>
        <w:t xml:space="preserve">FARMERS &amp; MERCHANTS BANCORP, INC. AND SUBSIDIARIES </w:t>
      </w:r>
    </w:p>
    <w:p>
      <w:pPr>
        <w:pStyle w:val="TextBody"/>
        <w:bidi w:val="0"/>
        <w:jc w:val="center"/>
        <w:rPr>
          <w:rFonts w:ascii="Times New Roman" w:hAnsi="Times New Roman"/>
          <w:color w:val="000000"/>
          <w:sz w:val="20"/>
        </w:rPr>
      </w:pPr>
      <w:r>
        <w:rPr>
          <w:rFonts w:ascii="Times New Roman" w:hAnsi="Times New Roman"/>
          <w:color w:val="000000"/>
          <w:sz w:val="20"/>
        </w:rPr>
        <w:t>CONSOLIDATED STATEMENTS OF INCOME &amp; COMPREHENSIVE INCOME (continued)</w:t>
      </w:r>
    </w:p>
    <w:p>
      <w:pPr>
        <w:pStyle w:val="TextBody"/>
        <w:bidi w:val="0"/>
        <w:jc w:val="center"/>
        <w:rPr>
          <w:rFonts w:ascii="Times New Roman" w:hAnsi="Times New Roman"/>
          <w:color w:val="000000"/>
          <w:sz w:val="20"/>
        </w:rPr>
      </w:pPr>
      <w:r>
        <w:rPr>
          <w:rFonts w:ascii="Times New Roman" w:hAnsi="Times New Roman"/>
          <w:color w:val="000000"/>
          <w:sz w:val="20"/>
        </w:rPr>
        <w:t xml:space="preserve">(Unaudited) (in thousands of dollars, except per share data) </w:t>
      </w:r>
    </w:p>
    <w:p>
      <w:pPr>
        <w:pStyle w:val="TextBody"/>
        <w:bidi w:val="0"/>
        <w:jc w:val="center"/>
        <w:rPr/>
      </w:pPr>
      <w:r>
        <w:rPr/>
        <w:t> </w:t>
      </w:r>
    </w:p>
    <w:tbl>
      <w:tblPr>
        <w:tblW w:w="11244" w:type="dxa"/>
        <w:jc w:val="left"/>
        <w:tblInd w:w="0" w:type="dxa"/>
        <w:tblLayout w:type="fixed"/>
        <w:tblCellMar>
          <w:top w:w="28" w:type="dxa"/>
          <w:left w:w="28" w:type="dxa"/>
          <w:bottom w:w="28" w:type="dxa"/>
          <w:right w:w="28" w:type="dxa"/>
        </w:tblCellMar>
      </w:tblPr>
      <w:tblGrid>
        <w:gridCol w:w="1751"/>
        <w:gridCol w:w="146"/>
        <w:gridCol w:w="211"/>
        <w:gridCol w:w="781"/>
        <w:gridCol w:w="166"/>
        <w:gridCol w:w="146"/>
        <w:gridCol w:w="211"/>
        <w:gridCol w:w="781"/>
        <w:gridCol w:w="166"/>
        <w:gridCol w:w="146"/>
        <w:gridCol w:w="211"/>
        <w:gridCol w:w="781"/>
        <w:gridCol w:w="146"/>
        <w:gridCol w:w="146"/>
        <w:gridCol w:w="211"/>
        <w:gridCol w:w="781"/>
        <w:gridCol w:w="146"/>
        <w:gridCol w:w="146"/>
        <w:gridCol w:w="211"/>
        <w:gridCol w:w="781"/>
        <w:gridCol w:w="146"/>
        <w:gridCol w:w="146"/>
        <w:gridCol w:w="211"/>
        <w:gridCol w:w="781"/>
        <w:gridCol w:w="166"/>
        <w:gridCol w:w="146"/>
        <w:gridCol w:w="211"/>
        <w:gridCol w:w="781"/>
        <w:gridCol w:w="591"/>
      </w:tblGrid>
      <w:tr>
        <w:trPr/>
        <w:tc>
          <w:tcPr>
            <w:tcW w:w="17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17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8"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June</w:t>
              <w:br/>
              <w:t>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w:t>
              <w:br/>
              <w:t> 31,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December</w:t>
              <w:br/>
              <w:t>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September</w:t>
              <w:br/>
              <w:t> 30,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June</w:t>
              <w:br/>
              <w:t> 30,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June</w:t>
              <w:br/>
              <w:t>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June</w:t>
              <w:br/>
              <w:t> 30, 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Noninterest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7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Salaries and wages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15,445</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7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Employee benefits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4,669</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7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occupancy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2,274</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7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Furniture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2,692</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7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Data processing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1,614</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7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Franchise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794</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7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ATM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1,252</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7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Advertising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859</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7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FDIC assessment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913</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7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Servicing rights</w:t>
              <w:br/>
              <w:t>   amortization -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7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Loan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556</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7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Consulting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1,239</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7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Professional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1,061</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7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Intangible asset</w:t>
              <w:br/>
              <w:t>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889</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7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 xml:space="preserve">Other general and </w:t>
              <w:br/>
              <w:t>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3,402</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175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 xml:space="preserve">Total noninterest </w:t>
              <w:br/>
              <w: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19,264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19,801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19,053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19,739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19,260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39,065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38,020</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7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Income Before Income</w:t>
              <w:br/>
              <w:t>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18,458</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5,725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3,796</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7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11,797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9,578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9,793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8,854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7,710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21,375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14,662</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7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 xml:space="preserve">Other Comprehensive </w:t>
              <w:br/>
              <w:t xml:space="preserve">   Income (Loss) (Net of </w:t>
              <w:br/>
              <w:t>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7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unrealized gain</w:t>
              <w:br/>
              <w:t>   (loss) on available-</w:t>
              <w:br/>
              <w:t>   for-sale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7,613</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97"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 xml:space="preserve">Reclassification </w:t>
              <w:br/>
              <w:t xml:space="preserve">   adjustment for realized </w:t>
              <w:br/>
              <w:t>   loss on sale of available-</w:t>
              <w:br/>
              <w:t>   for-sale securities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7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 xml:space="preserve">Net unrealized gain </w:t>
              <w:br/>
              <w:t>   (loss) on available-</w:t>
              <w:br/>
              <w:t>   for-sale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7,613</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7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Tax expense (benefit)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1,599</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175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Other comprehensive</w:t>
              <w:br/>
              <w:t>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6,014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7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Comprehensive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11,367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7,940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11,892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14,076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8,618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19,307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20,676</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7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 xml:space="preserve">Basic Earnings </w:t>
              <w:br/>
              <w:t>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7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Diluted Earnings</w:t>
              <w:br/>
              <w:t>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7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Dividends Declared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0.23000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0.23000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0.23000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0.22750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0.22125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0.46000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0.44250</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color w:val="000000"/>
          <w:sz w:val="20"/>
        </w:rPr>
      </w:pPr>
      <w:r>
        <w:rPr>
          <w:rFonts w:ascii="Times New Roman" w:hAnsi="Times New Roman"/>
          <w:color w:val="000000"/>
          <w:sz w:val="20"/>
        </w:rPr>
        <w:t>FARMERS &amp; MERCHANTS BANCORP, INC. AND SUBSIDIARIES</w:t>
      </w:r>
    </w:p>
    <w:p>
      <w:pPr>
        <w:pStyle w:val="TextBody"/>
        <w:bidi w:val="0"/>
        <w:jc w:val="center"/>
        <w:rPr>
          <w:rFonts w:ascii="Times New Roman" w:hAnsi="Times New Roman"/>
          <w:color w:val="000000"/>
          <w:sz w:val="20"/>
        </w:rPr>
      </w:pPr>
      <w:r>
        <w:rPr>
          <w:rFonts w:ascii="Times New Roman" w:hAnsi="Times New Roman"/>
          <w:color w:val="000000"/>
          <w:sz w:val="20"/>
        </w:rPr>
        <w:t>CONDENSED CONSOLIDATED BALANCE SHEETS</w:t>
      </w:r>
    </w:p>
    <w:p>
      <w:pPr>
        <w:pStyle w:val="TextBody"/>
        <w:bidi w:val="0"/>
        <w:jc w:val="center"/>
        <w:rPr>
          <w:rFonts w:ascii="Times New Roman" w:hAnsi="Times New Roman"/>
          <w:color w:val="000000"/>
          <w:sz w:val="20"/>
        </w:rPr>
      </w:pPr>
      <w:r>
        <w:rPr>
          <w:rFonts w:ascii="Times New Roman" w:hAnsi="Times New Roman"/>
          <w:color w:val="000000"/>
          <w:sz w:val="20"/>
        </w:rPr>
        <w:t>(Unaudited) (in thousands of dollars, except share data)</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2690"/>
        <w:gridCol w:w="146"/>
        <w:gridCol w:w="196"/>
        <w:gridCol w:w="826"/>
        <w:gridCol w:w="166"/>
        <w:gridCol w:w="146"/>
        <w:gridCol w:w="196"/>
        <w:gridCol w:w="826"/>
        <w:gridCol w:w="166"/>
        <w:gridCol w:w="146"/>
        <w:gridCol w:w="196"/>
        <w:gridCol w:w="826"/>
        <w:gridCol w:w="166"/>
        <w:gridCol w:w="146"/>
        <w:gridCol w:w="196"/>
        <w:gridCol w:w="826"/>
        <w:gridCol w:w="166"/>
        <w:gridCol w:w="146"/>
        <w:gridCol w:w="196"/>
        <w:gridCol w:w="826"/>
        <w:gridCol w:w="1011"/>
      </w:tblGrid>
      <w:tr>
        <w:trPr/>
        <w:tc>
          <w:tcPr>
            <w:tcW w:w="26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r>
      <w:tr>
        <w:trPr/>
        <w:tc>
          <w:tcPr>
            <w:tcW w:w="269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June</w:t>
              <w:br/>
              <w:t> 30, 2026</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02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March</w:t>
              <w:br/>
              <w:t> 31, 2026</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02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December</w:t>
              <w:br/>
              <w:t> 31, 2025</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02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September</w:t>
              <w:br/>
              <w:t> 30, 2025</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02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June</w:t>
              <w:br/>
              <w:t> 30, 2025</w:t>
            </w:r>
          </w:p>
        </w:tc>
        <w:tc>
          <w:tcPr>
            <w:tcW w:w="10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269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(Unaudited)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(Unaudited)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(Unaudited)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(Unaudited)</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6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9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Cash and due from banks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155,879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172,847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97,249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116,448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87,596</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9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Federal funds sold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635</w:t>
            </w:r>
          </w:p>
        </w:tc>
        <w:tc>
          <w:tcPr>
            <w:tcW w:w="10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69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156,390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173,470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97,718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117,030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88,231</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9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9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Interest-bearing time deposits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1,992</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9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Securities - available-for-sale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441,254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429,623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422,072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422,773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431,102</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9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 securities, at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10,681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12,672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13,032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11,509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13,994</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9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Loans held for sale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6,359</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9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Loans, net of allowance for credit losses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2,677,072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2,654,135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2,685,990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2,632,668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2,599,917</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9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Premises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30,334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31,534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31,864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32,321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32,885</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9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Goodwill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86,358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86,358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86,358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86,358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86,358</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9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Loan servicing rights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5,810</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9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Bank owned life insurance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48,021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45,407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47,410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35,602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35,355</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9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43,411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40,247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39,331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42,453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43,760</w:t>
            </w:r>
          </w:p>
        </w:tc>
        <w:tc>
          <w:tcPr>
            <w:tcW w:w="10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6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3,502,118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3,485,569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3,434,382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3,390,752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3,345,763</w:t>
            </w:r>
          </w:p>
        </w:tc>
        <w:tc>
          <w:tcPr>
            <w:tcW w:w="10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9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9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9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Deposits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69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Noninterest-bearing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506,119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520,348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527,327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500,742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497,804</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690"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Interest-bearing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2690"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NOW accounts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898,902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910,723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876,151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920,099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899,602</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2690"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Savings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771,379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753,289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729,472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713,391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691,468</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2690"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Time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693,008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625,302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597,785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617,679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621,455</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00"/>
              <w:jc w:val="left"/>
              <w:rPr/>
            </w:pPr>
            <w:r>
              <w:rPr/>
              <w:t> </w:t>
            </w:r>
          </w:p>
        </w:tc>
      </w:tr>
      <w:tr>
        <w:trPr/>
        <w:tc>
          <w:tcPr>
            <w:tcW w:w="2690"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8"/>
              </w:rPr>
            </w:pPr>
            <w:r>
              <w:rPr>
                <w:rFonts w:ascii="Times New Roman" w:hAnsi="Times New Roman"/>
                <w:color w:val="000000"/>
                <w:sz w:val="18"/>
              </w:rPr>
              <w:t>Total deposits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2,869,408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2,809,662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2,730,735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2,751,911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2,710,329</w:t>
            </w:r>
          </w:p>
        </w:tc>
        <w:tc>
          <w:tcPr>
            <w:tcW w:w="10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9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 xml:space="preserve">Federal funds purchased and securities </w:t>
              <w:br/>
              <w:t>   sold under agreements to repurchase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14,771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14,762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37,718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22,718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27,562</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9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 xml:space="preserve">Federal Home Loan Bank (FHLB) </w:t>
              <w:br/>
              <w:t>   advances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168,447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218,987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227,377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187,913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188,445</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9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Subordinated notes, net of unamortized</w:t>
              <w:br/>
              <w:t>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34,991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34,962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34,933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34,904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34,875</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9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Dividend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3,000</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9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Accrued expenses and other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26,655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28,120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29,632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28,435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30,760</w:t>
            </w:r>
          </w:p>
        </w:tc>
        <w:tc>
          <w:tcPr>
            <w:tcW w:w="10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800"/>
              <w:jc w:val="left"/>
              <w:rPr/>
            </w:pPr>
            <w:r>
              <w:rPr/>
              <w:t> </w:t>
            </w:r>
          </w:p>
        </w:tc>
      </w:tr>
      <w:tr>
        <w:trPr/>
        <w:tc>
          <w:tcPr>
            <w:tcW w:w="2690"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8"/>
              </w:rPr>
            </w:pPr>
            <w:r>
              <w:rPr>
                <w:rFonts w:ascii="Times New Roman" w:hAnsi="Times New Roman"/>
                <w:color w:val="000000"/>
                <w:sz w:val="18"/>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3,117,402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3,109,621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3,063,520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3,028,972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2,994,971</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9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Commitments and Contingencies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9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9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 xml:space="preserve">Common stock - No par value; authorized 40,000,000 </w:t>
              <w:br/>
              <w:t xml:space="preserve">   shares; issued 14,564,425 shares; outstanding </w:t>
              <w:br/>
              <w:t>   13,779,385 shares 6/30/26 and 13,748,074</w:t>
              <w:br/>
              <w:t>   shares 12/31/25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135,510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135,270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135,531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135,170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135,805</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9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Treasury stock - 785,040 shares 6/30/26</w:t>
              <w:br/>
              <w:t>   and 816,351 shares 12/31/25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(10,293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(10,403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(10,636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(10,584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(10,674</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269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Retained earnings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273,455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264,607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257,855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251,181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244,870</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9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 xml:space="preserve">Accumulated other comprehensive </w:t>
              <w:br/>
              <w: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(13,956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(13,526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(11,888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(13,987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(19,209</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00"/>
              <w:jc w:val="left"/>
              <w:rPr>
                <w:rFonts w:ascii="Times New Roman" w:hAnsi="Times New Roman"/>
                <w:color w:val="000000"/>
                <w:sz w:val="18"/>
              </w:rPr>
            </w:pPr>
            <w:r>
              <w:rPr>
                <w:rFonts w:ascii="Times New Roman" w:hAnsi="Times New Roman"/>
                <w:color w:val="000000"/>
                <w:sz w:val="18"/>
              </w:rPr>
              <w:t>)</w:t>
            </w:r>
          </w:p>
        </w:tc>
      </w:tr>
      <w:tr>
        <w:trPr/>
        <w:tc>
          <w:tcPr>
            <w:tcW w:w="2690"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8"/>
              </w:rPr>
            </w:pPr>
            <w:r>
              <w:rPr>
                <w:rFonts w:ascii="Times New Roman" w:hAnsi="Times New Roman"/>
                <w:color w:val="000000"/>
                <w:sz w:val="18"/>
              </w:rPr>
              <w:t>Total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384,716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375,948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370,862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361,780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350,792</w:t>
            </w:r>
          </w:p>
        </w:tc>
        <w:tc>
          <w:tcPr>
            <w:tcW w:w="10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6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 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3,502,118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3,485,569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3,434,382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3,390,752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3,345,763</w:t>
            </w:r>
          </w:p>
        </w:tc>
        <w:tc>
          <w:tcPr>
            <w:tcW w:w="10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color w:val="000000"/>
          <w:sz w:val="20"/>
        </w:rPr>
      </w:pPr>
      <w:r>
        <w:rPr>
          <w:rFonts w:ascii="Times New Roman" w:hAnsi="Times New Roman"/>
          <w:color w:val="000000"/>
          <w:sz w:val="20"/>
        </w:rPr>
        <w:t>FARMERS &amp; MERCHANTS BANCORP, INC. AND SUBSIDIARIES</w:t>
      </w:r>
    </w:p>
    <w:p>
      <w:pPr>
        <w:pStyle w:val="TextBody"/>
        <w:bidi w:val="0"/>
        <w:jc w:val="center"/>
        <w:rPr>
          <w:rFonts w:ascii="Times New Roman" w:hAnsi="Times New Roman"/>
          <w:color w:val="000000"/>
          <w:sz w:val="20"/>
        </w:rPr>
      </w:pPr>
      <w:r>
        <w:rPr>
          <w:rFonts w:ascii="Times New Roman" w:hAnsi="Times New Roman"/>
          <w:color w:val="000000"/>
          <w:sz w:val="20"/>
        </w:rPr>
        <w:t>SELECT FINANCIAL DATA</w:t>
      </w:r>
    </w:p>
    <w:p>
      <w:pPr>
        <w:pStyle w:val="TextBody"/>
        <w:bidi w:val="0"/>
        <w:jc w:val="center"/>
        <w:rPr/>
      </w:pPr>
      <w:r>
        <w:rPr/>
        <w:t> </w:t>
      </w:r>
    </w:p>
    <w:tbl>
      <w:tblPr>
        <w:tblW w:w="13981" w:type="dxa"/>
        <w:jc w:val="left"/>
        <w:tblInd w:w="0" w:type="dxa"/>
        <w:tblLayout w:type="fixed"/>
        <w:tblCellMar>
          <w:top w:w="28" w:type="dxa"/>
          <w:left w:w="28" w:type="dxa"/>
          <w:bottom w:w="28" w:type="dxa"/>
          <w:right w:w="28" w:type="dxa"/>
        </w:tblCellMar>
      </w:tblPr>
      <w:tblGrid>
        <w:gridCol w:w="1396"/>
        <w:gridCol w:w="146"/>
        <w:gridCol w:w="211"/>
        <w:gridCol w:w="146"/>
        <w:gridCol w:w="1036"/>
        <w:gridCol w:w="271"/>
        <w:gridCol w:w="146"/>
        <w:gridCol w:w="211"/>
        <w:gridCol w:w="146"/>
        <w:gridCol w:w="1036"/>
        <w:gridCol w:w="271"/>
        <w:gridCol w:w="146"/>
        <w:gridCol w:w="211"/>
        <w:gridCol w:w="146"/>
        <w:gridCol w:w="1036"/>
        <w:gridCol w:w="271"/>
        <w:gridCol w:w="146"/>
        <w:gridCol w:w="211"/>
        <w:gridCol w:w="146"/>
        <w:gridCol w:w="1036"/>
        <w:gridCol w:w="271"/>
        <w:gridCol w:w="146"/>
        <w:gridCol w:w="211"/>
        <w:gridCol w:w="146"/>
        <w:gridCol w:w="1036"/>
        <w:gridCol w:w="271"/>
        <w:gridCol w:w="146"/>
        <w:gridCol w:w="146"/>
        <w:gridCol w:w="146"/>
        <w:gridCol w:w="1036"/>
        <w:gridCol w:w="271"/>
        <w:gridCol w:w="146"/>
        <w:gridCol w:w="146"/>
        <w:gridCol w:w="146"/>
        <w:gridCol w:w="1036"/>
        <w:gridCol w:w="316"/>
      </w:tblGrid>
      <w:tr>
        <w:trPr/>
        <w:tc>
          <w:tcPr>
            <w:tcW w:w="13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3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33" w:type="dxa"/>
            <w:gridSpan w:val="2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Three Months Ended</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73"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Six Months Ended</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Selected financial data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9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June</w:t>
              <w:br/>
              <w:t>30, 2026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9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w:t>
              <w:br/>
              <w:t>31, 2026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9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December</w:t>
              <w:br/>
              <w:t>31, 2025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9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September</w:t>
              <w:br/>
              <w:t>30, 2025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June</w:t>
              <w:br/>
              <w:t>30, 2025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June</w:t>
              <w:br/>
              <w:t>30, 2026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2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June</w:t>
              <w:br/>
              <w:t>30, 2025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Return on average </w:t>
              <w:br/>
              <w: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0.88</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Return on average </w:t>
              <w:br/>
              <w:t>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8.55</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3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Yield on earning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5.32</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Cost of interest-bearing </w:t>
              <w:br/>
              <w: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3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interest spread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interest margin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3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Efficiency ratio</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56.08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58.38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63.11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64.93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58.18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65.84</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Dividend payout ratio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3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Tangible book value </w:t>
              <w:br/>
              <w:t>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82"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82"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Tier 1 leverage ratio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3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Average shares </w:t>
              <w:br/>
              <w:t>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13,773,387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13,754,684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13,749,420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13,733,858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13,720,339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13,764,087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13,713,211</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pPr>
      <w:r>
        <w:rPr/>
        <w:t> </w:t>
      </w:r>
    </w:p>
    <w:tbl>
      <w:tblPr>
        <w:tblW w:w="10205" w:type="dxa"/>
        <w:jc w:val="left"/>
        <w:tblInd w:w="0" w:type="dxa"/>
        <w:tblLayout w:type="fixed"/>
        <w:tblCellMar>
          <w:top w:w="28" w:type="dxa"/>
          <w:left w:w="28" w:type="dxa"/>
          <w:bottom w:w="28" w:type="dxa"/>
          <w:right w:w="28" w:type="dxa"/>
        </w:tblCellMar>
      </w:tblPr>
      <w:tblGrid>
        <w:gridCol w:w="1428"/>
        <w:gridCol w:w="158"/>
        <w:gridCol w:w="244"/>
        <w:gridCol w:w="158"/>
        <w:gridCol w:w="1008"/>
        <w:gridCol w:w="179"/>
        <w:gridCol w:w="158"/>
        <w:gridCol w:w="244"/>
        <w:gridCol w:w="158"/>
        <w:gridCol w:w="1008"/>
        <w:gridCol w:w="179"/>
        <w:gridCol w:w="158"/>
        <w:gridCol w:w="244"/>
        <w:gridCol w:w="158"/>
        <w:gridCol w:w="1008"/>
        <w:gridCol w:w="179"/>
        <w:gridCol w:w="158"/>
        <w:gridCol w:w="244"/>
        <w:gridCol w:w="158"/>
        <w:gridCol w:w="1008"/>
        <w:gridCol w:w="179"/>
        <w:gridCol w:w="158"/>
        <w:gridCol w:w="244"/>
        <w:gridCol w:w="158"/>
        <w:gridCol w:w="1008"/>
        <w:gridCol w:w="221"/>
      </w:tblGrid>
      <w:tr>
        <w:trPr/>
        <w:tc>
          <w:tcPr>
            <w:tcW w:w="142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14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Loans</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10" w:type="dxa"/>
            <w:gridSpan w:val="3"/>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June</w:t>
              <w:br/>
              <w:t> 30, 2026</w:t>
            </w:r>
          </w:p>
        </w:tc>
        <w:tc>
          <w:tcPr>
            <w:tcW w:w="179"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58"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10" w:type="dxa"/>
            <w:gridSpan w:val="3"/>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w:t>
              <w:br/>
              <w:t> 31, 2026</w:t>
            </w:r>
          </w:p>
        </w:tc>
        <w:tc>
          <w:tcPr>
            <w:tcW w:w="179"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58"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10" w:type="dxa"/>
            <w:gridSpan w:val="3"/>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December</w:t>
              <w:br/>
              <w:t> 30, 2025</w:t>
            </w:r>
          </w:p>
        </w:tc>
        <w:tc>
          <w:tcPr>
            <w:tcW w:w="179"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58"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10" w:type="dxa"/>
            <w:gridSpan w:val="3"/>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September</w:t>
              <w:br/>
              <w:t> 30, 2025</w:t>
            </w:r>
          </w:p>
        </w:tc>
        <w:tc>
          <w:tcPr>
            <w:tcW w:w="179"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58"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10" w:type="dxa"/>
            <w:gridSpan w:val="3"/>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June</w:t>
              <w:br/>
              <w:t> 30, 2025</w:t>
            </w:r>
          </w:p>
        </w:tc>
        <w:tc>
          <w:tcPr>
            <w:tcW w:w="22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14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(Dollar amounts in thousands)</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Commercial real estate</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1,308,600</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1,315,549</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1,355,571</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1,355,166</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1,345,953</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Agricultural real estate</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208,223</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215,846</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217,034</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222,145</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221,004</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Consumer real estate</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533,438</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534,987</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526,439</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522,416</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523,781</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Commercial and industrial</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337,487</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309,046</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314,405</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296,084</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293,826</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Agricultural</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244,611</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228,730</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218,050</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179,361</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157,870</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Consumer</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50,953</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55,576</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58,838</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60,469</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59,348</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22,574</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22,564</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23,133</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24,086</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24,653</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28" w:type="dxa"/>
            <w:tcBorders/>
            <w:shd w:fill="FFFFFF" w:val="clear"/>
            <w:tcMar>
              <w:top w:w="0" w:type="dxa"/>
              <w:left w:w="0" w:type="dxa"/>
              <w:bottom w:w="0" w:type="dxa"/>
              <w:right w:w="0" w:type="dxa"/>
            </w:tcMar>
            <w:vAlign w:val="center"/>
          </w:tcPr>
          <w:p>
            <w:pPr>
              <w:pStyle w:val="TableContents"/>
              <w:bidi w:val="0"/>
              <w:spacing w:before="0" w:after="283"/>
              <w:jc w:val="left"/>
              <w:rPr/>
            </w:pPr>
            <w:r>
              <w:rPr>
                <w:color w:val="000000"/>
              </w:rPr>
              <w:t>  </w:t>
            </w:r>
            <w:r>
              <w:rPr>
                <w:rFonts w:ascii="Times New Roman" w:hAnsi="Times New Roman"/>
                <w:color w:val="000000"/>
                <w:sz w:val="20"/>
              </w:rPr>
              <w:t xml:space="preserve">Less: Net deferred loan fees </w:t>
              <w:br/>
              <w:t xml:space="preserve">      costs and other </w:t>
            </w:r>
            <w:r>
              <w:rPr>
                <w:rFonts w:ascii="Times New Roman" w:hAnsi="Times New Roman"/>
                <w:color w:val="000000"/>
                <w:sz w:val="13"/>
              </w:rPr>
              <w:t>(1)</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(1,419</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(1,436</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(1,511</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(1,452</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(1,488</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4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loans, net</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2,704,467</w:t>
            </w:r>
          </w:p>
        </w:tc>
        <w:tc>
          <w:tcPr>
            <w:tcW w:w="1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2,680,862</w:t>
            </w:r>
          </w:p>
        </w:tc>
        <w:tc>
          <w:tcPr>
            <w:tcW w:w="1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2,711,959</w:t>
            </w:r>
          </w:p>
        </w:tc>
        <w:tc>
          <w:tcPr>
            <w:tcW w:w="1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2,658,275</w:t>
            </w:r>
          </w:p>
        </w:tc>
        <w:tc>
          <w:tcPr>
            <w:tcW w:w="1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2,624,947</w:t>
            </w:r>
          </w:p>
        </w:tc>
        <w:tc>
          <w:tcPr>
            <w:tcW w:w="2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4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84" w:type="dxa"/>
            <w:gridSpan w:val="25"/>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3"/>
              </w:rPr>
              <w:t>(1)</w:t>
            </w:r>
            <w:r>
              <w:rPr>
                <w:rFonts w:ascii="Times New Roman" w:hAnsi="Times New Roman"/>
                <w:color w:val="000000"/>
                <w:sz w:val="20"/>
              </w:rPr>
              <w:t> Excludes carrying value adjustments of $546 thousand as of June 30, 2026, $1.1 million as of March 31, 2026, $1.7 million as of December 31, 2025, $1.9 million as of September 30, 2025 and $1.9 million as of June 30, 2025 related to interest rate swaps associated with fixed rate loans</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color w:val="000000"/>
          <w:sz w:val="20"/>
        </w:rPr>
      </w:pPr>
      <w:r>
        <w:rPr>
          <w:rFonts w:ascii="Times New Roman" w:hAnsi="Times New Roman"/>
          <w:color w:val="000000"/>
          <w:sz w:val="20"/>
        </w:rPr>
        <w:t>FARMERS &amp; MERCHANTS BANCORP, INC. AND SUBSIDIARIES</w:t>
      </w:r>
    </w:p>
    <w:p>
      <w:pPr>
        <w:pStyle w:val="TextBody"/>
        <w:bidi w:val="0"/>
        <w:jc w:val="center"/>
        <w:rPr>
          <w:rFonts w:ascii="Times New Roman" w:hAnsi="Times New Roman"/>
          <w:color w:val="000000"/>
          <w:sz w:val="20"/>
        </w:rPr>
      </w:pPr>
      <w:r>
        <w:rPr>
          <w:rFonts w:ascii="Times New Roman" w:hAnsi="Times New Roman"/>
          <w:color w:val="000000"/>
          <w:sz w:val="20"/>
        </w:rPr>
        <w:t>SELECT FINANCIAL DATA (continued)</w:t>
      </w:r>
    </w:p>
    <w:p>
      <w:pPr>
        <w:pStyle w:val="TextBody"/>
        <w:bidi w:val="0"/>
        <w:jc w:val="left"/>
        <w:rPr/>
      </w:pPr>
      <w:r>
        <w:rPr/>
        <w:t> </w:t>
      </w:r>
    </w:p>
    <w:tbl>
      <w:tblPr>
        <w:tblW w:w="10176" w:type="dxa"/>
        <w:jc w:val="left"/>
        <w:tblInd w:w="0" w:type="dxa"/>
        <w:tblLayout w:type="fixed"/>
        <w:tblCellMar>
          <w:top w:w="28" w:type="dxa"/>
          <w:left w:w="28" w:type="dxa"/>
          <w:bottom w:w="28" w:type="dxa"/>
          <w:right w:w="28" w:type="dxa"/>
        </w:tblCellMar>
      </w:tblPr>
      <w:tblGrid>
        <w:gridCol w:w="2881"/>
        <w:gridCol w:w="146"/>
        <w:gridCol w:w="211"/>
        <w:gridCol w:w="146"/>
        <w:gridCol w:w="676"/>
        <w:gridCol w:w="271"/>
        <w:gridCol w:w="146"/>
        <w:gridCol w:w="211"/>
        <w:gridCol w:w="146"/>
        <w:gridCol w:w="676"/>
        <w:gridCol w:w="271"/>
        <w:gridCol w:w="146"/>
        <w:gridCol w:w="211"/>
        <w:gridCol w:w="146"/>
        <w:gridCol w:w="676"/>
        <w:gridCol w:w="271"/>
        <w:gridCol w:w="146"/>
        <w:gridCol w:w="211"/>
        <w:gridCol w:w="146"/>
        <w:gridCol w:w="676"/>
        <w:gridCol w:w="271"/>
        <w:gridCol w:w="146"/>
        <w:gridCol w:w="211"/>
        <w:gridCol w:w="146"/>
        <w:gridCol w:w="676"/>
        <w:gridCol w:w="316"/>
      </w:tblGrid>
      <w:tr>
        <w:trPr/>
        <w:tc>
          <w:tcPr>
            <w:tcW w:w="28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8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 quality data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3" w:type="dxa"/>
            <w:gridSpan w:val="3"/>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June</w:t>
              <w:br/>
              <w:t>30, 2026</w:t>
            </w:r>
          </w:p>
        </w:tc>
        <w:tc>
          <w:tcPr>
            <w:tcW w:w="27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033" w:type="dxa"/>
            <w:gridSpan w:val="3"/>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w:t>
              <w:br/>
              <w:t>31, 2026</w:t>
            </w:r>
          </w:p>
        </w:tc>
        <w:tc>
          <w:tcPr>
            <w:tcW w:w="27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033" w:type="dxa"/>
            <w:gridSpan w:val="3"/>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December</w:t>
              <w:br/>
              <w:t>31, 2025</w:t>
            </w:r>
          </w:p>
        </w:tc>
        <w:tc>
          <w:tcPr>
            <w:tcW w:w="27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033" w:type="dxa"/>
            <w:gridSpan w:val="3"/>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September</w:t>
              <w:br/>
              <w:t>30, 2025</w:t>
            </w:r>
          </w:p>
        </w:tc>
        <w:tc>
          <w:tcPr>
            <w:tcW w:w="27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033" w:type="dxa"/>
            <w:gridSpan w:val="3"/>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June</w:t>
              <w:br/>
              <w:t>30, 2025</w:t>
            </w:r>
          </w:p>
        </w:tc>
        <w:tc>
          <w:tcPr>
            <w:tcW w:w="31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28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(Dollar amounts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Nonaccrual loans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7,383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11,070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11,256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3,745</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90 day past due and accruing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Nonperforming loans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7,383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11,070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11,256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3,745</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real estate owned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Nonperforming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7,383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11,389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11,256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3,745</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Allowance for credit losses - loans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27,941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27,830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27,688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27,475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26,977</w:t>
            </w:r>
          </w:p>
        </w:tc>
        <w:tc>
          <w:tcPr>
            <w:tcW w:w="3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88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Allowance for credit losses - off</w:t>
              <w:br/>
              <w:t>   balance sheet credit exposures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1,189</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1,041</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1,037</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1,308</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8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Total allowance for </w:t>
              <w:br/>
              <w:t>   credit losses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29,130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28,871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28,723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28,512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28,285</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allowance for credit losses/</w:t>
              <w:br/>
              <w:t>   total loans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charge-offs: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8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Quarter-to-date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8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Year-to-date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charge-offs to average loans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88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Quarter-to-date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8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Year-to-date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Nonperforming loans/total loans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0.14</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Allowance for credit losses/ </w:t>
              <w:br/>
              <w:t>   nonperforming loans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378.45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251.40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245.98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532.98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720.35</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NPA coverage ratio</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378.45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244.36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245.98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532.98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720.35</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860" w:type="dxa"/>
            <w:gridSpan w:val="25"/>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color w:val="000000"/>
          <w:sz w:val="20"/>
        </w:rPr>
      </w:pPr>
      <w:r>
        <w:rPr>
          <w:rFonts w:ascii="Times New Roman" w:hAnsi="Times New Roman"/>
          <w:color w:val="000000"/>
          <w:sz w:val="20"/>
        </w:rPr>
        <w:t>FARMERS &amp; MERCHANTS BANCORP, INC. AND SUBSIDIARIES</w:t>
      </w:r>
    </w:p>
    <w:p>
      <w:pPr>
        <w:pStyle w:val="TextBody"/>
        <w:bidi w:val="0"/>
        <w:jc w:val="center"/>
        <w:rPr>
          <w:rFonts w:ascii="Times New Roman" w:hAnsi="Times New Roman"/>
          <w:color w:val="000000"/>
          <w:sz w:val="20"/>
        </w:rPr>
      </w:pPr>
      <w:r>
        <w:rPr>
          <w:rFonts w:ascii="Times New Roman" w:hAnsi="Times New Roman"/>
          <w:color w:val="000000"/>
          <w:sz w:val="20"/>
        </w:rPr>
        <w:t xml:space="preserve">AVERAGE BALANCE SHEETS AND RELATED YIELDS AND RATES </w:t>
      </w:r>
    </w:p>
    <w:p>
      <w:pPr>
        <w:pStyle w:val="TextBody"/>
        <w:bidi w:val="0"/>
        <w:jc w:val="center"/>
        <w:rPr>
          <w:rFonts w:ascii="Times New Roman" w:hAnsi="Times New Roman"/>
          <w:color w:val="000000"/>
          <w:sz w:val="20"/>
        </w:rPr>
      </w:pPr>
      <w:r>
        <w:rPr>
          <w:rFonts w:ascii="Times New Roman" w:hAnsi="Times New Roman"/>
          <w:color w:val="000000"/>
          <w:sz w:val="20"/>
        </w:rPr>
        <w:t>(in thousands of dollars, except percentages)</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1835"/>
        <w:gridCol w:w="146"/>
        <w:gridCol w:w="212"/>
        <w:gridCol w:w="936"/>
        <w:gridCol w:w="146"/>
        <w:gridCol w:w="146"/>
        <w:gridCol w:w="226"/>
        <w:gridCol w:w="725"/>
        <w:gridCol w:w="146"/>
        <w:gridCol w:w="146"/>
        <w:gridCol w:w="251"/>
        <w:gridCol w:w="805"/>
        <w:gridCol w:w="272"/>
        <w:gridCol w:w="146"/>
        <w:gridCol w:w="212"/>
        <w:gridCol w:w="936"/>
        <w:gridCol w:w="146"/>
        <w:gridCol w:w="146"/>
        <w:gridCol w:w="226"/>
        <w:gridCol w:w="725"/>
        <w:gridCol w:w="146"/>
        <w:gridCol w:w="146"/>
        <w:gridCol w:w="251"/>
        <w:gridCol w:w="805"/>
        <w:gridCol w:w="328"/>
      </w:tblGrid>
      <w:tr>
        <w:trPr/>
        <w:tc>
          <w:tcPr>
            <w:tcW w:w="183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r>
      <w:tr>
        <w:trPr/>
        <w:tc>
          <w:tcPr>
            <w:tcW w:w="18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39" w:type="dxa"/>
            <w:gridSpan w:val="10"/>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Three Months Ended</w:t>
            </w:r>
          </w:p>
        </w:tc>
        <w:tc>
          <w:tcPr>
            <w:tcW w:w="272"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39" w:type="dxa"/>
            <w:gridSpan w:val="10"/>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Three Months Ended</w:t>
            </w:r>
          </w:p>
        </w:tc>
        <w:tc>
          <w:tcPr>
            <w:tcW w:w="328"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18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39"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2026</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39"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2025</w:t>
            </w:r>
          </w:p>
        </w:tc>
        <w:tc>
          <w:tcPr>
            <w:tcW w:w="3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 xml:space="preserve">Average </w:t>
              <w:br/>
              <w:t>Balance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Interest/</w:t>
              <w:br/>
              <w:t>Dividends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Annualized</w:t>
              <w:br/>
              <w:t>Yield/Rate</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 xml:space="preserve">Average </w:t>
              <w:br/>
              <w:t>Balance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Interest/</w:t>
              <w:br/>
              <w:t>Dividends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Annualized</w:t>
              <w:br/>
              <w:t>Yield/Rate</w:t>
            </w:r>
          </w:p>
        </w:tc>
        <w:tc>
          <w:tcPr>
            <w:tcW w:w="3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Earning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2,690,938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6.07</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2,617,278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6.04</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8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Taxable investment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458,152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459,298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w:t>
            </w:r>
          </w:p>
        </w:tc>
        <w:tc>
          <w:tcPr>
            <w:tcW w:w="3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8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Tax-exempt investment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8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Fed funds sold &amp; 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170,491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99,964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w:t>
            </w:r>
          </w:p>
        </w:tc>
        <w:tc>
          <w:tcPr>
            <w:tcW w:w="3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8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Interest Earning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3,332,327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45,647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5.48</w:t>
            </w:r>
          </w:p>
        </w:tc>
        <w:tc>
          <w:tcPr>
            <w:tcW w:w="2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3,193,222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43,492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5.45</w:t>
            </w:r>
          </w:p>
        </w:tc>
        <w:tc>
          <w:tcPr>
            <w:tcW w:w="3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83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Nonearning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193,132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175,969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3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3,525,459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3,369,191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3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Interest-Bearing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8"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1"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6"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8"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1"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6"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8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NOW accounts and savings deposits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1,708,669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1,599,067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w:t>
            </w:r>
          </w:p>
        </w:tc>
        <w:tc>
          <w:tcPr>
            <w:tcW w:w="3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8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Time deposits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666,485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626,036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8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borrowed money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187,035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228,708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w:t>
            </w:r>
          </w:p>
        </w:tc>
        <w:tc>
          <w:tcPr>
            <w:tcW w:w="3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8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Fed funds purchased &amp;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6"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35"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sold under agreement to repurchase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w:t>
            </w:r>
          </w:p>
        </w:tc>
        <w:tc>
          <w:tcPr>
            <w:tcW w:w="3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8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Subordinated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34,972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34,856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8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Interest-Bearing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2,611,979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16,729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w:t>
            </w:r>
          </w:p>
        </w:tc>
        <w:tc>
          <w:tcPr>
            <w:tcW w:w="2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2,515,968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17,781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w:t>
            </w:r>
          </w:p>
        </w:tc>
        <w:tc>
          <w:tcPr>
            <w:tcW w:w="3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8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Noninterest-Bearing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530,896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505,129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382,584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348,094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Net Interest Income and </w:t>
              <w:br/>
              <w:t>   Interest Rate Spread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28,918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w:t>
            </w:r>
          </w:p>
        </w:tc>
        <w:tc>
          <w:tcPr>
            <w:tcW w:w="2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25,711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w:t>
            </w:r>
          </w:p>
        </w:tc>
        <w:tc>
          <w:tcPr>
            <w:tcW w:w="3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8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Interest Margin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w:t>
            </w:r>
          </w:p>
        </w:tc>
        <w:tc>
          <w:tcPr>
            <w:tcW w:w="2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w:t>
            </w:r>
          </w:p>
        </w:tc>
        <w:tc>
          <w:tcPr>
            <w:tcW w:w="3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8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877" w:type="dxa"/>
            <w:gridSpan w:val="24"/>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Yields on Tax exempt securities and the portion of the tax-exempt IDB loans included in loans have been tax adjusted based on a 21% tax rate in the charts</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center"/>
        <w:rPr>
          <w:rFonts w:ascii="Times New Roman" w:hAnsi="Times New Roman"/>
          <w:color w:val="000000"/>
          <w:sz w:val="20"/>
        </w:rPr>
      </w:pPr>
      <w:r>
        <w:rPr>
          <w:rFonts w:ascii="Times New Roman" w:hAnsi="Times New Roman"/>
          <w:color w:val="000000"/>
          <w:sz w:val="20"/>
        </w:rPr>
        <w:b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color w:val="000000"/>
          <w:sz w:val="20"/>
        </w:rPr>
      </w:pPr>
      <w:r>
        <w:rPr>
          <w:rFonts w:ascii="Times New Roman" w:hAnsi="Times New Roman"/>
          <w:color w:val="000000"/>
          <w:sz w:val="20"/>
        </w:rPr>
        <w:t>FARMERS &amp; MERCHANTS BANCORP, INC. AND SUBSIDIARIES</w:t>
      </w:r>
    </w:p>
    <w:p>
      <w:pPr>
        <w:pStyle w:val="TextBody"/>
        <w:bidi w:val="0"/>
        <w:jc w:val="center"/>
        <w:rPr>
          <w:rFonts w:ascii="Times New Roman" w:hAnsi="Times New Roman"/>
          <w:color w:val="000000"/>
          <w:sz w:val="20"/>
        </w:rPr>
      </w:pPr>
      <w:r>
        <w:rPr>
          <w:rFonts w:ascii="Times New Roman" w:hAnsi="Times New Roman"/>
          <w:color w:val="000000"/>
          <w:sz w:val="20"/>
        </w:rPr>
        <w:t xml:space="preserve">AVERAGE BALANCE SHEETS AND RELATED YIELDS AND RATES (continued) </w:t>
      </w:r>
    </w:p>
    <w:p>
      <w:pPr>
        <w:pStyle w:val="TextBody"/>
        <w:bidi w:val="0"/>
        <w:jc w:val="center"/>
        <w:rPr>
          <w:rFonts w:ascii="Times New Roman" w:hAnsi="Times New Roman"/>
          <w:color w:val="000000"/>
          <w:sz w:val="20"/>
        </w:rPr>
      </w:pPr>
      <w:r>
        <w:rPr>
          <w:rFonts w:ascii="Times New Roman" w:hAnsi="Times New Roman"/>
          <w:color w:val="000000"/>
          <w:sz w:val="20"/>
        </w:rPr>
        <w:t>(in thousands of dollars, except percentages)</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1835"/>
        <w:gridCol w:w="146"/>
        <w:gridCol w:w="212"/>
        <w:gridCol w:w="936"/>
        <w:gridCol w:w="146"/>
        <w:gridCol w:w="146"/>
        <w:gridCol w:w="226"/>
        <w:gridCol w:w="725"/>
        <w:gridCol w:w="146"/>
        <w:gridCol w:w="146"/>
        <w:gridCol w:w="251"/>
        <w:gridCol w:w="805"/>
        <w:gridCol w:w="272"/>
        <w:gridCol w:w="146"/>
        <w:gridCol w:w="212"/>
        <w:gridCol w:w="936"/>
        <w:gridCol w:w="146"/>
        <w:gridCol w:w="146"/>
        <w:gridCol w:w="226"/>
        <w:gridCol w:w="725"/>
        <w:gridCol w:w="146"/>
        <w:gridCol w:w="146"/>
        <w:gridCol w:w="251"/>
        <w:gridCol w:w="805"/>
        <w:gridCol w:w="328"/>
      </w:tblGrid>
      <w:tr>
        <w:trPr/>
        <w:tc>
          <w:tcPr>
            <w:tcW w:w="183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r>
      <w:tr>
        <w:trPr/>
        <w:tc>
          <w:tcPr>
            <w:tcW w:w="18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39" w:type="dxa"/>
            <w:gridSpan w:val="10"/>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Six Months Ended</w:t>
            </w:r>
          </w:p>
        </w:tc>
        <w:tc>
          <w:tcPr>
            <w:tcW w:w="272"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39" w:type="dxa"/>
            <w:gridSpan w:val="10"/>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Six Months Ended</w:t>
            </w:r>
          </w:p>
        </w:tc>
        <w:tc>
          <w:tcPr>
            <w:tcW w:w="328"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18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39"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2026</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39"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2025</w:t>
            </w:r>
          </w:p>
        </w:tc>
        <w:tc>
          <w:tcPr>
            <w:tcW w:w="3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 xml:space="preserve">Average </w:t>
              <w:br/>
              <w:t>Balance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Interest/</w:t>
              <w:br/>
              <w:t>Dividends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Annualized</w:t>
              <w:br/>
              <w:t>Yield/Rate</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 xml:space="preserve">Average </w:t>
              <w:br/>
              <w:t>Balance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Interest/</w:t>
              <w:br/>
              <w:t>Dividends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Annualized</w:t>
              <w:br/>
              <w:t>Yield/Rate</w:t>
            </w:r>
          </w:p>
        </w:tc>
        <w:tc>
          <w:tcPr>
            <w:tcW w:w="3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Earning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2,695,268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80,666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5.99</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2,598,011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76,602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5.90</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8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Taxable investment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448,472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458,903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w:t>
            </w:r>
          </w:p>
        </w:tc>
        <w:tc>
          <w:tcPr>
            <w:tcW w:w="3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8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Tax-exempt investment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8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Fed funds sold &amp; 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118,892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102,851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w:t>
            </w:r>
          </w:p>
        </w:tc>
        <w:tc>
          <w:tcPr>
            <w:tcW w:w="3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8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Interest Earning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3,275,620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88,945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5.44</w:t>
            </w:r>
          </w:p>
        </w:tc>
        <w:tc>
          <w:tcPr>
            <w:tcW w:w="2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3,177,266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84,494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5.32</w:t>
            </w:r>
          </w:p>
        </w:tc>
        <w:tc>
          <w:tcPr>
            <w:tcW w:w="3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83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Nonearning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192,946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171,324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3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3,468,566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3,348,590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3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Interest-Bearing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8"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1"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6"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8"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1"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6"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8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NOW accounts and savings deposits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1,667,233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1,524,965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w:t>
            </w:r>
          </w:p>
        </w:tc>
        <w:tc>
          <w:tcPr>
            <w:tcW w:w="3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8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Time deposits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634,430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626,767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8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borrowed money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201,463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237,185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4.18</w:t>
            </w:r>
          </w:p>
        </w:tc>
        <w:tc>
          <w:tcPr>
            <w:tcW w:w="3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8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Fed funds purchased &amp;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6"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35"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sold under agreement to repurchase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w:t>
            </w:r>
          </w:p>
        </w:tc>
        <w:tc>
          <w:tcPr>
            <w:tcW w:w="3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8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Subordinated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34,958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34,842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8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Interest-Bearing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2,554,135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32,583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w:t>
            </w:r>
          </w:p>
        </w:tc>
        <w:tc>
          <w:tcPr>
            <w:tcW w:w="2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2,451,150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34,874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w:t>
            </w:r>
          </w:p>
        </w:tc>
        <w:tc>
          <w:tcPr>
            <w:tcW w:w="3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8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Noninterest-Bearing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534,662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553,686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379,769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343,754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Net Interest Income and </w:t>
              <w:br/>
              <w:t>   Interest Rate Spread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56,362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w:t>
            </w:r>
          </w:p>
        </w:tc>
        <w:tc>
          <w:tcPr>
            <w:tcW w:w="2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49,620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w:t>
            </w:r>
          </w:p>
        </w:tc>
        <w:tc>
          <w:tcPr>
            <w:tcW w:w="3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8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Interest Margin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w:t>
            </w:r>
          </w:p>
        </w:tc>
        <w:tc>
          <w:tcPr>
            <w:tcW w:w="2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w:t>
            </w:r>
          </w:p>
        </w:tc>
        <w:tc>
          <w:tcPr>
            <w:tcW w:w="3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8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877" w:type="dxa"/>
            <w:gridSpan w:val="24"/>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Yields on Tax exempt securities and the portion of the tax-exempt IDB loans included in loans have been tax adjusted based on a 21% tax rate in the charts</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FARMERS &amp; MERCHANTS BANCORP, INC. AND SUBSIDIARIES</w:t>
      </w:r>
    </w:p>
    <w:p>
      <w:pPr>
        <w:pStyle w:val="TextBody"/>
        <w:bidi w:val="0"/>
        <w:jc w:val="center"/>
        <w:rPr>
          <w:rFonts w:ascii="Times New Roman" w:hAnsi="Times New Roman"/>
          <w:color w:val="000000"/>
          <w:sz w:val="20"/>
        </w:rPr>
      </w:pPr>
      <w:r>
        <w:rPr>
          <w:rFonts w:ascii="Times New Roman" w:hAnsi="Times New Roman"/>
          <w:color w:val="000000"/>
          <w:sz w:val="20"/>
        </w:rPr>
        <w:t>AVERAGE BALANCE SHEETS AND RELATED YIELDS AND RATES (continued)</w:t>
      </w:r>
    </w:p>
    <w:p>
      <w:pPr>
        <w:pStyle w:val="TextBody"/>
        <w:bidi w:val="0"/>
        <w:jc w:val="center"/>
        <w:rPr>
          <w:rFonts w:ascii="Times New Roman" w:hAnsi="Times New Roman"/>
          <w:color w:val="000000"/>
          <w:sz w:val="20"/>
        </w:rPr>
      </w:pPr>
      <w:r>
        <w:rPr>
          <w:rFonts w:ascii="Times New Roman" w:hAnsi="Times New Roman"/>
          <w:color w:val="000000"/>
          <w:sz w:val="20"/>
        </w:rPr>
        <w:t>(in thousands of dollars, except percentages)</w:t>
      </w:r>
    </w:p>
    <w:p>
      <w:pPr>
        <w:pStyle w:val="TextBody"/>
        <w:bidi w:val="0"/>
        <w:jc w:val="center"/>
        <w:rPr/>
      </w:pPr>
      <w:r>
        <w:rPr/>
        <w:t> </w:t>
      </w:r>
    </w:p>
    <w:tbl>
      <w:tblPr>
        <w:tblW w:w="13204" w:type="dxa"/>
        <w:jc w:val="left"/>
        <w:tblInd w:w="0" w:type="dxa"/>
        <w:tblLayout w:type="fixed"/>
        <w:tblCellMar>
          <w:top w:w="28" w:type="dxa"/>
          <w:left w:w="28" w:type="dxa"/>
          <w:bottom w:w="28" w:type="dxa"/>
          <w:right w:w="28" w:type="dxa"/>
        </w:tblCellMar>
      </w:tblPr>
      <w:tblGrid>
        <w:gridCol w:w="1261"/>
        <w:gridCol w:w="146"/>
        <w:gridCol w:w="196"/>
        <w:gridCol w:w="601"/>
        <w:gridCol w:w="146"/>
        <w:gridCol w:w="146"/>
        <w:gridCol w:w="146"/>
        <w:gridCol w:w="421"/>
        <w:gridCol w:w="256"/>
        <w:gridCol w:w="146"/>
        <w:gridCol w:w="196"/>
        <w:gridCol w:w="601"/>
        <w:gridCol w:w="146"/>
        <w:gridCol w:w="146"/>
        <w:gridCol w:w="146"/>
        <w:gridCol w:w="421"/>
        <w:gridCol w:w="256"/>
        <w:gridCol w:w="146"/>
        <w:gridCol w:w="196"/>
        <w:gridCol w:w="376"/>
        <w:gridCol w:w="146"/>
        <w:gridCol w:w="146"/>
        <w:gridCol w:w="146"/>
        <w:gridCol w:w="421"/>
        <w:gridCol w:w="256"/>
        <w:gridCol w:w="146"/>
        <w:gridCol w:w="196"/>
        <w:gridCol w:w="601"/>
        <w:gridCol w:w="146"/>
        <w:gridCol w:w="146"/>
        <w:gridCol w:w="146"/>
        <w:gridCol w:w="421"/>
        <w:gridCol w:w="256"/>
        <w:gridCol w:w="146"/>
        <w:gridCol w:w="196"/>
        <w:gridCol w:w="601"/>
        <w:gridCol w:w="146"/>
        <w:gridCol w:w="146"/>
        <w:gridCol w:w="146"/>
        <w:gridCol w:w="421"/>
        <w:gridCol w:w="256"/>
        <w:gridCol w:w="146"/>
        <w:gridCol w:w="196"/>
        <w:gridCol w:w="376"/>
        <w:gridCol w:w="146"/>
        <w:gridCol w:w="146"/>
        <w:gridCol w:w="146"/>
        <w:gridCol w:w="421"/>
        <w:gridCol w:w="301"/>
      </w:tblGrid>
      <w:tr>
        <w:trPr/>
        <w:tc>
          <w:tcPr>
            <w:tcW w:w="12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47" w:type="dxa"/>
            <w:gridSpan w:val="22"/>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For the Three Months Ended</w:t>
            </w:r>
          </w:p>
        </w:tc>
        <w:tc>
          <w:tcPr>
            <w:tcW w:w="25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47" w:type="dxa"/>
            <w:gridSpan w:val="22"/>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For the Three Months Ended</w:t>
            </w:r>
          </w:p>
        </w:tc>
        <w:tc>
          <w:tcPr>
            <w:tcW w:w="30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47"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 2026</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47"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 2025</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As Reported</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04" w:type="dxa"/>
            <w:gridSpan w:val="9"/>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Excluding Accretion/Amortization</w:t>
            </w:r>
          </w:p>
        </w:tc>
        <w:tc>
          <w:tcPr>
            <w:tcW w:w="143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Difference</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As Reported</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04" w:type="dxa"/>
            <w:gridSpan w:val="9"/>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Excluding Accretion/Amortization</w:t>
            </w:r>
          </w:p>
        </w:tc>
        <w:tc>
          <w:tcPr>
            <w:tcW w:w="143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Difference</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Yield</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Yield</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Yield</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Yield</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Yield</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Yield</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Interest Earning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Loans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40,839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40,609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39,530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38,928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0.09</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Taxable investment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2.82</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2.82</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2.47</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2.47</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Tax-exempt investment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Fed funds sold &amp; 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1,510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3.54</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1,510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3.54</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1,051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4.21</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1,051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4.21</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Total Interest Earning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45,647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45,417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43,492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42,890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0.07</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Interest-Bearing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2"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2"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NOW accounts and savings deposits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9,398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9,398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2.37</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2.37</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Time deposits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borrowed money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4.05</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4.04</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0.01</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4.22</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4.21</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0.01</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Fed funds purchased and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sold under agreement to repurchase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3.19</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3.19</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3.99</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3.99</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Subordinated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Total Interest-Bearing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16,729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2.56</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16,725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2.56</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17,781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2.83</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17,777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2.83</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Interest/Dividend income/yield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45,647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5.48</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45,417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5.46</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0.02</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43,492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5.45</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42,890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5.38</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0.07</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Interest Expense / yield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16,729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2.56</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16,725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2.56</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0.00</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17,781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2.83</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17,777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2.83</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0.00</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Interest Spread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28,918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2.92</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28,692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0.02</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25,711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2.62</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25,113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2.55</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0.07</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Interest Margin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0.07</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903" w:type="dxa"/>
            <w:gridSpan w:val="48"/>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Yields on Tax exempt securities and the portion of the tax-exempt IDB loans included in loans have been tax adjusted based on a 21% tax rate in the charts</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FARMERS &amp; MERCHANTS BANCORP, INC. AND SUBSIDIARIES</w:t>
      </w:r>
    </w:p>
    <w:p>
      <w:pPr>
        <w:pStyle w:val="TextBody"/>
        <w:bidi w:val="0"/>
        <w:jc w:val="center"/>
        <w:rPr>
          <w:rFonts w:ascii="Times New Roman" w:hAnsi="Times New Roman"/>
          <w:color w:val="000000"/>
          <w:sz w:val="20"/>
        </w:rPr>
      </w:pPr>
      <w:r>
        <w:rPr>
          <w:rFonts w:ascii="Times New Roman" w:hAnsi="Times New Roman"/>
          <w:color w:val="000000"/>
          <w:sz w:val="20"/>
        </w:rPr>
        <w:t>AVERAGE BALANCE SHEETS AND RELATED YIELDS AND RATES (continued)</w:t>
      </w:r>
    </w:p>
    <w:p>
      <w:pPr>
        <w:pStyle w:val="TextBody"/>
        <w:bidi w:val="0"/>
        <w:jc w:val="center"/>
        <w:rPr>
          <w:rFonts w:ascii="Times New Roman" w:hAnsi="Times New Roman"/>
          <w:color w:val="000000"/>
          <w:sz w:val="20"/>
        </w:rPr>
      </w:pPr>
      <w:r>
        <w:rPr>
          <w:rFonts w:ascii="Times New Roman" w:hAnsi="Times New Roman"/>
          <w:color w:val="000000"/>
          <w:sz w:val="20"/>
        </w:rPr>
        <w:t>(in thousands of dollars, except percentages)</w:t>
      </w:r>
    </w:p>
    <w:p>
      <w:pPr>
        <w:pStyle w:val="TextBody"/>
        <w:bidi w:val="0"/>
        <w:jc w:val="center"/>
        <w:rPr/>
      </w:pPr>
      <w:r>
        <w:rPr/>
        <w:t> </w:t>
      </w:r>
    </w:p>
    <w:tbl>
      <w:tblPr>
        <w:tblW w:w="13399" w:type="dxa"/>
        <w:jc w:val="left"/>
        <w:tblInd w:w="0" w:type="dxa"/>
        <w:tblLayout w:type="fixed"/>
        <w:tblCellMar>
          <w:top w:w="28" w:type="dxa"/>
          <w:left w:w="28" w:type="dxa"/>
          <w:bottom w:w="28" w:type="dxa"/>
          <w:right w:w="28" w:type="dxa"/>
        </w:tblCellMar>
      </w:tblPr>
      <w:tblGrid>
        <w:gridCol w:w="1261"/>
        <w:gridCol w:w="146"/>
        <w:gridCol w:w="196"/>
        <w:gridCol w:w="601"/>
        <w:gridCol w:w="146"/>
        <w:gridCol w:w="146"/>
        <w:gridCol w:w="146"/>
        <w:gridCol w:w="421"/>
        <w:gridCol w:w="256"/>
        <w:gridCol w:w="146"/>
        <w:gridCol w:w="196"/>
        <w:gridCol w:w="601"/>
        <w:gridCol w:w="146"/>
        <w:gridCol w:w="146"/>
        <w:gridCol w:w="146"/>
        <w:gridCol w:w="421"/>
        <w:gridCol w:w="256"/>
        <w:gridCol w:w="146"/>
        <w:gridCol w:w="196"/>
        <w:gridCol w:w="376"/>
        <w:gridCol w:w="146"/>
        <w:gridCol w:w="146"/>
        <w:gridCol w:w="146"/>
        <w:gridCol w:w="421"/>
        <w:gridCol w:w="256"/>
        <w:gridCol w:w="146"/>
        <w:gridCol w:w="196"/>
        <w:gridCol w:w="601"/>
        <w:gridCol w:w="146"/>
        <w:gridCol w:w="146"/>
        <w:gridCol w:w="146"/>
        <w:gridCol w:w="421"/>
        <w:gridCol w:w="256"/>
        <w:gridCol w:w="146"/>
        <w:gridCol w:w="196"/>
        <w:gridCol w:w="601"/>
        <w:gridCol w:w="146"/>
        <w:gridCol w:w="146"/>
        <w:gridCol w:w="146"/>
        <w:gridCol w:w="421"/>
        <w:gridCol w:w="256"/>
        <w:gridCol w:w="146"/>
        <w:gridCol w:w="196"/>
        <w:gridCol w:w="511"/>
        <w:gridCol w:w="146"/>
        <w:gridCol w:w="146"/>
        <w:gridCol w:w="146"/>
        <w:gridCol w:w="481"/>
        <w:gridCol w:w="301"/>
      </w:tblGrid>
      <w:tr>
        <w:trPr/>
        <w:tc>
          <w:tcPr>
            <w:tcW w:w="12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47" w:type="dxa"/>
            <w:gridSpan w:val="22"/>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For the Six Months Ended</w:t>
            </w:r>
          </w:p>
        </w:tc>
        <w:tc>
          <w:tcPr>
            <w:tcW w:w="25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42" w:type="dxa"/>
            <w:gridSpan w:val="22"/>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For the Six Months Ended</w:t>
            </w:r>
          </w:p>
        </w:tc>
        <w:tc>
          <w:tcPr>
            <w:tcW w:w="30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47"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 2026</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42"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 2025</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As Reported</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04" w:type="dxa"/>
            <w:gridSpan w:val="9"/>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Excluding Accretion/Amortization</w:t>
            </w:r>
          </w:p>
        </w:tc>
        <w:tc>
          <w:tcPr>
            <w:tcW w:w="143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Difference</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As Reported</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04" w:type="dxa"/>
            <w:gridSpan w:val="9"/>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Excluding Accretion/Amortization</w:t>
            </w:r>
          </w:p>
        </w:tc>
        <w:tc>
          <w:tcPr>
            <w:tcW w:w="16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Difference</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Yield</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Yield</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Yield</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Yield</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Yield</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Yield</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Interest Earning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Loans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80,666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80,056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76,602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75,396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0.10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Taxable investment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2.43</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2.43</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Tax-exempt investment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Fed funds sold &amp; 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2,082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2,082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2,164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4.21</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2,164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4.21</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Total Interest Earning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88,945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88,335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84,494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83,288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0.07</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Interest-Bearing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2"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27"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NOW accounts and savings deposits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17,929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2.15</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17,929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2.15</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18,043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2.37</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18,043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2.37</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Time deposits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9,752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9,752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10,758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10,758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borrowed money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4.04</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4.03</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0.01</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4.18</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4.18</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Fed funds purchased and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sold under agreement to repurchase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3.28</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3.28</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3.96</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3.96</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Subordinated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Total Interest-Bearing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32,583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2.55</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32,576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2.55</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34,874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2.84</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34,867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2.85</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-0.01</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Interest/Dividend income/yield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88,945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5.44</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88,335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0.04</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84,494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5.32</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83,288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5.25</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0.07</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Interest Expense / yield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32,583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2.55</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32,576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2.55</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0.00</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34,874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2.84</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34,867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2.85</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-0.01</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Interest Spread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56,362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2.89</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55,759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2.85</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0.04</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49,620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2.48</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48,421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0.08</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Interest Margin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0.08</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098" w:type="dxa"/>
            <w:gridSpan w:val="48"/>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Yields on Tax exempt securities and the portion of the tax-exempt IDB loans included in loans have been tax adjusted based on a 21% tax rate in the charts</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FARMERS &amp; MERCHANTS BANCORP, INC. AND SUBSIDIARIES</w:t>
      </w:r>
    </w:p>
    <w:p>
      <w:pPr>
        <w:pStyle w:val="TextBody"/>
        <w:bidi w:val="0"/>
        <w:jc w:val="center"/>
        <w:rPr>
          <w:rFonts w:ascii="Times New Roman" w:hAnsi="Times New Roman"/>
          <w:color w:val="000000"/>
          <w:sz w:val="20"/>
        </w:rPr>
      </w:pPr>
      <w:r>
        <w:rPr>
          <w:rFonts w:ascii="Times New Roman" w:hAnsi="Times New Roman"/>
          <w:color w:val="000000"/>
          <w:sz w:val="20"/>
        </w:rPr>
        <w:t>RECONCILIATION OF TANGIBLE COMMON EQUITY</w:t>
      </w:r>
    </w:p>
    <w:p>
      <w:pPr>
        <w:pStyle w:val="TextBody"/>
        <w:bidi w:val="0"/>
        <w:jc w:val="center"/>
        <w:rPr>
          <w:rFonts w:ascii="Times New Roman" w:hAnsi="Times New Roman"/>
          <w:color w:val="000000"/>
          <w:sz w:val="20"/>
        </w:rPr>
      </w:pPr>
      <w:r>
        <w:rPr>
          <w:rFonts w:ascii="Times New Roman" w:hAnsi="Times New Roman"/>
          <w:color w:val="000000"/>
          <w:sz w:val="20"/>
        </w:rPr>
        <w:t>(in thousands of dollars)</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3010"/>
        <w:gridCol w:w="146"/>
        <w:gridCol w:w="146"/>
        <w:gridCol w:w="211"/>
        <w:gridCol w:w="781"/>
        <w:gridCol w:w="146"/>
        <w:gridCol w:w="146"/>
        <w:gridCol w:w="146"/>
        <w:gridCol w:w="211"/>
        <w:gridCol w:w="781"/>
        <w:gridCol w:w="146"/>
        <w:gridCol w:w="146"/>
        <w:gridCol w:w="146"/>
        <w:gridCol w:w="211"/>
        <w:gridCol w:w="781"/>
        <w:gridCol w:w="146"/>
        <w:gridCol w:w="146"/>
        <w:gridCol w:w="146"/>
        <w:gridCol w:w="211"/>
        <w:gridCol w:w="781"/>
        <w:gridCol w:w="146"/>
        <w:gridCol w:w="146"/>
        <w:gridCol w:w="146"/>
        <w:gridCol w:w="211"/>
        <w:gridCol w:w="781"/>
        <w:gridCol w:w="191"/>
      </w:tblGrid>
      <w:tr>
        <w:trPr/>
        <w:tc>
          <w:tcPr>
            <w:tcW w:w="30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0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58" w:type="dxa"/>
            <w:gridSpan w:val="2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Three Months Ended</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 xml:space="preserve">Reconciliation of Common Stockholders' </w:t>
              <w:br/>
              <w:t>   Equity to Tangible Common Equity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June</w:t>
              <w:br/>
              <w:t>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3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w:t>
              <w:br/>
              <w:t>31, 2026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3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December</w:t>
              <w:br/>
              <w:t>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3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September</w:t>
              <w:br/>
              <w:t>30, 2025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June</w:t>
              <w:br/>
              <w:t>30, 2025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384,716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375,948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370,862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361,780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350,792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Goodwill and Other Intangibles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89,738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90,043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90,347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90,792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91,237</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Tangible Common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294,978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285,905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280,515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270,988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259,555</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0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Average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382,584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376,923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368,235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357,394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348,094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average Goodwill and Other Intangibles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89,933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90,234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90,629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91,076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91,516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Average Tangible Common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292,651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286,689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277,606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266,318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256,578</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5412</Words>
  <Characters>27295</Characters>
  <CharactersWithSpaces>36007</CharactersWithSpaces>
  <Paragraphs>7770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