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double" w:sz="4" w:space="1" w:color="000000"/>
        </w:pBdr>
        <w:bidi w:val="0"/>
        <w:jc w:val="left"/>
        <w:rPr/>
      </w:pPr>
      <w:bookmarkStart w:id="0" w:name="fmao-20261022.htm"/>
      <w:bookmarkStart w:id="1" w:name="ksfmao20261022"/>
      <w:bookmarkEnd w:id="0"/>
      <w:bookmarkEnd w:id="1"/>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sz w:val="24"/>
        </w:rPr>
      </w:pPr>
      <w:r>
        <w:rPr>
          <w:rFonts w:ascii="Times New Roman" w:hAnsi="Times New Roman"/>
          <w:b/>
          <w:color w:val="000000"/>
          <w:sz w:val="24"/>
        </w:rPr>
        <w:t xml:space="preserve">CURRENT REPORT </w:t>
      </w:r>
      <w:r>
        <w:rPr>
          <w:rFonts w:ascii="Times New Roman" w:hAnsi="Times New Roman"/>
          <w:b/>
          <w:caps/>
          <w:color w:val="000000"/>
          <w:sz w:val="24"/>
        </w:rPr>
        <w:t>Pursuant</w:t>
      </w:r>
    </w:p>
    <w:p>
      <w:pPr>
        <w:pStyle w:val="TextBody"/>
        <w:bidi w:val="0"/>
        <w:jc w:val="center"/>
        <w:rPr>
          <w:rFonts w:ascii="Times New Roman" w:hAnsi="Times New Roman"/>
          <w:sz w:val="24"/>
        </w:rPr>
      </w:pPr>
      <w:r>
        <w:rPr>
          <w:rFonts w:ascii="Times New Roman" w:hAnsi="Times New Roman"/>
          <w:b/>
          <w:caps/>
          <w:color w:val="000000"/>
          <w:sz w:val="24"/>
        </w:rPr>
        <w:t>to Section 13 or 15(</w:t>
      </w:r>
      <w:r>
        <w:rPr>
          <w:rFonts w:ascii="Times New Roman" w:hAnsi="Times New Roman"/>
          <w:b/>
          <w:color w:val="000000"/>
          <w:sz w:val="24"/>
        </w:rPr>
        <w:t>d</w:t>
      </w:r>
      <w:r>
        <w:rPr>
          <w:rFonts w:ascii="Times New Roman" w:hAnsi="Times New Roman"/>
          <w:b/>
          <w:caps/>
          <w:color w:val="000000"/>
          <w:sz w:val="24"/>
        </w:rPr>
        <w:t>) of the</w:t>
      </w:r>
    </w:p>
    <w:p>
      <w:pPr>
        <w:pStyle w:val="TextBody"/>
        <w:bidi w:val="0"/>
        <w:jc w:val="center"/>
        <w:rPr>
          <w:rFonts w:ascii="Times New Roman" w:hAnsi="Times New Roman"/>
          <w:b/>
          <w:caps/>
          <w:color w:val="000000"/>
          <w:sz w:val="24"/>
        </w:rPr>
      </w:pPr>
      <w:r>
        <w:rPr>
          <w:rFonts w:ascii="Times New Roman" w:hAnsi="Times New Roman"/>
          <w:b/>
          <w:caps/>
          <w:color w:val="000000"/>
          <w:sz w:val="24"/>
        </w:rPr>
        <w:t>Securities Exchange Act of 1934</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Date of Report (Date of earliest event reported) October 22, 2026</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48"/>
        </w:rPr>
      </w:pPr>
      <w:r>
        <w:rPr>
          <w:rFonts w:ascii="Times New Roman" w:hAnsi="Times New Roman"/>
          <w:b/>
          <w:color w:val="000000"/>
          <w:sz w:val="48"/>
        </w:rPr>
        <w:t>Farmers &amp; Merchants Bancorp,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698" w:type="dxa"/>
        <w:jc w:val="left"/>
        <w:tblInd w:w="0" w:type="dxa"/>
        <w:tblLayout w:type="fixed"/>
        <w:tblCellMar>
          <w:top w:w="28" w:type="dxa"/>
          <w:left w:w="28" w:type="dxa"/>
          <w:bottom w:w="28" w:type="dxa"/>
          <w:right w:w="28" w:type="dxa"/>
        </w:tblCellMar>
      </w:tblPr>
      <w:tblGrid>
        <w:gridCol w:w="2146"/>
        <w:gridCol w:w="1066"/>
        <w:gridCol w:w="1486"/>
      </w:tblGrid>
      <w:tr>
        <w:trPr/>
        <w:tc>
          <w:tcPr>
            <w:tcW w:w="2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Ohio</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001-38084</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34-1469491</w:t>
            </w:r>
          </w:p>
        </w:tc>
      </w:tr>
      <w:tr>
        <w:trPr/>
        <w:tc>
          <w:tcPr>
            <w:tcW w:w="2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(State or Other Jurisdiction</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(Commission</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w:t>
            </w:r>
          </w:p>
        </w:tc>
      </w:tr>
      <w:tr>
        <w:trPr/>
        <w:tc>
          <w:tcPr>
            <w:tcW w:w="2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 Incorporation)</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Number)</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left"/>
        <w:rPr/>
      </w:pPr>
      <w:r>
        <w:rPr/>
        <w:t> </w:t>
      </w:r>
    </w:p>
    <w:tbl>
      <w:tblPr>
        <w:tblW w:w="4622" w:type="dxa"/>
        <w:jc w:val="left"/>
        <w:tblInd w:w="0" w:type="dxa"/>
        <w:tblLayout w:type="fixed"/>
        <w:tblCellMar>
          <w:top w:w="28" w:type="dxa"/>
          <w:left w:w="28" w:type="dxa"/>
          <w:bottom w:w="28" w:type="dxa"/>
          <w:right w:w="28" w:type="dxa"/>
        </w:tblCellMar>
      </w:tblPr>
      <w:tblGrid>
        <w:gridCol w:w="3691"/>
        <w:gridCol w:w="931"/>
      </w:tblGrid>
      <w:tr>
        <w:trPr/>
        <w:tc>
          <w:tcPr>
            <w:tcW w:w="369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3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307 North Defiance Street, Archbold, Ohio</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43502</w:t>
            </w:r>
          </w:p>
        </w:tc>
      </w:tr>
      <w:tr>
        <w:trPr/>
        <w:tc>
          <w:tcPr>
            <w:tcW w:w="3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200" w:after="283"/>
        <w:jc w:val="center"/>
        <w:rPr>
          <w:rFonts w:ascii="Times New Roman" w:hAnsi="Times New Roman"/>
          <w:sz w:val="20"/>
        </w:rPr>
      </w:pPr>
      <w:r>
        <w:rPr>
          <w:rFonts w:ascii="Times New Roman" w:hAnsi="Times New Roman"/>
          <w:b/>
          <w:color w:val="000000"/>
          <w:sz w:val="20"/>
        </w:rPr>
        <w:t>Registrant's Telephone Number, including Area Code (419)</w:t>
      </w:r>
      <w:r>
        <w:rPr>
          <w:rFonts w:ascii="Times New Roman" w:hAnsi="Times New Roman"/>
          <w:color w:val="000000"/>
          <w:sz w:val="20"/>
        </w:rPr>
        <w:t xml:space="preserve"> </w:t>
      </w:r>
      <w:r>
        <w:rPr>
          <w:rFonts w:ascii="Times New Roman" w:hAnsi="Times New Roman"/>
          <w:b/>
          <w:color w:val="000000"/>
          <w:sz w:val="20"/>
        </w:rPr>
        <w:t>446-2501</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N/A</w:t>
      </w:r>
    </w:p>
    <w:p>
      <w:pPr>
        <w:pStyle w:val="TextBody"/>
        <w:bidi w:val="0"/>
        <w:jc w:val="center"/>
        <w:rPr>
          <w:rFonts w:ascii="Times New Roman" w:hAnsi="Times New Roman"/>
          <w:b/>
          <w:color w:val="000000"/>
          <w:sz w:val="16"/>
        </w:rPr>
      </w:pPr>
      <w:r>
        <w:rPr>
          <w:rFonts w:ascii="Times New Roman" w:hAnsi="Times New Roman"/>
          <w:b/>
          <w:color w:val="000000"/>
          <w:sz w:val="16"/>
        </w:rPr>
        <w:t>(Former Name or Former Address, if Changed Since Last Report)</w:t>
      </w:r>
    </w:p>
    <w:p>
      <w:pPr>
        <w:pStyle w:val="TextBody"/>
        <w:pBdr>
          <w:bottom w:val="single" w:sz="4" w:space="1" w:color="000000"/>
        </w:pBdr>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18"/>
        </w:rPr>
      </w:pPr>
      <w:r>
        <w:rPr>
          <w:rFonts w:ascii="Times New Roman" w:hAnsi="Times New Roman"/>
          <w:color w:val="000000"/>
          <w:sz w:val="18"/>
        </w:rPr>
        <w:t>Securities registered pursuant to Section 12(b) of the Act:</w:t>
      </w:r>
    </w:p>
    <w:tbl>
      <w:tblPr>
        <w:tblW w:w="5778" w:type="dxa"/>
        <w:jc w:val="left"/>
        <w:tblInd w:w="0" w:type="dxa"/>
        <w:tblLayout w:type="fixed"/>
        <w:tblCellMar>
          <w:top w:w="28" w:type="dxa"/>
          <w:left w:w="28" w:type="dxa"/>
          <w:bottom w:w="28" w:type="dxa"/>
          <w:right w:w="28" w:type="dxa"/>
        </w:tblCellMar>
      </w:tblPr>
      <w:tblGrid>
        <w:gridCol w:w="2296"/>
        <w:gridCol w:w="1456"/>
        <w:gridCol w:w="2026"/>
      </w:tblGrid>
      <w:tr>
        <w:trPr/>
        <w:tc>
          <w:tcPr>
            <w:tcW w:w="229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r>
      <w:tr>
        <w:trPr/>
        <w:tc>
          <w:tcPr>
            <w:tcW w:w="2296"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Title of each class</w:t>
            </w:r>
          </w:p>
        </w:tc>
        <w:tc>
          <w:tcPr>
            <w:tcW w:w="1456"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Trading Symbol(s)</w:t>
            </w:r>
          </w:p>
        </w:tc>
        <w:tc>
          <w:tcPr>
            <w:tcW w:w="2026"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Name of Each Exchange</w:t>
            </w:r>
          </w:p>
        </w:tc>
      </w:tr>
      <w:tr>
        <w:trPr/>
        <w:tc>
          <w:tcPr>
            <w:tcW w:w="229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No Par Value</w:t>
            </w:r>
          </w:p>
        </w:tc>
        <w:tc>
          <w:tcPr>
            <w:tcW w:w="145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FMAO</w:t>
            </w:r>
          </w:p>
        </w:tc>
        <w:tc>
          <w:tcPr>
            <w:tcW w:w="20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NASDAQ Capital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80" w:after="283"/>
        <w:jc w:val="left"/>
        <w:rPr/>
      </w:pPr>
      <w:r>
        <w:rPr>
          <w:color w:val="000000"/>
        </w:rPr>
        <w:t xml:space="preserve">☐ </w:t>
      </w:r>
      <w:r>
        <w:rPr>
          <w:rFonts w:ascii="Times New Roman" w:hAnsi="Times New Roman"/>
          <w:color w:val="000000"/>
          <w:sz w:val="20"/>
        </w:rPr>
        <w:t>Written communications pursuant to Rule 425 under the Securities Act (17 CFR 230.425)</w:t>
      </w:r>
    </w:p>
    <w:p>
      <w:pPr>
        <w:pStyle w:val="TextBody"/>
        <w:bidi w:val="0"/>
        <w:spacing w:before="80" w:after="283"/>
        <w:jc w:val="left"/>
        <w:rPr/>
      </w:pPr>
      <w:r>
        <w:rPr>
          <w:color w:val="000000"/>
        </w:rPr>
        <w:t xml:space="preserve">☐ </w:t>
      </w:r>
      <w:r>
        <w:rPr>
          <w:rFonts w:ascii="Times New Roman" w:hAnsi="Times New Roman"/>
          <w:color w:val="000000"/>
          <w:sz w:val="20"/>
        </w:rPr>
        <w:t>Soliciting material pursuant to Rule 14a-12 under the Exchange Act (17 CFR 240.14a-12)</w:t>
      </w:r>
    </w:p>
    <w:p>
      <w:pPr>
        <w:pStyle w:val="TextBody"/>
        <w:bidi w:val="0"/>
        <w:spacing w:before="80" w:after="283"/>
        <w:jc w:val="left"/>
        <w:rPr/>
      </w:pPr>
      <w:r>
        <w:rPr>
          <w:color w:val="000000"/>
        </w:rPr>
        <w:t xml:space="preserve">☐ </w:t>
      </w:r>
      <w:r>
        <w:rPr>
          <w:rFonts w:ascii="Times New Roman" w:hAnsi="Times New Roman"/>
          <w:color w:val="000000"/>
          <w:sz w:val="20"/>
        </w:rPr>
        <w:t>Pre-commencement communications pursuant to Rule 14d-2(b) under the Exchange Act (17 CFR 240.14d-2(b))</w:t>
      </w:r>
    </w:p>
    <w:p>
      <w:pPr>
        <w:pStyle w:val="TextBody"/>
        <w:bidi w:val="0"/>
        <w:spacing w:before="80" w:after="283"/>
        <w:jc w:val="left"/>
        <w:rPr/>
      </w:pPr>
      <w:r>
        <w:rPr>
          <w:color w:val="000000"/>
        </w:rPr>
        <w:t xml:space="preserve">☐ </w:t>
      </w:r>
      <w:r>
        <w:rPr>
          <w:rFonts w:ascii="Times New Roman" w:hAnsi="Times New Roman"/>
          <w:color w:val="000000"/>
          <w:sz w:val="20"/>
        </w:rPr>
        <w:t>Pre-commencement communications pursuant to Rule 13e-4(c) under the Exchange Act (17-CFR 240.13e-4(c))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ITEM 2.02. Results of Operation and Financial Condition</w:t>
      </w:r>
    </w:p>
    <w:p>
      <w:pPr>
        <w:pStyle w:val="TextBody"/>
        <w:bidi w:val="0"/>
        <w:spacing w:before="240" w:after="160"/>
        <w:jc w:val="both"/>
        <w:rPr>
          <w:rFonts w:ascii="Times New Roman" w:hAnsi="Times New Roman"/>
          <w:color w:val="000000"/>
          <w:sz w:val="20"/>
        </w:rPr>
      </w:pPr>
      <w:r>
        <w:rPr>
          <w:rFonts w:ascii="Times New Roman" w:hAnsi="Times New Roman"/>
          <w:color w:val="000000"/>
          <w:sz w:val="20"/>
        </w:rPr>
        <w:t>On October 22, 2026, Farmers &amp; Merchants Bancorp, Inc. issued a press release (the “Release”) announcing its earnings for the three and nine months ended September 30, 2026. A copy of the press release is attached hereto as Exhibit 99 and is incorporated by reference herein.</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4727" w:type="dxa"/>
        <w:jc w:val="left"/>
        <w:tblInd w:w="0" w:type="dxa"/>
        <w:tblLayout w:type="fixed"/>
        <w:tblCellMar>
          <w:top w:w="28" w:type="dxa"/>
          <w:left w:w="28" w:type="dxa"/>
          <w:bottom w:w="28" w:type="dxa"/>
          <w:right w:w="28" w:type="dxa"/>
        </w:tblCellMar>
      </w:tblPr>
      <w:tblGrid>
        <w:gridCol w:w="706"/>
        <w:gridCol w:w="4021"/>
      </w:tblGrid>
      <w:tr>
        <w:trPr/>
        <w:tc>
          <w:tcPr>
            <w:tcW w:w="706" w:type="dxa"/>
            <w:tcBorders/>
            <w:vAlign w:val="center"/>
          </w:tcPr>
          <w:p>
            <w:pPr>
              <w:pStyle w:val="TableContents"/>
              <w:bidi w:val="0"/>
              <w:spacing w:before="0" w:after="283"/>
              <w:jc w:val="left"/>
              <w:rPr>
                <w:sz w:val="4"/>
                <w:szCs w:val="4"/>
              </w:rPr>
            </w:pPr>
            <w:r>
              <w:rPr>
                <w:sz w:val="4"/>
                <w:szCs w:val="4"/>
              </w:rPr>
            </w:r>
          </w:p>
        </w:tc>
        <w:tc>
          <w:tcPr>
            <w:tcW w:w="4021" w:type="dxa"/>
            <w:tcBorders/>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Number</w:t>
            </w:r>
          </w:p>
        </w:tc>
        <w:tc>
          <w:tcPr>
            <w:tcW w:w="4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Exhibit</w:t>
            </w:r>
          </w:p>
        </w:tc>
      </w:tr>
      <w:tr>
        <w:trPr/>
        <w:tc>
          <w:tcPr>
            <w:tcW w:w="706" w:type="dxa"/>
            <w:tcBorders/>
            <w:tcMar>
              <w:top w:w="0" w:type="dxa"/>
              <w:left w:w="0" w:type="dxa"/>
              <w:bottom w:w="0" w:type="dxa"/>
              <w:right w:w="0" w:type="dxa"/>
            </w:tcMar>
            <w:vAlign w:val="center"/>
          </w:tcPr>
          <w:p>
            <w:pPr>
              <w:pStyle w:val="TableContents"/>
              <w:bidi w:val="0"/>
              <w:spacing w:before="0" w:after="283"/>
              <w:jc w:val="both"/>
              <w:rPr/>
            </w:pPr>
            <w:r>
              <w:rPr/>
              <w:t> </w:t>
            </w:r>
          </w:p>
        </w:tc>
        <w:tc>
          <w:tcPr>
            <w:tcW w:w="402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w:t>
            </w:r>
          </w:p>
        </w:tc>
        <w:tc>
          <w:tcPr>
            <w:tcW w:w="4021" w:type="dxa"/>
            <w:tcBorders/>
            <w:tcMar>
              <w:top w:w="0" w:type="dxa"/>
              <w:left w:w="0" w:type="dxa"/>
              <w:bottom w:w="0" w:type="dxa"/>
              <w:right w:w="0" w:type="dxa"/>
            </w:tcMar>
            <w:vAlign w:val="center"/>
          </w:tcPr>
          <w:p>
            <w:pPr>
              <w:pStyle w:val="TableContents"/>
              <w:bidi w:val="0"/>
              <w:spacing w:before="0" w:after="283"/>
              <w:jc w:val="left"/>
              <w:rPr/>
            </w:pPr>
            <w:hyperlink w:anchor="fmao-ex99.htm">
              <w:r>
                <w:rPr>
                  <w:rStyle w:val="InternetLink"/>
                  <w:rFonts w:ascii="Times New Roman" w:hAnsi="Times New Roman"/>
                  <w:color w:val="0000FF"/>
                  <w:sz w:val="20"/>
                  <w:u w:val="single"/>
                </w:rPr>
                <w:t>Company Press Release dated October 22, 2026</w:t>
              </w:r>
            </w:hyperlink>
          </w:p>
        </w:tc>
      </w:tr>
    </w:tbl>
    <w:p>
      <w:pPr>
        <w:pStyle w:val="TextBody"/>
        <w:bidi w:val="0"/>
        <w:jc w:val="left"/>
        <w:rPr/>
      </w:pPr>
      <w:r>
        <w:rPr/>
        <w:t> </w:t>
      </w:r>
    </w:p>
    <w:tbl>
      <w:tblPr>
        <w:tblW w:w="7397" w:type="dxa"/>
        <w:jc w:val="left"/>
        <w:tblInd w:w="0" w:type="dxa"/>
        <w:tblLayout w:type="fixed"/>
        <w:tblCellMar>
          <w:top w:w="28" w:type="dxa"/>
          <w:left w:w="28" w:type="dxa"/>
          <w:bottom w:w="28" w:type="dxa"/>
          <w:right w:w="28" w:type="dxa"/>
        </w:tblCellMar>
      </w:tblPr>
      <w:tblGrid>
        <w:gridCol w:w="436"/>
        <w:gridCol w:w="6961"/>
      </w:tblGrid>
      <w:tr>
        <w:trPr/>
        <w:tc>
          <w:tcPr>
            <w:tcW w:w="436" w:type="dxa"/>
            <w:tcBorders/>
            <w:vAlign w:val="center"/>
          </w:tcPr>
          <w:p>
            <w:pPr>
              <w:pStyle w:val="TableContents"/>
              <w:bidi w:val="0"/>
              <w:spacing w:before="0" w:after="283"/>
              <w:jc w:val="left"/>
              <w:rPr>
                <w:sz w:val="4"/>
                <w:szCs w:val="4"/>
              </w:rPr>
            </w:pPr>
            <w:r>
              <w:rPr>
                <w:sz w:val="4"/>
                <w:szCs w:val="4"/>
              </w:rPr>
            </w:r>
          </w:p>
        </w:tc>
        <w:tc>
          <w:tcPr>
            <w:tcW w:w="6961" w:type="dxa"/>
            <w:tcBorders/>
            <w:vAlign w:val="center"/>
          </w:tcPr>
          <w:p>
            <w:pPr>
              <w:pStyle w:val="TableContents"/>
              <w:bidi w:val="0"/>
              <w:spacing w:before="0" w:after="283"/>
              <w:jc w:val="left"/>
              <w:rPr>
                <w:sz w:val="4"/>
                <w:szCs w:val="4"/>
              </w:rPr>
            </w:pPr>
            <w:r>
              <w:rPr>
                <w:sz w:val="4"/>
                <w:szCs w:val="4"/>
              </w:rPr>
            </w:r>
          </w:p>
        </w:tc>
      </w:tr>
      <w:tr>
        <w:trPr/>
        <w:tc>
          <w:tcPr>
            <w:tcW w:w="4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authorized.</w:t>
      </w:r>
    </w:p>
    <w:p>
      <w:pPr>
        <w:pStyle w:val="TextBody"/>
        <w:bidi w:val="0"/>
        <w:jc w:val="left"/>
        <w:rPr/>
      </w:pPr>
      <w:r>
        <w:rPr/>
        <w:t> </w:t>
      </w:r>
    </w:p>
    <w:tbl>
      <w:tblPr>
        <w:tblW w:w="6556" w:type="dxa"/>
        <w:jc w:val="left"/>
        <w:tblInd w:w="0" w:type="dxa"/>
        <w:tblLayout w:type="fixed"/>
        <w:tblCellMar>
          <w:top w:w="28" w:type="dxa"/>
          <w:left w:w="28" w:type="dxa"/>
          <w:bottom w:w="28" w:type="dxa"/>
          <w:right w:w="28" w:type="dxa"/>
        </w:tblCellMar>
      </w:tblPr>
      <w:tblGrid>
        <w:gridCol w:w="1261"/>
        <w:gridCol w:w="854"/>
        <w:gridCol w:w="4441"/>
      </w:tblGrid>
      <w:tr>
        <w:trPr/>
        <w:tc>
          <w:tcPr>
            <w:tcW w:w="126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sz w:val="4"/>
                <w:szCs w:val="4"/>
              </w:rPr>
            </w:pPr>
            <w:r>
              <w:rPr>
                <w:sz w:val="4"/>
                <w:szCs w:val="4"/>
              </w:rPr>
            </w:r>
          </w:p>
        </w:tc>
      </w:tr>
      <w:tr>
        <w:trPr/>
        <w:tc>
          <w:tcPr>
            <w:tcW w:w="1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2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FARMERS &amp; MERCHANTS BANCORP, INC.</w:t>
            </w:r>
          </w:p>
        </w:tc>
      </w:tr>
      <w:tr>
        <w:trPr/>
        <w:tc>
          <w:tcPr>
            <w:tcW w:w="211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(Registrant)</w:t>
            </w:r>
          </w:p>
        </w:tc>
      </w:tr>
      <w:tr>
        <w:trPr/>
        <w:tc>
          <w:tcPr>
            <w:tcW w:w="2115"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444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11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October 22, 2026</w:t>
            </w:r>
          </w:p>
        </w:tc>
        <w:tc>
          <w:tcPr>
            <w:tcW w:w="44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Lars B. Eller</w:t>
            </w:r>
          </w:p>
        </w:tc>
      </w:tr>
      <w:tr>
        <w:trPr/>
        <w:tc>
          <w:tcPr>
            <w:tcW w:w="2115"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44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Lars B. Eller</w:t>
            </w:r>
          </w:p>
        </w:tc>
      </w:tr>
      <w:tr>
        <w:trPr/>
        <w:tc>
          <w:tcPr>
            <w:tcW w:w="211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2115"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444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115"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4441"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Barbara J. Britenriker</w:t>
            </w:r>
          </w:p>
        </w:tc>
      </w:tr>
      <w:tr>
        <w:trPr/>
        <w:tc>
          <w:tcPr>
            <w:tcW w:w="211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Barbara J. Britenriker</w:t>
            </w:r>
          </w:p>
        </w:tc>
      </w:tr>
      <w:tr>
        <w:trPr/>
        <w:tc>
          <w:tcPr>
            <w:tcW w:w="2115"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44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Executive Vice President and 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20"/>
        <w:jc w:val="right"/>
        <w:rPr>
          <w:rFonts w:ascii="Times New Roman" w:hAnsi="Times New Roman"/>
          <w:b/>
          <w:color w:val="000000"/>
          <w:sz w:val="24"/>
        </w:rPr>
      </w:pPr>
      <w:bookmarkStart w:id="2" w:name="fmao-ex99.htm"/>
      <w:bookmarkStart w:id="3" w:name="ksfmaoex99"/>
      <w:bookmarkEnd w:id="2"/>
      <w:bookmarkEnd w:id="3"/>
      <w:r>
        <w:rPr>
          <w:rFonts w:ascii="Times New Roman" w:hAnsi="Times New Roman"/>
          <w:b/>
          <w:color w:val="000000"/>
          <w:sz w:val="24"/>
        </w:rPr>
        <w:t>Exhibit 99</w:t>
      </w:r>
      <w:r>
        <w:br w:type="page"/>
      </w:r>
    </w:p>
    <w:tbl>
      <w:tblPr>
        <w:tblW w:w="6732" w:type="dxa"/>
        <w:jc w:val="left"/>
        <w:tblInd w:w="0" w:type="dxa"/>
        <w:tblLayout w:type="fixed"/>
        <w:tblCellMar>
          <w:top w:w="28" w:type="dxa"/>
          <w:left w:w="28" w:type="dxa"/>
          <w:bottom w:w="28" w:type="dxa"/>
          <w:right w:w="28" w:type="dxa"/>
        </w:tblCellMar>
      </w:tblPr>
      <w:tblGrid>
        <w:gridCol w:w="3866"/>
        <w:gridCol w:w="2866"/>
      </w:tblGrid>
      <w:tr>
        <w:trPr/>
        <w:tc>
          <w:tcPr>
            <w:tcW w:w="3866"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sz w:val="4"/>
                <w:szCs w:val="4"/>
              </w:rPr>
            </w:pPr>
            <w:r>
              <w:rPr>
                <w:sz w:val="4"/>
                <w:szCs w:val="4"/>
              </w:rPr>
            </w:r>
          </w:p>
        </w:tc>
      </w:tr>
      <w:tr>
        <w:trPr/>
        <w:tc>
          <w:tcPr>
            <w:tcW w:w="3866" w:type="dxa"/>
            <w:tcBorders/>
            <w:tcMar>
              <w:top w:w="0" w:type="dxa"/>
              <w:left w:w="0" w:type="dxa"/>
              <w:bottom w:w="0" w:type="dxa"/>
              <w:right w:w="0" w:type="dxa"/>
            </w:tcMar>
            <w:vAlign w:val="center"/>
          </w:tcPr>
          <w:p>
            <w:pPr>
              <w:pStyle w:val="TableContents"/>
              <w:bidi w:val="0"/>
              <w:jc w:val="center"/>
              <w:rPr/>
            </w:pPr>
            <w:r>
              <w:rPr/>
              <w:drawing>
                <wp:inline distT="0" distB="0" distL="0" distR="0">
                  <wp:extent cx="2390775" cy="752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90775" cy="752475"/>
                          </a:xfrm>
                          <a:prstGeom prst="rect">
                            <a:avLst/>
                          </a:prstGeom>
                        </pic:spPr>
                      </pic:pic>
                    </a:graphicData>
                  </a:graphic>
                </wp:inline>
              </w:drawing>
            </w:r>
          </w:p>
          <w:p>
            <w:pPr>
              <w:pStyle w:val="TableContents"/>
              <w:bidi w:val="0"/>
              <w:jc w:val="center"/>
              <w:rPr>
                <w:rFonts w:ascii="Times New Roman" w:hAnsi="Times New Roman"/>
                <w:color w:val="002060"/>
                <w:sz w:val="18"/>
              </w:rPr>
            </w:pPr>
            <w:r>
              <w:rPr>
                <w:rFonts w:ascii="Times New Roman" w:hAnsi="Times New Roman"/>
                <w:color w:val="002060"/>
                <w:sz w:val="18"/>
              </w:rPr>
              <w:t>Post Office Box 216</w:t>
            </w:r>
          </w:p>
          <w:p>
            <w:pPr>
              <w:pStyle w:val="TableContents"/>
              <w:bidi w:val="0"/>
              <w:jc w:val="center"/>
              <w:rPr>
                <w:rFonts w:ascii="Times New Roman" w:hAnsi="Times New Roman"/>
                <w:color w:val="002060"/>
                <w:sz w:val="18"/>
              </w:rPr>
            </w:pPr>
            <w:r>
              <w:rPr>
                <w:rFonts w:ascii="Times New Roman" w:hAnsi="Times New Roman"/>
                <w:color w:val="002060"/>
                <w:sz w:val="18"/>
              </w:rPr>
              <w:t>307 North Defiance Street</w:t>
            </w:r>
          </w:p>
          <w:p>
            <w:pPr>
              <w:pStyle w:val="TableContents"/>
              <w:bidi w:val="0"/>
              <w:spacing w:before="0" w:after="283"/>
              <w:jc w:val="center"/>
              <w:rPr>
                <w:rFonts w:ascii="Times New Roman" w:hAnsi="Times New Roman"/>
                <w:color w:val="002060"/>
                <w:sz w:val="18"/>
              </w:rPr>
            </w:pPr>
            <w:r>
              <w:rPr>
                <w:rFonts w:ascii="Times New Roman" w:hAnsi="Times New Roman"/>
                <w:color w:val="002060"/>
                <w:sz w:val="18"/>
              </w:rPr>
              <w:t>Archbold, Ohio 43502</w:t>
            </w:r>
          </w:p>
        </w:tc>
        <w:tc>
          <w:tcPr>
            <w:tcW w:w="28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i/>
                <w:color w:val="002060"/>
                <w:sz w:val="36"/>
              </w:rPr>
            </w:pPr>
            <w:r>
              <w:rPr>
                <w:rFonts w:ascii="Times New Roman" w:hAnsi="Times New Roman"/>
                <w:b/>
                <w:i/>
                <w:color w:val="002060"/>
                <w:sz w:val="36"/>
              </w:rPr>
              <w:t>NEWS RELEASE</w:t>
            </w:r>
          </w:p>
        </w:tc>
      </w:tr>
    </w:tbl>
    <w:p>
      <w:pPr>
        <w:pStyle w:val="TextBody"/>
        <w:bidi w:val="0"/>
        <w:spacing w:before="0" w:after="120"/>
        <w:jc w:val="left"/>
        <w:rPr/>
      </w:pPr>
      <w:r>
        <w:rPr/>
        <w:t> </w:t>
      </w:r>
    </w:p>
    <w:tbl>
      <w:tblPr>
        <w:tblW w:w="5192" w:type="dxa"/>
        <w:jc w:val="left"/>
        <w:tblInd w:w="0" w:type="dxa"/>
        <w:tblLayout w:type="fixed"/>
        <w:tblCellMar>
          <w:top w:w="28" w:type="dxa"/>
          <w:left w:w="28" w:type="dxa"/>
          <w:bottom w:w="28" w:type="dxa"/>
          <w:right w:w="28" w:type="dxa"/>
        </w:tblCellMar>
      </w:tblPr>
      <w:tblGrid>
        <w:gridCol w:w="2806"/>
        <w:gridCol w:w="2386"/>
      </w:tblGrid>
      <w:tr>
        <w:trPr/>
        <w:tc>
          <w:tcPr>
            <w:tcW w:w="2806"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r>
      <w:tr>
        <w:trPr/>
        <w:tc>
          <w:tcPr>
            <w:tcW w:w="28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Company Contact:</w:t>
            </w:r>
          </w:p>
        </w:tc>
        <w:tc>
          <w:tcPr>
            <w:tcW w:w="23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Investor and Media Contact:</w:t>
            </w:r>
          </w:p>
        </w:tc>
      </w:tr>
      <w:tr>
        <w:trPr/>
        <w:tc>
          <w:tcPr>
            <w:tcW w:w="280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18"/>
              </w:rPr>
            </w:pPr>
            <w:r>
              <w:rPr>
                <w:rFonts w:ascii="Times New Roman" w:hAnsi="Times New Roman"/>
                <w:color w:val="000000"/>
                <w:sz w:val="18"/>
              </w:rPr>
              <w:t>Lars B. Eller</w:t>
            </w:r>
          </w:p>
          <w:p>
            <w:pPr>
              <w:pStyle w:val="TableContents"/>
              <w:bidi w:val="0"/>
              <w:jc w:val="left"/>
              <w:rPr>
                <w:rFonts w:ascii="Times New Roman" w:hAnsi="Times New Roman"/>
                <w:color w:val="000000"/>
                <w:sz w:val="18"/>
              </w:rPr>
            </w:pPr>
            <w:r>
              <w:rPr>
                <w:rFonts w:ascii="Times New Roman" w:hAnsi="Times New Roman"/>
                <w:color w:val="000000"/>
                <w:sz w:val="18"/>
              </w:rPr>
              <w:t>President and Chief Executive Officer</w:t>
            </w:r>
          </w:p>
          <w:p>
            <w:pPr>
              <w:pStyle w:val="TableContents"/>
              <w:bidi w:val="0"/>
              <w:jc w:val="left"/>
              <w:rPr>
                <w:rFonts w:ascii="Times New Roman" w:hAnsi="Times New Roman"/>
                <w:color w:val="000000"/>
                <w:sz w:val="18"/>
              </w:rPr>
            </w:pPr>
            <w:r>
              <w:rPr>
                <w:rFonts w:ascii="Times New Roman" w:hAnsi="Times New Roman"/>
                <w:color w:val="000000"/>
                <w:sz w:val="18"/>
              </w:rPr>
              <w:t>Farmers &amp; Merchants Bancorp, Inc.</w:t>
            </w:r>
          </w:p>
          <w:p>
            <w:pPr>
              <w:pStyle w:val="TableContents"/>
              <w:bidi w:val="0"/>
              <w:jc w:val="left"/>
              <w:rPr>
                <w:rFonts w:ascii="Times New Roman" w:hAnsi="Times New Roman"/>
                <w:color w:val="000000"/>
                <w:sz w:val="18"/>
              </w:rPr>
            </w:pPr>
            <w:r>
              <w:rPr>
                <w:rFonts w:ascii="Times New Roman" w:hAnsi="Times New Roman"/>
                <w:color w:val="000000"/>
                <w:sz w:val="18"/>
              </w:rPr>
              <w:t xml:space="preserve">(419) 446-2501 </w:t>
            </w:r>
          </w:p>
          <w:p>
            <w:pPr>
              <w:pStyle w:val="TableContents"/>
              <w:bidi w:val="0"/>
              <w:spacing w:before="0" w:after="283"/>
              <w:jc w:val="left"/>
              <w:rPr>
                <w:rFonts w:ascii="Times New Roman" w:hAnsi="Times New Roman"/>
                <w:color w:val="0000FF"/>
                <w:sz w:val="18"/>
                <w:u w:val="single"/>
              </w:rPr>
            </w:pPr>
            <w:r>
              <w:rPr>
                <w:rFonts w:ascii="Times New Roman" w:hAnsi="Times New Roman"/>
                <w:color w:val="0000FF"/>
                <w:sz w:val="18"/>
                <w:u w:val="single"/>
              </w:rPr>
              <w:t>leller@fm.bank</w:t>
            </w:r>
          </w:p>
        </w:tc>
        <w:tc>
          <w:tcPr>
            <w:tcW w:w="238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18"/>
              </w:rPr>
            </w:pPr>
            <w:r>
              <w:rPr>
                <w:rFonts w:ascii="Times New Roman" w:hAnsi="Times New Roman"/>
                <w:color w:val="000000"/>
                <w:sz w:val="18"/>
              </w:rPr>
              <w:t>Andrew M. Berger</w:t>
            </w:r>
          </w:p>
          <w:p>
            <w:pPr>
              <w:pStyle w:val="TableContents"/>
              <w:bidi w:val="0"/>
              <w:jc w:val="left"/>
              <w:rPr>
                <w:rFonts w:ascii="Times New Roman" w:hAnsi="Times New Roman"/>
                <w:color w:val="000000"/>
                <w:sz w:val="18"/>
              </w:rPr>
            </w:pPr>
            <w:r>
              <w:rPr>
                <w:rFonts w:ascii="Times New Roman" w:hAnsi="Times New Roman"/>
                <w:color w:val="000000"/>
                <w:sz w:val="18"/>
              </w:rPr>
              <w:t>Managing Director</w:t>
            </w:r>
          </w:p>
          <w:p>
            <w:pPr>
              <w:pStyle w:val="TableContents"/>
              <w:bidi w:val="0"/>
              <w:jc w:val="left"/>
              <w:rPr>
                <w:rFonts w:ascii="Times New Roman" w:hAnsi="Times New Roman"/>
                <w:color w:val="000000"/>
                <w:sz w:val="18"/>
              </w:rPr>
            </w:pPr>
            <w:r>
              <w:rPr>
                <w:rFonts w:ascii="Times New Roman" w:hAnsi="Times New Roman"/>
                <w:color w:val="000000"/>
                <w:sz w:val="18"/>
              </w:rPr>
              <w:t xml:space="preserve">SM Berger &amp; Company, Inc. </w:t>
            </w:r>
          </w:p>
          <w:p>
            <w:pPr>
              <w:pStyle w:val="TableContents"/>
              <w:bidi w:val="0"/>
              <w:jc w:val="left"/>
              <w:rPr>
                <w:rFonts w:ascii="Times New Roman" w:hAnsi="Times New Roman"/>
                <w:color w:val="000000"/>
                <w:sz w:val="18"/>
              </w:rPr>
            </w:pPr>
            <w:r>
              <w:rPr>
                <w:rFonts w:ascii="Times New Roman" w:hAnsi="Times New Roman"/>
                <w:color w:val="000000"/>
                <w:sz w:val="18"/>
              </w:rPr>
              <w:t>(216) 464-6400</w:t>
            </w:r>
          </w:p>
          <w:p>
            <w:pPr>
              <w:pStyle w:val="TableContents"/>
              <w:bidi w:val="0"/>
              <w:spacing w:before="0" w:after="283"/>
              <w:jc w:val="left"/>
              <w:rPr>
                <w:rFonts w:ascii="Times New Roman" w:hAnsi="Times New Roman"/>
                <w:sz w:val="18"/>
              </w:rPr>
            </w:pPr>
            <w:r>
              <w:rPr>
                <w:rFonts w:ascii="Times New Roman" w:hAnsi="Times New Roman"/>
                <w:color w:val="0000FF"/>
                <w:sz w:val="18"/>
                <w:u w:val="single"/>
              </w:rPr>
              <w:t>andrew@smberger.com</w:t>
            </w:r>
            <w:r>
              <w:rPr>
                <w:rFonts w:ascii="Times New Roman" w:hAnsi="Times New Roman"/>
                <w:color w:val="000000"/>
                <w:sz w:val="18"/>
              </w:rPr>
              <w:t xml:space="preserve"> </w:t>
            </w:r>
          </w:p>
        </w:tc>
      </w:tr>
    </w:tbl>
    <w:p>
      <w:pPr>
        <w:pStyle w:val="TextBody"/>
        <w:bidi w:val="0"/>
        <w:jc w:val="center"/>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Farmers &amp; Merchants Bancorp, Inc. Reports</w:t>
      </w:r>
    </w:p>
    <w:p>
      <w:pPr>
        <w:pStyle w:val="TextBody"/>
        <w:bidi w:val="0"/>
        <w:jc w:val="center"/>
        <w:rPr>
          <w:rFonts w:ascii="Times New Roman" w:hAnsi="Times New Roman"/>
          <w:b/>
          <w:color w:val="000000"/>
          <w:sz w:val="28"/>
        </w:rPr>
      </w:pPr>
      <w:r>
        <w:rPr>
          <w:rFonts w:ascii="Times New Roman" w:hAnsi="Times New Roman"/>
          <w:b/>
          <w:color w:val="000000"/>
          <w:sz w:val="28"/>
        </w:rPr>
        <w:t>2026 Third-Quarter and Year-to-Date Financial Results</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ARCHBOLD, OHIO, October 22, 2026, Farmers &amp; Merchants Bancorp, Inc. (Nasdaq: FMAO) today reported financial results for the 2026 third quarter and year-to-date ended September 30, 2026, on a consolidated basis.</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2026 Third-Quarter Financial and Operating Highlights</w:t>
      </w:r>
    </w:p>
    <w:p>
      <w:pPr>
        <w:pStyle w:val="TextBody"/>
        <w:bidi w:val="0"/>
        <w:jc w:val="both"/>
        <w:rPr>
          <w:rFonts w:ascii="Times New Roman" w:hAnsi="Times New Roman"/>
          <w:color w:val="000000"/>
          <w:sz w:val="22"/>
        </w:rPr>
      </w:pPr>
      <w:r>
        <w:rPr>
          <w:rFonts w:ascii="Times New Roman" w:hAnsi="Times New Roman"/>
          <w:color w:val="000000"/>
          <w:sz w:val="22"/>
        </w:rPr>
        <w:t>(at September 30, 2026, and on a year-over-year basis unless noted)</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 xml:space="preserve">94 consecutive quarters of profitability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Net income increased 30.3% to $11.5 million, or $0.84 per basic and diluted share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 xml:space="preserve">Strong profitability drives ROAA to 1.29%, compared to 1.05%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Net charge-offs to average loans of 0.00%</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Tier 1 leverage ratio was 9.14%</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Cost of interest-bearing liabilities improved to 2.59%, from 2.83%</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Net interest margin increased by 17 basis points to 3.57%</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Efficiency ratio improved to 58.09%, compared to 63.11%</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Third quarter regular dividend per share increased 5.5% to $0.96 annualized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2"/>
        </w:rPr>
      </w:pPr>
      <w:r>
        <w:rPr>
          <w:rFonts w:ascii="Times New Roman" w:hAnsi="Times New Roman"/>
          <w:color w:val="000000"/>
          <w:sz w:val="22"/>
        </w:rPr>
        <w:t>Company declared an additional $0.01 per share special dividend, bringing total third-quarter payment to $0.250 per share</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Lars B. Eller, President and Chief Executive Officer, stated, “2026 is shaping up to be a historic year of profitability and growth with year-to-date earnings per share increasing 39.8% to $2.39. Throughout the 2026 nine-month period, our team has worked hard to expand our net interest margin, control operating expenses, grow our balance sheet, and maintain excellent asset quality. We are encouraged by the progress we have made across these key priorities and believe we are well positioned to sustain our positive momentum through the remainder of 2026 and into 2027.”</w:t>
      </w:r>
    </w:p>
    <w:p>
      <w:pPr>
        <w:pStyle w:val="TextBody"/>
        <w:bidi w:val="0"/>
        <w:jc w:val="left"/>
        <w:rPr/>
      </w:pPr>
      <w:r>
        <w:rPr/>
        <w:t> </w:t>
      </w:r>
    </w:p>
    <w:p>
      <w:pPr>
        <w:pStyle w:val="TextBody"/>
        <w:bidi w:val="0"/>
        <w:jc w:val="both"/>
        <w:rPr>
          <w:rFonts w:ascii="Times New Roman" w:hAnsi="Times New Roman"/>
          <w:b/>
          <w:color w:val="404040"/>
          <w:sz w:val="22"/>
        </w:rPr>
      </w:pPr>
      <w:r>
        <w:rPr>
          <w:rFonts w:ascii="Times New Roman" w:hAnsi="Times New Roman"/>
          <w:b/>
          <w:color w:val="404040"/>
          <w:sz w:val="22"/>
        </w:rPr>
        <w:t>Income Statement</w:t>
      </w:r>
    </w:p>
    <w:p>
      <w:pPr>
        <w:pStyle w:val="TextBody"/>
        <w:bidi w:val="0"/>
        <w:jc w:val="both"/>
        <w:rPr>
          <w:rFonts w:ascii="Times New Roman" w:hAnsi="Times New Roman"/>
          <w:sz w:val="22"/>
        </w:rPr>
      </w:pPr>
      <w:r>
        <w:rPr>
          <w:rFonts w:ascii="Times New Roman" w:hAnsi="Times New Roman"/>
          <w:color w:val="000000"/>
          <w:sz w:val="22"/>
        </w:rPr>
        <w:t>Net income for the quarter ended September 30, 2026, was $11.5 million, compared to $8.9 million</w:t>
      </w:r>
      <w:r>
        <w:rPr>
          <w:rFonts w:ascii="Times New Roman" w:hAnsi="Times New Roman"/>
          <w:color w:val="EE0000"/>
          <w:sz w:val="22"/>
        </w:rPr>
        <w:t xml:space="preserve"> </w:t>
      </w:r>
      <w:r>
        <w:rPr>
          <w:rFonts w:ascii="Times New Roman" w:hAnsi="Times New Roman"/>
          <w:color w:val="000000"/>
          <w:sz w:val="22"/>
        </w:rPr>
        <w:t>for the same period last year. Net income per basic and diluted share for the 2026 third quarter was $0.84, compared to $0.64 for the same period last year. Net income for the nine months ended September 30, 2026, was $32.9 million, compared to $23.5 million for the same period last year. Net income per basic and diluted share for the 2026 nine months was $2.39, compared to $1.71 for the same period last year.</w:t>
      </w:r>
    </w:p>
    <w:p>
      <w:pPr>
        <w:pStyle w:val="TextBody"/>
        <w:bidi w:val="0"/>
        <w:jc w:val="both"/>
        <w:rPr/>
      </w:pPr>
      <w:r>
        <w:rPr/>
        <w:t> </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 xml:space="preserve">Mr. Eller continued: “We believe F&amp;M is well positioned to navigate a higher interest rate environment and capitalize on opportunities to further expand our net interest margin. With loan repricing opportunities extending through 2028, we believe we have a favorable backdrop to support interest income growth in the coming quarters and years. Combined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2"/>
        </w:rPr>
      </w:pPr>
      <w:r>
        <w:rPr>
          <w:rFonts w:ascii="Times New Roman" w:hAnsi="Times New Roman"/>
          <w:color w:val="000000"/>
          <w:sz w:val="22"/>
        </w:rPr>
        <w:t>with our disciplined approach to deposit pricing and funding costs, we remain optimistic about our ability to maintain the significant improvement in net interest margin achieved over the past year.”</w:t>
      </w:r>
    </w:p>
    <w:p>
      <w:pPr>
        <w:pStyle w:val="TextBody"/>
        <w:bidi w:val="0"/>
        <w:jc w:val="both"/>
        <w:rPr/>
      </w:pPr>
      <w:r>
        <w:rPr/>
        <w:t> </w:t>
      </w:r>
    </w:p>
    <w:p>
      <w:pPr>
        <w:pStyle w:val="TextBody"/>
        <w:bidi w:val="0"/>
        <w:jc w:val="both"/>
        <w:rPr>
          <w:rFonts w:ascii="Times New Roman" w:hAnsi="Times New Roman"/>
          <w:b/>
          <w:color w:val="404040"/>
          <w:sz w:val="22"/>
        </w:rPr>
      </w:pPr>
      <w:r>
        <w:rPr>
          <w:rFonts w:ascii="Times New Roman" w:hAnsi="Times New Roman"/>
          <w:b/>
          <w:color w:val="404040"/>
          <w:sz w:val="22"/>
        </w:rPr>
        <w:t>Deposits</w:t>
      </w:r>
    </w:p>
    <w:p>
      <w:pPr>
        <w:pStyle w:val="TextBody"/>
        <w:bidi w:val="0"/>
        <w:jc w:val="both"/>
        <w:rPr>
          <w:rFonts w:ascii="Times New Roman" w:hAnsi="Times New Roman"/>
          <w:color w:val="000000"/>
          <w:sz w:val="22"/>
        </w:rPr>
      </w:pPr>
      <w:r>
        <w:rPr>
          <w:rFonts w:ascii="Times New Roman" w:hAnsi="Times New Roman"/>
          <w:color w:val="000000"/>
          <w:sz w:val="22"/>
        </w:rPr>
        <w:t>At September 30, 2026, total deposits were $2.96 billion, an increase of 7.7%, or $210.6 million from September 30, 2025. For the three months ended September 30, 2026, F&amp;M’s cost of interest-bearing liabilities was 2.59%, compared to 2.83% in the same period last year.</w:t>
      </w:r>
    </w:p>
    <w:p>
      <w:pPr>
        <w:pStyle w:val="TextBody"/>
        <w:bidi w:val="0"/>
        <w:jc w:val="left"/>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Loan Portfolio and Asset Quality</w:t>
      </w:r>
    </w:p>
    <w:p>
      <w:pPr>
        <w:pStyle w:val="TextBody"/>
        <w:bidi w:val="0"/>
        <w:jc w:val="both"/>
        <w:rPr>
          <w:rFonts w:ascii="Times New Roman" w:hAnsi="Times New Roman"/>
          <w:color w:val="000000"/>
          <w:sz w:val="22"/>
        </w:rPr>
      </w:pPr>
      <w:r>
        <w:rPr>
          <w:rFonts w:ascii="Times New Roman" w:hAnsi="Times New Roman"/>
          <w:color w:val="000000"/>
          <w:sz w:val="22"/>
        </w:rPr>
        <w:t xml:space="preserve">Total loans, net at September 30, 2026, increased 3.0%, or by $79.0 million to $2.74 billion, compared to $2.66 billion at September 30, 2025. The year-over-year increase was driven primarily by higher agricultural, commercial and industrial, and consumer real estate loans, partially offset by lower commercial real estate, consumer, and agricultural real estate loans.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 xml:space="preserve">F&amp;M continues to closely monitor its loan portfolio with a particular emphasis on higher risk sectors. Nonperforming loans continue to normalize on a year-over-year basis and were $6.2 million, or 0.23% of total loans at September 30, 2026, compared to $7.4 million, or 0.27% of total loans at June 30, 2026, and $5.2 million, or 0.19% of total loans at September 30, 2025. </w:t>
      </w:r>
    </w:p>
    <w:p>
      <w:pPr>
        <w:pStyle w:val="TextBody"/>
        <w:bidi w:val="0"/>
        <w:jc w:val="both"/>
        <w:rPr/>
      </w:pPr>
      <w:r>
        <w:rPr/>
        <w:t> </w:t>
      </w:r>
    </w:p>
    <w:p>
      <w:pPr>
        <w:pStyle w:val="TextBody"/>
        <w:bidi w:val="0"/>
        <w:spacing w:lineRule="auto" w:line="360"/>
        <w:jc w:val="left"/>
        <w:rPr>
          <w:rFonts w:ascii="Times New Roman" w:hAnsi="Times New Roman"/>
          <w:sz w:val="15"/>
        </w:rPr>
      </w:pPr>
      <w:r>
        <w:rPr>
          <w:rFonts w:ascii="Times New Roman" w:hAnsi="Times New Roman"/>
          <w:color w:val="000000"/>
          <w:sz w:val="22"/>
        </w:rPr>
        <w:t xml:space="preserve">F&amp;M maintains a well-balanced, diverse, and high performing CRE portfolio. CRE loans represented 48.2% of the Company’s total loan portfolio at September 30, 2026. F&amp;M’s CRE portfolio included the following categories at September 30, 2026 </w:t>
      </w:r>
      <w:r>
        <w:rPr>
          <w:rFonts w:ascii="Times New Roman" w:hAnsi="Times New Roman"/>
          <w:b/>
          <w:color w:val="000000"/>
          <w:sz w:val="15"/>
        </w:rPr>
        <w:t>(*)</w:t>
      </w:r>
      <w:r>
        <w:rPr>
          <w:rFonts w:ascii="Times New Roman" w:hAnsi="Times New Roman"/>
          <w:color w:val="000000"/>
          <w:sz w:val="22"/>
        </w:rPr>
        <w:t>:</w:t>
      </w:r>
    </w:p>
    <w:p>
      <w:pPr>
        <w:pStyle w:val="TextBody"/>
        <w:bidi w:val="0"/>
        <w:jc w:val="left"/>
        <w:rPr/>
      </w:pPr>
      <w:r>
        <w:rPr/>
        <w:t> </w:t>
      </w:r>
    </w:p>
    <w:tbl>
      <w:tblPr>
        <w:tblW w:w="6559" w:type="dxa"/>
        <w:jc w:val="left"/>
        <w:tblInd w:w="0" w:type="dxa"/>
        <w:tblLayout w:type="fixed"/>
        <w:tblCellMar>
          <w:top w:w="28" w:type="dxa"/>
          <w:left w:w="28" w:type="dxa"/>
          <w:bottom w:w="28" w:type="dxa"/>
          <w:right w:w="28" w:type="dxa"/>
        </w:tblCellMar>
      </w:tblPr>
      <w:tblGrid>
        <w:gridCol w:w="1471"/>
        <w:gridCol w:w="146"/>
        <w:gridCol w:w="226"/>
        <w:gridCol w:w="1066"/>
        <w:gridCol w:w="146"/>
        <w:gridCol w:w="146"/>
        <w:gridCol w:w="203"/>
        <w:gridCol w:w="907"/>
        <w:gridCol w:w="286"/>
        <w:gridCol w:w="146"/>
        <w:gridCol w:w="257"/>
        <w:gridCol w:w="928"/>
        <w:gridCol w:w="631"/>
      </w:tblGrid>
      <w:tr>
        <w:trPr/>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1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CRE Category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Dollar</w:t>
              <w:br/>
              <w:t>Balance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 xml:space="preserve">Percent of </w:t>
              <w:br/>
              <w:t xml:space="preserve">CRE </w:t>
              <w:br/>
              <w:t>Portfolio</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 xml:space="preserve">Percent of </w:t>
              <w:br/>
              <w:t xml:space="preserve">Total Loan </w:t>
              <w:br/>
              <w:t>Portfolio</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Multi-family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248,851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18.8</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9.1</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Retail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241,155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18.3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8.8</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Industrial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211,320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16.0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7.7</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Hotels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176,727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13.4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6.5</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Office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125,283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4.6</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Gas Stations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83,361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3.0</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Food Service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53,045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1.9</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35,527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1.3</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Auto Dealers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26,163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Senior Living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17,205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0.6</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102,384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7.7</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3.7</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2"/>
              </w:rPr>
            </w:pPr>
            <w:r>
              <w:rPr>
                <w:rFonts w:ascii="Times New Roman" w:hAnsi="Times New Roman"/>
                <w:color w:val="000000"/>
                <w:sz w:val="22"/>
              </w:rPr>
              <w:t>%</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2"/>
              </w:rPr>
            </w:pPr>
            <w:r>
              <w:rPr>
                <w:rFonts w:ascii="Times New Roman" w:hAnsi="Times New Roman"/>
                <w:color w:val="000000"/>
                <w:sz w:val="22"/>
              </w:rPr>
              <w:t>Total CRE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1,321,021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100.0</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48.2</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bl>
    <w:p>
      <w:pPr>
        <w:pStyle w:val="TextBody"/>
        <w:bidi w:val="0"/>
        <w:jc w:val="both"/>
        <w:rPr>
          <w:rFonts w:ascii="Times New Roman" w:hAnsi="Times New Roman"/>
          <w:sz w:val="22"/>
        </w:rPr>
      </w:pPr>
      <w:r>
        <w:rPr>
          <w:rFonts w:ascii="Times New Roman" w:hAnsi="Times New Roman"/>
          <w:color w:val="404040"/>
          <w:sz w:val="22"/>
        </w:rPr>
        <w:t xml:space="preserve">* </w:t>
      </w:r>
      <w:r>
        <w:rPr>
          <w:rFonts w:ascii="Times New Roman" w:hAnsi="Times New Roman"/>
          <w:color w:val="000000"/>
          <w:sz w:val="22"/>
        </w:rPr>
        <w:t>Numbers have been rounded; totals may not foot due to rounding; and dollar amounts in thousands.</w:t>
      </w:r>
      <w:r>
        <w:rPr>
          <w:rFonts w:ascii="Times New Roman" w:hAnsi="Times New Roman"/>
          <w:color w:val="404040"/>
          <w:sz w:val="22"/>
        </w:rPr>
        <w:t xml:space="preserve"> </w:t>
      </w:r>
    </w:p>
    <w:p>
      <w:pPr>
        <w:pStyle w:val="TextBody"/>
        <w:bidi w:val="0"/>
        <w:jc w:val="both"/>
        <w:rPr/>
      </w:pPr>
      <w:r>
        <w:rPr/>
        <w:t> </w:t>
      </w:r>
    </w:p>
    <w:p>
      <w:pPr>
        <w:pStyle w:val="TextBody"/>
        <w:bidi w:val="0"/>
        <w:jc w:val="both"/>
        <w:rPr>
          <w:rFonts w:ascii="Times New Roman" w:hAnsi="Times New Roman"/>
          <w:sz w:val="22"/>
        </w:rPr>
      </w:pPr>
      <w:r>
        <w:rPr>
          <w:rFonts w:ascii="Times New Roman" w:hAnsi="Times New Roman"/>
          <w:color w:val="000000"/>
          <w:sz w:val="22"/>
        </w:rPr>
        <w:t>At September 30, 2026, the Company’s total allowance for credit losses to total loans was 1.08%,</w:t>
      </w:r>
      <w:r>
        <w:rPr>
          <w:rFonts w:ascii="Times New Roman" w:hAnsi="Times New Roman"/>
          <w:color w:val="EE0000"/>
          <w:sz w:val="22"/>
        </w:rPr>
        <w:t xml:space="preserve"> </w:t>
      </w:r>
      <w:r>
        <w:rPr>
          <w:rFonts w:ascii="Times New Roman" w:hAnsi="Times New Roman"/>
          <w:color w:val="000000"/>
          <w:sz w:val="22"/>
        </w:rPr>
        <w:t>compared to 1.07%</w:t>
      </w:r>
      <w:r>
        <w:rPr>
          <w:rFonts w:ascii="Times New Roman" w:hAnsi="Times New Roman"/>
          <w:color w:val="EE0000"/>
          <w:sz w:val="22"/>
        </w:rPr>
        <w:t xml:space="preserve"> </w:t>
      </w:r>
      <w:r>
        <w:rPr>
          <w:rFonts w:ascii="Times New Roman" w:hAnsi="Times New Roman"/>
          <w:color w:val="000000"/>
          <w:sz w:val="22"/>
        </w:rPr>
        <w:t xml:space="preserve">at September 30, 2025.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Mr. Eller concluded, “Our relationship-based banking model and local decision-making continue to differentiate F&amp;M across our Ohio, Indiana, and Michigan markets. We maintain a healthy lending pipeline, reflecting continued opportunities to support businesses and consumers throughout our communities. Our local market knowledge and disciplined underwriting practices allow us to remain selective in pursuing new business while maintaining strong asset quality. We believe this balanced approach to profitable growth, combined with our continued focus on operational efficiency and shareholder returns, positions F&amp;M to build upon our strong financial performance.”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404040"/>
          <w:sz w:val="22"/>
        </w:rPr>
      </w:pPr>
      <w:r>
        <w:rPr>
          <w:rFonts w:ascii="Times New Roman" w:hAnsi="Times New Roman"/>
          <w:b/>
          <w:color w:val="404040"/>
          <w:sz w:val="22"/>
        </w:rPr>
        <w:t>Stockholders’ Equity and Dividends</w:t>
      </w:r>
    </w:p>
    <w:p>
      <w:pPr>
        <w:pStyle w:val="TextBody"/>
        <w:bidi w:val="0"/>
        <w:jc w:val="both"/>
        <w:rPr>
          <w:rFonts w:ascii="Times New Roman" w:hAnsi="Times New Roman"/>
          <w:color w:val="000000"/>
          <w:sz w:val="22"/>
        </w:rPr>
      </w:pPr>
      <w:r>
        <w:rPr>
          <w:rFonts w:ascii="Times New Roman" w:hAnsi="Times New Roman"/>
          <w:color w:val="000000"/>
          <w:sz w:val="22"/>
        </w:rPr>
        <w:t xml:space="preserve">Total stockholders’ equity increased 6.9% to $386.9 million, or $28.12 per share at September 30, 2026, from $361.8 million, or $26.31 per share at September 30, 2025. The Company had a Tier 1 leverage ratio of 9.14% at September 30, 2026, compared to 8.74% at September 30, 2025. </w:t>
      </w:r>
    </w:p>
    <w:p>
      <w:pPr>
        <w:pStyle w:val="TextBody"/>
        <w:bidi w:val="0"/>
        <w:jc w:val="both"/>
        <w:rPr/>
      </w:pPr>
      <w:r>
        <w:rPr/>
        <w:t> </w:t>
      </w:r>
    </w:p>
    <w:p>
      <w:pPr>
        <w:pStyle w:val="TextBody"/>
        <w:bidi w:val="0"/>
        <w:jc w:val="both"/>
        <w:rPr>
          <w:rFonts w:ascii="Times New Roman" w:hAnsi="Times New Roman"/>
          <w:sz w:val="22"/>
        </w:rPr>
      </w:pPr>
      <w:r>
        <w:rPr>
          <w:rFonts w:ascii="Times New Roman" w:hAnsi="Times New Roman"/>
          <w:color w:val="000000"/>
          <w:sz w:val="22"/>
        </w:rPr>
        <w:t>Tangible stockholders’ equity increased to $297.5 million at September 30, 2026, compared to $271.0 million at September 30, 2025. On a per share basis, tangible stockholders’ equity at September 30, 2026, was $21.62</w:t>
      </w:r>
      <w:r>
        <w:rPr>
          <w:rFonts w:ascii="Times New Roman" w:hAnsi="Times New Roman"/>
          <w:color w:val="EE0000"/>
          <w:sz w:val="22"/>
        </w:rPr>
        <w:t xml:space="preserve"> </w:t>
      </w:r>
      <w:r>
        <w:rPr>
          <w:rFonts w:ascii="Times New Roman" w:hAnsi="Times New Roman"/>
          <w:color w:val="000000"/>
          <w:sz w:val="22"/>
        </w:rPr>
        <w:t>per share, compared to $19.71 per share at September 30, 2025. Tangible stockholders’ equity and tangible book value per share are non-GAAP financial measures; see “Use of Non-GAAP Financial Measures.”</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F&amp;M is committed to returning capital to shareholders and has increased the annual cash dividend for 32 consecutive years. For the nine months ended September 30, 2026, the Company declared cash dividends of $0.71 per share, representing a 6.0% increase over the same period last year. For the nine months ended September 30, 2026, the dividend payout ratio was 29.34% compared to 38.64% for the same period last year.</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As part of F&amp;M’s disciplined approach to capital management, the Company has continued to actively repurchase shares of F&amp;M common stock. These repurchases are intended, in part, to help offset dilution associated with equity-based management compensation while supporting F&amp;M’s broader objective of managing capital in a manner that enhances long-term shareholder value.</w:t>
      </w:r>
    </w:p>
    <w:p>
      <w:pPr>
        <w:pStyle w:val="TextBody"/>
        <w:bidi w:val="0"/>
        <w:jc w:val="left"/>
        <w:rPr/>
      </w:pPr>
      <w:r>
        <w:rPr/>
        <w:t> </w:t>
      </w:r>
    </w:p>
    <w:p>
      <w:pPr>
        <w:pStyle w:val="TextBody"/>
        <w:bidi w:val="0"/>
        <w:spacing w:lineRule="auto" w:line="360"/>
        <w:jc w:val="both"/>
        <w:rPr>
          <w:rFonts w:ascii="Times New Roman" w:hAnsi="Times New Roman"/>
          <w:sz w:val="15"/>
        </w:rPr>
      </w:pPr>
      <w:r>
        <w:rPr>
          <w:rFonts w:ascii="Times New Roman" w:hAnsi="Times New Roman"/>
          <w:color w:val="000000"/>
          <w:sz w:val="22"/>
        </w:rPr>
        <w:t>Mr. Eller concluded, “One of the most rewarding aspects of our continued financial success is the ability to share that success with our shareholders. Our 32</w:t>
      </w:r>
      <w:r>
        <w:rPr>
          <w:rFonts w:ascii="Times New Roman" w:hAnsi="Times New Roman"/>
          <w:color w:val="000000"/>
          <w:sz w:val="15"/>
        </w:rPr>
        <w:t>nd</w:t>
      </w:r>
      <w:r>
        <w:rPr>
          <w:rFonts w:ascii="Times New Roman" w:hAnsi="Times New Roman"/>
          <w:color w:val="000000"/>
          <w:sz w:val="22"/>
        </w:rPr>
        <w:t>consecutive annual dividend increase, and third quarter special dividend, are testaments to the strength of our franchise, the consistency of our financial performance, and our disciplined approach to capital management. We believe the combination of profitable growth, a strong balance sheet, and consistent capital returns positions F&amp;M to create meaningful long-term value for our shareholders.”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22"/>
        </w:rPr>
      </w:pPr>
      <w:r>
        <w:rPr>
          <w:rFonts w:ascii="Times New Roman" w:hAnsi="Times New Roman"/>
          <w:b/>
          <w:color w:val="000000"/>
          <w:sz w:val="22"/>
        </w:rPr>
        <w:t>About Farmers &amp; Merchants Bancorp, Inc.</w:t>
      </w:r>
    </w:p>
    <w:p>
      <w:pPr>
        <w:pStyle w:val="TextBody"/>
        <w:bidi w:val="0"/>
        <w:jc w:val="both"/>
        <w:rPr>
          <w:rFonts w:ascii="Times New Roman" w:hAnsi="Times New Roman"/>
          <w:color w:val="000000"/>
          <w:sz w:val="22"/>
        </w:rPr>
      </w:pPr>
      <w:r>
        <w:rPr>
          <w:rFonts w:ascii="Times New Roman" w:hAnsi="Times New Roman"/>
          <w:color w:val="000000"/>
          <w:sz w:val="22"/>
        </w:rPr>
        <w:t>Farmers &amp; Merchants Bancorp, Inc. (Nasdaq: FMAO) is a financial holding company headquartered in Archbold, Ohio, and the parent company of The Farmers &amp; Merchants State Bank.</w:t>
      </w:r>
    </w:p>
    <w:p>
      <w:pPr>
        <w:pStyle w:val="TextBody"/>
        <w:bidi w:val="0"/>
        <w:jc w:val="both"/>
        <w:rPr/>
      </w:pPr>
      <w:r>
        <w:rPr/>
        <w:t> </w:t>
      </w:r>
    </w:p>
    <w:p>
      <w:pPr>
        <w:pStyle w:val="TextBody"/>
        <w:bidi w:val="0"/>
        <w:jc w:val="both"/>
        <w:rPr>
          <w:rFonts w:ascii="Times New Roman" w:hAnsi="Times New Roman"/>
          <w:sz w:val="22"/>
        </w:rPr>
      </w:pPr>
      <w:r>
        <w:rPr>
          <w:rFonts w:ascii="Times New Roman" w:hAnsi="Times New Roman"/>
          <w:b/>
          <w:color w:val="000000"/>
          <w:sz w:val="22"/>
        </w:rPr>
        <w:t>About Farmers &amp; Merchants State Bank:</w:t>
      </w:r>
      <w:r>
        <w:rPr>
          <w:rFonts w:ascii="Times New Roman" w:hAnsi="Times New Roman"/>
          <w:color w:val="404040"/>
          <w:sz w:val="22"/>
        </w:rPr>
        <w:t xml:space="preserve"> </w:t>
      </w:r>
    </w:p>
    <w:p>
      <w:pPr>
        <w:pStyle w:val="TextBody"/>
        <w:bidi w:val="0"/>
        <w:jc w:val="both"/>
        <w:rPr>
          <w:rFonts w:ascii="Times New Roman" w:hAnsi="Times New Roman"/>
          <w:color w:val="000000"/>
          <w:sz w:val="22"/>
        </w:rPr>
      </w:pPr>
      <w:r>
        <w:rPr>
          <w:rFonts w:ascii="Times New Roman" w:hAnsi="Times New Roman"/>
          <w:color w:val="000000"/>
          <w:sz w:val="22"/>
        </w:rPr>
        <w:t>F&amp;M Bank is a local independent community bank that has been serving its communities since 1897. F&amp;M Bank provides commercial banking, retail banking, and other financial services. Our locations are in Butler, Champaign, Fulton, Defiance, Hancock, Henry, Lucas, Shelby, Williams, and Wood counties in Ohio. In Northeast Indiana, we have offices located in Adams, Allen, DeKalb, Jay, Steuben, and Wells counties. The Michigan footprint includes Oakland County, and we have Loan Production Offices in Muncie, Indiana; and Perrysburg and Bryan, Ohio.</w:t>
      </w:r>
    </w:p>
    <w:p>
      <w:pPr>
        <w:pStyle w:val="TextBody"/>
        <w:bidi w:val="0"/>
        <w:jc w:val="both"/>
        <w:rPr>
          <w:rFonts w:ascii="Times New Roman" w:hAnsi="Times New Roman"/>
          <w:b/>
          <w:color w:val="000000"/>
          <w:sz w:val="22"/>
        </w:rPr>
      </w:pPr>
      <w:r>
        <w:rPr>
          <w:rFonts w:ascii="Times New Roman" w:hAnsi="Times New Roman"/>
          <w:b/>
          <w:color w:val="000000"/>
          <w:sz w:val="22"/>
        </w:rPr>
        <w:t>Use of Non-GAAP Financial Measures</w:t>
      </w:r>
    </w:p>
    <w:p>
      <w:pPr>
        <w:pStyle w:val="TextBody"/>
        <w:bidi w:val="0"/>
        <w:jc w:val="both"/>
        <w:rPr>
          <w:rFonts w:ascii="Times New Roman" w:hAnsi="Times New Roman"/>
          <w:color w:val="000000"/>
          <w:sz w:val="22"/>
        </w:rPr>
      </w:pPr>
      <w:r>
        <w:rPr>
          <w:rFonts w:ascii="Times New Roman" w:hAnsi="Times New Roman"/>
          <w:color w:val="000000"/>
          <w:sz w:val="22"/>
        </w:rPr>
        <w:t xml:space="preserve">This release contains certain non-GAAP financial measures, including tangible stockholders’ equity and tangible book value per share. Management believes these measures facilitate period-to-period comparisons of the Company’s performance and provide useful supplemental information to investors; however, they should not be considered a substitute for, or superior to, financial measures calculated in accordance with GAAP. </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Basis of Presentation</w:t>
      </w:r>
    </w:p>
    <w:p>
      <w:pPr>
        <w:pStyle w:val="TextBody"/>
        <w:bidi w:val="0"/>
        <w:jc w:val="both"/>
        <w:rPr>
          <w:rFonts w:ascii="Times New Roman" w:hAnsi="Times New Roman"/>
          <w:color w:val="000000"/>
          <w:sz w:val="22"/>
        </w:rPr>
      </w:pPr>
      <w:r>
        <w:rPr>
          <w:rFonts w:ascii="Times New Roman" w:hAnsi="Times New Roman"/>
          <w:color w:val="000000"/>
          <w:sz w:val="22"/>
        </w:rPr>
        <w:t>The financial information in this release is preliminary, based on management’s current expectations, and is subject to change pending completion of customary quarterly closing processes and review. Unless otherwise indicated, all figures are presented on a consolidated basis and comparisons are to the same period of the prior year. Averages may be annualized. Totals may not foot due to rounding.</w:t>
      </w:r>
    </w:p>
    <w:p>
      <w:pPr>
        <w:pStyle w:val="TextBody"/>
        <w:bidi w:val="0"/>
        <w:jc w:val="left"/>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Safe Harbor Statement</w:t>
      </w:r>
    </w:p>
    <w:p>
      <w:pPr>
        <w:pStyle w:val="TextBody"/>
        <w:bidi w:val="0"/>
        <w:jc w:val="both"/>
        <w:rPr>
          <w:rFonts w:ascii="Times New Roman" w:hAnsi="Times New Roman"/>
          <w:sz w:val="22"/>
        </w:rPr>
      </w:pPr>
      <w:r>
        <w:rPr>
          <w:rFonts w:ascii="Times New Roman" w:hAnsi="Times New Roman"/>
          <w:color w:val="000000"/>
          <w:sz w:val="22"/>
        </w:rPr>
        <w:t xml:space="preserve">Farmers &amp; Merchants Bancorp, Inc. (“F&amp;M”) wishes to take advantage of the Safe Harbor provisions included in the Private Securities Litigation Reform Act of 1995. Statements by F&amp;M, including management’s expectations and comments, may not be based on historical facts and are “forward-looking statements” within the meaning of Section 27A of the Securities Act of 1933, as amended, and Section 21E of the Securities Exchange Act of 1934, as amended. Forward-looking statements are typically identified by words such as “believe,” “expect,” “anticipate,” “intend,” “plan,” “seek,” “estimate,” “project,” “target,” “goal,” “will,” “would,” and similar expressions. Actual results could vary materially depending on risks and uncertainties inherent in general and local banking conditions, competitive factors specific to markets in which F&amp;M and its subsidiaries operate, future interest rate levels, legislative and regulatory decisions, capital market conditions, deposit flows and pricing, liquidity and access to wholesale funding, interest rate and asset-liability management, credit quality (including commercial real estate exposures), collateral values, inflation and macroeconomic conditions, changes in laws and regulations (including capital and liquidity requirements and the implementation of “Basel III Endgame”), FDIC assessments, stress testing and supervisory expectations, cybersecurity and third-party/vendor risks, competition and technological change, geopolitical events, severe weather and natural disasters, agricultural sector conditions, the accuracy of CECL estimates and other accounting judgments, capital and dividend restrictions, and other risks described in F&amp;M’s filings with the SEC. F&amp;M undertakes no obligation to update any forward-looking statements, whether as a result of new information, future events or otherwise, except as required by law. For more details, please refer to F&amp;M’s SEC filing, including its most recent Annual Report on Form 10-K and quarterly reports on Form 10-Q. Such filings can be viewed at the SEC’s website, www.sec.gov or through F&amp;M’s website </w:t>
      </w:r>
      <w:r>
        <w:rPr>
          <w:rFonts w:ascii="Times New Roman" w:hAnsi="Times New Roman"/>
          <w:color w:val="0000FF"/>
          <w:sz w:val="22"/>
        </w:rPr>
        <w:t>www.fm.bank</w:t>
      </w:r>
      <w:r>
        <w:rPr>
          <w:rFonts w:ascii="Times New Roman" w:hAnsi="Times New Roman"/>
          <w:color w:val="000000"/>
          <w:sz w:val="22"/>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FARMERS &amp; MERCHANTS BANCORP, INC. AND SUBSIDIARIES</w:t>
      </w:r>
    </w:p>
    <w:p>
      <w:pPr>
        <w:pStyle w:val="TextBody"/>
        <w:bidi w:val="0"/>
        <w:jc w:val="center"/>
        <w:rPr>
          <w:rFonts w:ascii="Times New Roman" w:hAnsi="Times New Roman"/>
          <w:color w:val="000000"/>
          <w:sz w:val="20"/>
        </w:rPr>
      </w:pPr>
      <w:r>
        <w:rPr>
          <w:rFonts w:ascii="Times New Roman" w:hAnsi="Times New Roman"/>
          <w:color w:val="000000"/>
          <w:sz w:val="20"/>
        </w:rPr>
        <w:t xml:space="preserve">CONSOLIDATED STATEMENTS OF INCOME &amp; COMPREHENSIVE INCOME </w:t>
      </w:r>
    </w:p>
    <w:p>
      <w:pPr>
        <w:pStyle w:val="TextBody"/>
        <w:bidi w:val="0"/>
        <w:jc w:val="center"/>
        <w:rPr>
          <w:rFonts w:ascii="Times New Roman" w:hAnsi="Times New Roman"/>
          <w:color w:val="000000"/>
          <w:sz w:val="20"/>
        </w:rPr>
      </w:pPr>
      <w:r>
        <w:rPr>
          <w:rFonts w:ascii="Times New Roman" w:hAnsi="Times New Roman"/>
          <w:color w:val="000000"/>
          <w:sz w:val="20"/>
        </w:rPr>
        <w:t xml:space="preserve">(Unaudited) (in thousands of dollars, except per share data) </w:t>
      </w:r>
    </w:p>
    <w:p>
      <w:pPr>
        <w:pStyle w:val="TextBody"/>
        <w:bidi w:val="0"/>
        <w:jc w:val="center"/>
        <w:rPr/>
      </w:pPr>
      <w:r>
        <w:rPr/>
        <w:t> </w:t>
      </w:r>
    </w:p>
    <w:tbl>
      <w:tblPr>
        <w:tblW w:w="11051" w:type="dxa"/>
        <w:jc w:val="left"/>
        <w:tblInd w:w="0" w:type="dxa"/>
        <w:tblLayout w:type="fixed"/>
        <w:tblCellMar>
          <w:top w:w="28" w:type="dxa"/>
          <w:left w:w="28" w:type="dxa"/>
          <w:bottom w:w="28" w:type="dxa"/>
          <w:right w:w="28" w:type="dxa"/>
        </w:tblCellMar>
      </w:tblPr>
      <w:tblGrid>
        <w:gridCol w:w="1866"/>
        <w:gridCol w:w="146"/>
        <w:gridCol w:w="228"/>
        <w:gridCol w:w="733"/>
        <w:gridCol w:w="166"/>
        <w:gridCol w:w="146"/>
        <w:gridCol w:w="211"/>
        <w:gridCol w:w="676"/>
        <w:gridCol w:w="146"/>
        <w:gridCol w:w="146"/>
        <w:gridCol w:w="211"/>
        <w:gridCol w:w="676"/>
        <w:gridCol w:w="166"/>
        <w:gridCol w:w="146"/>
        <w:gridCol w:w="217"/>
        <w:gridCol w:w="699"/>
        <w:gridCol w:w="166"/>
        <w:gridCol w:w="146"/>
        <w:gridCol w:w="228"/>
        <w:gridCol w:w="733"/>
        <w:gridCol w:w="166"/>
        <w:gridCol w:w="146"/>
        <w:gridCol w:w="211"/>
        <w:gridCol w:w="781"/>
        <w:gridCol w:w="166"/>
        <w:gridCol w:w="146"/>
        <w:gridCol w:w="211"/>
        <w:gridCol w:w="781"/>
        <w:gridCol w:w="591"/>
      </w:tblGrid>
      <w:tr>
        <w:trPr/>
        <w:tc>
          <w:tcPr>
            <w:tcW w:w="1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w:t>
              <w:br/>
              <w:t>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w:t>
              <w:br/>
              <w:t>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w:t>
              <w:br/>
              <w:t>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w:t>
              <w:br/>
              <w:t>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w:t>
              <w:br/>
              <w:t>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w:t>
              <w:br/>
              <w:t>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w:t>
              <w:br/>
              <w:t> 30,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Loans, including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117,615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8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 xml:space="preserve">U.S. Treasury and </w:t>
              <w:br/>
              <w:t xml:space="preserve">   government </w:t>
              <w:br/>
              <w:t>   agencies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8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Municipalities and</w:t>
              <w:br/>
              <w:t>   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Federal funds sold and</w:t>
              <w:br/>
              <w:t>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8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128,978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43,861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Federal funds purchased </w:t>
              <w:br/>
              <w:t xml:space="preserve">   and securities sold </w:t>
              <w:br/>
              <w:t xml:space="preserve">   under agreement to </w:t>
              <w:br/>
              <w:t>   repurchase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Borrowed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Subordinated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8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 xml:space="preserve">Total interest </w:t>
              <w:br/>
              <w: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52,457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Net Interest Income - </w:t>
              <w:br/>
              <w:t xml:space="preserve">   Before Provision for </w:t>
              <w:br/>
              <w:t>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76,521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Provision for (Recovery of)</w:t>
              <w:br/>
              <w:t>   Credit Losses -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Provision for (Recovery of) </w:t>
              <w:br/>
              <w:t xml:space="preserve">   Credit Losses - Off </w:t>
              <w:br/>
              <w:t>   Balance Sheet Credit</w:t>
              <w:br/>
              <w:t>   Exposures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Net Interest Income </w:t>
              <w:br/>
              <w:t xml:space="preserve">   After Provision for </w:t>
              <w:br/>
              <w:t>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74,997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Customer service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service charges</w:t>
              <w:br/>
              <w:t>   and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Interchange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Loan servicing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gain on sale of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Increase in cash surrender</w:t>
              <w:br/>
              <w:t xml:space="preserve">   value of bank owned </w:t>
              <w:br/>
              <w:t>   life 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Net gain (loss) on sale </w:t>
              <w:br/>
              <w:t>   of other assets owned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Net loss on sale of </w:t>
              <w:br/>
              <w:t xml:space="preserve">   available-for-sale </w:t>
              <w:br/>
              <w: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8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 xml:space="preserve">Total noninterest </w:t>
              <w:br/>
              <w: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8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460" w:type="dxa"/>
            <w:gridSpan w:val="2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(continued)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 xml:space="preserve">FARMERS &amp; MERCHANTS BANCORP, INC. AND SUBSIDIARIES </w:t>
      </w:r>
    </w:p>
    <w:p>
      <w:pPr>
        <w:pStyle w:val="TextBody"/>
        <w:bidi w:val="0"/>
        <w:jc w:val="center"/>
        <w:rPr>
          <w:rFonts w:ascii="Times New Roman" w:hAnsi="Times New Roman"/>
          <w:color w:val="000000"/>
          <w:sz w:val="20"/>
        </w:rPr>
      </w:pPr>
      <w:r>
        <w:rPr>
          <w:rFonts w:ascii="Times New Roman" w:hAnsi="Times New Roman"/>
          <w:color w:val="000000"/>
          <w:sz w:val="20"/>
        </w:rPr>
        <w:t>CONSOLIDATED STATEMENTS OF INCOME &amp; COMPREHENSIVE INCOME (continued)</w:t>
      </w:r>
    </w:p>
    <w:p>
      <w:pPr>
        <w:pStyle w:val="TextBody"/>
        <w:bidi w:val="0"/>
        <w:jc w:val="center"/>
        <w:rPr>
          <w:rFonts w:ascii="Times New Roman" w:hAnsi="Times New Roman"/>
          <w:color w:val="000000"/>
          <w:sz w:val="20"/>
        </w:rPr>
      </w:pPr>
      <w:r>
        <w:rPr>
          <w:rFonts w:ascii="Times New Roman" w:hAnsi="Times New Roman"/>
          <w:color w:val="000000"/>
          <w:sz w:val="20"/>
        </w:rPr>
        <w:t xml:space="preserve">(Unaudited) (in thousands of dollars, except per share data) </w:t>
      </w:r>
    </w:p>
    <w:p>
      <w:pPr>
        <w:pStyle w:val="TextBody"/>
        <w:bidi w:val="0"/>
        <w:jc w:val="center"/>
        <w:rPr/>
      </w:pPr>
      <w:r>
        <w:rPr/>
        <w:t> </w:t>
      </w:r>
    </w:p>
    <w:tbl>
      <w:tblPr>
        <w:tblW w:w="10854" w:type="dxa"/>
        <w:jc w:val="left"/>
        <w:tblInd w:w="0" w:type="dxa"/>
        <w:tblLayout w:type="fixed"/>
        <w:tblCellMar>
          <w:top w:w="28" w:type="dxa"/>
          <w:left w:w="28" w:type="dxa"/>
          <w:bottom w:w="28" w:type="dxa"/>
          <w:right w:w="28" w:type="dxa"/>
        </w:tblCellMar>
      </w:tblPr>
      <w:tblGrid>
        <w:gridCol w:w="1751"/>
        <w:gridCol w:w="146"/>
        <w:gridCol w:w="228"/>
        <w:gridCol w:w="733"/>
        <w:gridCol w:w="166"/>
        <w:gridCol w:w="146"/>
        <w:gridCol w:w="211"/>
        <w:gridCol w:w="676"/>
        <w:gridCol w:w="166"/>
        <w:gridCol w:w="146"/>
        <w:gridCol w:w="211"/>
        <w:gridCol w:w="676"/>
        <w:gridCol w:w="166"/>
        <w:gridCol w:w="146"/>
        <w:gridCol w:w="217"/>
        <w:gridCol w:w="699"/>
        <w:gridCol w:w="146"/>
        <w:gridCol w:w="146"/>
        <w:gridCol w:w="228"/>
        <w:gridCol w:w="733"/>
        <w:gridCol w:w="146"/>
        <w:gridCol w:w="146"/>
        <w:gridCol w:w="228"/>
        <w:gridCol w:w="733"/>
        <w:gridCol w:w="166"/>
        <w:gridCol w:w="146"/>
        <w:gridCol w:w="228"/>
        <w:gridCol w:w="733"/>
        <w:gridCol w:w="591"/>
      </w:tblGrid>
      <w:tr>
        <w:trPr/>
        <w:tc>
          <w:tcPr>
            <w:tcW w:w="1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w:t>
              <w:br/>
              <w:t>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w:t>
              <w:br/>
              <w:t>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w:t>
              <w:br/>
              <w:t>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w:t>
              <w:br/>
              <w:t>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w:t>
              <w:br/>
              <w:t>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w:t>
              <w:br/>
              <w:t>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w:t>
              <w:br/>
              <w:t> 30,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Salaries and wages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23,553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Employee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occupancy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Furniture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Data processing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Franchise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ATM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Advertising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FDIC assessment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Servicing rights</w:t>
              <w:br/>
              <w:t>   amortization -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Loan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Consulting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w:t>
              <w:br/>
              <w:t>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Other general and </w:t>
              <w:br/>
              <w:t>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7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 xml:space="preserve">Total noninterest </w:t>
              <w:br/>
              <w: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57,759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Before Income</w:t>
              <w:br/>
              <w:t>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29,692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23,516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Other Comprehensive </w:t>
              <w:br/>
              <w:t xml:space="preserve">   Income (Loss) (Net of </w:t>
              <w:br/>
              <w:t>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unrealized gain</w:t>
              <w:br/>
              <w:t>   (loss) on available-</w:t>
              <w:br/>
              <w:t>   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14,223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9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Reclassification </w:t>
              <w:br/>
              <w:t xml:space="preserve">   adjustment for realized </w:t>
              <w:br/>
              <w:t>   loss on sale of available-</w:t>
              <w:br/>
              <w:t>   for-sale securities</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Net unrealized gain </w:t>
              <w:br/>
              <w:t>   (loss) on available-</w:t>
              <w:br/>
              <w:t>   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14,223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comprehensive</w:t>
              <w:br/>
              <w: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11,236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34,752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Basic Earnings </w:t>
              <w:br/>
              <w:t>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Diluted Earnings</w:t>
              <w:br/>
              <w:t>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FARMERS &amp; MERCHANTS BANCORP, INC. AND SUBSIDIARIES</w:t>
      </w:r>
    </w:p>
    <w:p>
      <w:pPr>
        <w:pStyle w:val="TextBody"/>
        <w:bidi w:val="0"/>
        <w:jc w:val="center"/>
        <w:rPr>
          <w:rFonts w:ascii="Times New Roman" w:hAnsi="Times New Roman"/>
          <w:color w:val="000000"/>
          <w:sz w:val="20"/>
        </w:rPr>
      </w:pPr>
      <w:r>
        <w:rPr>
          <w:rFonts w:ascii="Times New Roman" w:hAnsi="Times New Roman"/>
          <w:color w:val="000000"/>
          <w:sz w:val="20"/>
        </w:rPr>
        <w:t>CONDENSED CONSOLIDATED BALANCE SHEETS</w:t>
      </w:r>
    </w:p>
    <w:p>
      <w:pPr>
        <w:pStyle w:val="TextBody"/>
        <w:bidi w:val="0"/>
        <w:jc w:val="center"/>
        <w:rPr>
          <w:rFonts w:ascii="Times New Roman" w:hAnsi="Times New Roman"/>
          <w:color w:val="000000"/>
          <w:sz w:val="20"/>
        </w:rPr>
      </w:pPr>
      <w:r>
        <w:rPr>
          <w:rFonts w:ascii="Times New Roman" w:hAnsi="Times New Roman"/>
          <w:color w:val="000000"/>
          <w:sz w:val="20"/>
        </w:rPr>
        <w:t>(Unaudited) (in thousands of dollars, except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690"/>
        <w:gridCol w:w="146"/>
        <w:gridCol w:w="196"/>
        <w:gridCol w:w="826"/>
        <w:gridCol w:w="166"/>
        <w:gridCol w:w="146"/>
        <w:gridCol w:w="196"/>
        <w:gridCol w:w="826"/>
        <w:gridCol w:w="166"/>
        <w:gridCol w:w="146"/>
        <w:gridCol w:w="196"/>
        <w:gridCol w:w="826"/>
        <w:gridCol w:w="166"/>
        <w:gridCol w:w="146"/>
        <w:gridCol w:w="196"/>
        <w:gridCol w:w="826"/>
        <w:gridCol w:w="166"/>
        <w:gridCol w:w="146"/>
        <w:gridCol w:w="196"/>
        <w:gridCol w:w="826"/>
        <w:gridCol w:w="1011"/>
      </w:tblGrid>
      <w:tr>
        <w:trPr/>
        <w:tc>
          <w:tcPr>
            <w:tcW w:w="26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26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September</w:t>
              <w:br/>
              <w:t> 30, 2026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02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June</w:t>
              <w:br/>
              <w:t> 30, 2026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02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March</w:t>
              <w:br/>
              <w:t> 31, 2026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02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December</w:t>
              <w:br/>
              <w:t> 31, 2025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02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September</w:t>
              <w:br/>
              <w:t> 30, 2025</w:t>
            </w:r>
          </w:p>
        </w:tc>
        <w:tc>
          <w:tcPr>
            <w:tcW w:w="10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6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(Unaudited)</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due from banks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205,125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155,879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172,847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97,249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116,448</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Federal funds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582</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69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205,811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156,390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173,470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97,718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117,030</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Interest-bearing time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1,498</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Securities - available-for-sale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455,977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441,254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429,623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422,072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422,773</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securities, at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11,509</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Loans held for 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3,003</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Loans, net of allowance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2,709,358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2,677,072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2,654,135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2,685,990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2,632,668</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Premises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32,321</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86,358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86,358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86,358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86,358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86,358</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Loan servicing rights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5,537</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Bank owned life insurance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48,751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48,021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45,407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47,410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35,602</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44,450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40,247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39,331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42,453</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3,599,055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3,502,118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3,485,569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3,434,382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3,390,752</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9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9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69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Noninterest-bearing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518,286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506,119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520,348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527,327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500,742</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69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Interest-bearing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2690"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NOW accounts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952,573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898,902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910,723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876,151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920,099</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2690"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Savings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803,763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771,379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753,289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729,472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713,391</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2690"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Time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687,870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693,008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625,302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597,785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617,679</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2690"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Total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2,962,492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2,869,408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2,809,662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2,730,735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2,751,911</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 xml:space="preserve">Federal funds purchased and securities </w:t>
              <w:br/>
              <w:t>   sold under agreements to repurchase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37,718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22,718</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 xml:space="preserve">Federal Home Loan Bank (FHLB) </w:t>
              <w:br/>
              <w:t>   advances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167,903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168,447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218,987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227,377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187,913</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Subordinated notes, net of unamortized</w:t>
              <w:br/>
              <w: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34,904</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Dividend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3,091</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expenses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29,632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28,435</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2690"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3,212,128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3,117,402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3,109,621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3,063,520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3,028,972</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9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Commitments and Contingencies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9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 xml:space="preserve">Common stock - No par value; authorized 40,000,000 </w:t>
              <w:br/>
              <w:t xml:space="preserve">   shares; issued 14,564,425 shares; outstanding </w:t>
              <w:br/>
              <w:t>   13,762,268 shares 9/30/26 and 13,748,074</w:t>
              <w:br/>
              <w:t>   shares 12/31/25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134,761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135,510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135,270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135,531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135,170</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Treasury stock - 802,157 shares 9/30/26</w:t>
              <w:br/>
              <w:t>   and 816,351 shares 12/31/25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(10,584</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6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Retained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282,446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273,455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264,607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257,855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251,181</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 xml:space="preserve">Accumulated other comprehensive </w:t>
              <w:br/>
              <w: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(13,987</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w:t>
            </w:r>
          </w:p>
        </w:tc>
      </w:tr>
      <w:tr>
        <w:trPr/>
        <w:tc>
          <w:tcPr>
            <w:tcW w:w="2690"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386,927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384,716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375,948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370,862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361,780</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3,599,055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3,502,118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3,485,569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3,434,382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3,390,752</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FARMERS &amp; MERCHANTS BANCORP, INC. AND SUBSIDIARIES</w:t>
      </w:r>
    </w:p>
    <w:p>
      <w:pPr>
        <w:pStyle w:val="TextBody"/>
        <w:bidi w:val="0"/>
        <w:jc w:val="center"/>
        <w:rPr>
          <w:rFonts w:ascii="Times New Roman" w:hAnsi="Times New Roman"/>
          <w:color w:val="000000"/>
          <w:sz w:val="20"/>
        </w:rPr>
      </w:pPr>
      <w:r>
        <w:rPr>
          <w:rFonts w:ascii="Times New Roman" w:hAnsi="Times New Roman"/>
          <w:color w:val="000000"/>
          <w:sz w:val="20"/>
        </w:rPr>
        <w:t>SELECT FINANCIAL DATA</w:t>
      </w:r>
    </w:p>
    <w:p>
      <w:pPr>
        <w:pStyle w:val="TextBody"/>
        <w:bidi w:val="0"/>
        <w:jc w:val="center"/>
        <w:rPr/>
      </w:pPr>
      <w:r>
        <w:rPr/>
        <w:t> </w:t>
      </w:r>
    </w:p>
    <w:tbl>
      <w:tblPr>
        <w:tblW w:w="13981" w:type="dxa"/>
        <w:jc w:val="left"/>
        <w:tblInd w:w="0" w:type="dxa"/>
        <w:tblLayout w:type="fixed"/>
        <w:tblCellMar>
          <w:top w:w="28" w:type="dxa"/>
          <w:left w:w="28" w:type="dxa"/>
          <w:bottom w:w="28" w:type="dxa"/>
          <w:right w:w="28" w:type="dxa"/>
        </w:tblCellMar>
      </w:tblPr>
      <w:tblGrid>
        <w:gridCol w:w="1396"/>
        <w:gridCol w:w="146"/>
        <w:gridCol w:w="211"/>
        <w:gridCol w:w="146"/>
        <w:gridCol w:w="1036"/>
        <w:gridCol w:w="271"/>
        <w:gridCol w:w="146"/>
        <w:gridCol w:w="211"/>
        <w:gridCol w:w="146"/>
        <w:gridCol w:w="1036"/>
        <w:gridCol w:w="271"/>
        <w:gridCol w:w="146"/>
        <w:gridCol w:w="211"/>
        <w:gridCol w:w="146"/>
        <w:gridCol w:w="1036"/>
        <w:gridCol w:w="271"/>
        <w:gridCol w:w="146"/>
        <w:gridCol w:w="211"/>
        <w:gridCol w:w="146"/>
        <w:gridCol w:w="1036"/>
        <w:gridCol w:w="271"/>
        <w:gridCol w:w="146"/>
        <w:gridCol w:w="211"/>
        <w:gridCol w:w="146"/>
        <w:gridCol w:w="1036"/>
        <w:gridCol w:w="271"/>
        <w:gridCol w:w="146"/>
        <w:gridCol w:w="146"/>
        <w:gridCol w:w="146"/>
        <w:gridCol w:w="1036"/>
        <w:gridCol w:w="271"/>
        <w:gridCol w:w="146"/>
        <w:gridCol w:w="146"/>
        <w:gridCol w:w="146"/>
        <w:gridCol w:w="1036"/>
        <w:gridCol w:w="316"/>
      </w:tblGrid>
      <w:tr>
        <w:trPr/>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3" w:type="dxa"/>
            <w:gridSpan w:val="2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7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 Ended</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Selected financial data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w:t>
              <w:br/>
              <w:t>30, 2026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w:t>
              <w:br/>
              <w:t>30, 2026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w:t>
              <w:br/>
              <w:t>31, 2026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w:t>
              <w:br/>
              <w:t>31, 2025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w:t>
              <w:br/>
              <w:t>30, 2025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w:t>
              <w:br/>
              <w:t>30, 2026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w:t>
              <w:br/>
              <w:t>30, 2025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Return on average </w:t>
              <w:br/>
              <w: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Return on average </w:t>
              <w:br/>
              <w:t>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Yield on earning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Cost of interest-bearing </w:t>
              <w:br/>
              <w: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interest spread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interest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Efficiency ratio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payout ratio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Tangible book value </w:t>
              <w:br/>
              <w:t>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Tier 1 leverage ratio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Average shares </w:t>
              <w:br/>
              <w:t>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13,779,936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13,773,387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13,754,684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13,749,420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13,733,858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13,769,428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13,720,168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425"/>
        <w:gridCol w:w="158"/>
        <w:gridCol w:w="244"/>
        <w:gridCol w:w="158"/>
        <w:gridCol w:w="1008"/>
        <w:gridCol w:w="179"/>
        <w:gridCol w:w="158"/>
        <w:gridCol w:w="244"/>
        <w:gridCol w:w="158"/>
        <w:gridCol w:w="1008"/>
        <w:gridCol w:w="179"/>
        <w:gridCol w:w="158"/>
        <w:gridCol w:w="244"/>
        <w:gridCol w:w="158"/>
        <w:gridCol w:w="1008"/>
        <w:gridCol w:w="179"/>
        <w:gridCol w:w="158"/>
        <w:gridCol w:w="244"/>
        <w:gridCol w:w="158"/>
        <w:gridCol w:w="1008"/>
        <w:gridCol w:w="179"/>
        <w:gridCol w:w="158"/>
        <w:gridCol w:w="244"/>
        <w:gridCol w:w="158"/>
        <w:gridCol w:w="1008"/>
        <w:gridCol w:w="224"/>
      </w:tblGrid>
      <w:tr>
        <w:trPr/>
        <w:tc>
          <w:tcPr>
            <w:tcW w:w="142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14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Loans</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0"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w:t>
              <w:br/>
              <w:t> 30, 2026</w:t>
            </w:r>
          </w:p>
        </w:tc>
        <w:tc>
          <w:tcPr>
            <w:tcW w:w="17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5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10"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w:t>
              <w:br/>
              <w:t> 30, 2026</w:t>
            </w:r>
          </w:p>
        </w:tc>
        <w:tc>
          <w:tcPr>
            <w:tcW w:w="17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5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10"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w:t>
              <w:br/>
              <w:t> 31, 2026</w:t>
            </w:r>
          </w:p>
        </w:tc>
        <w:tc>
          <w:tcPr>
            <w:tcW w:w="17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5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10"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w:t>
              <w:br/>
              <w:t> 30, 2025</w:t>
            </w:r>
          </w:p>
        </w:tc>
        <w:tc>
          <w:tcPr>
            <w:tcW w:w="17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5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10"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w:t>
              <w:br/>
              <w:t> 30, 2025</w:t>
            </w:r>
          </w:p>
        </w:tc>
        <w:tc>
          <w:tcPr>
            <w:tcW w:w="22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14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(Dollar amounts in thousands)</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real estate</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1,321,021</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1,308,600</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1,315,549</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1,355,571</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1,355,166</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Agricultural real estate</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210,321</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208,223</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215,846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217,034</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222,145</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Consumer real estate</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548,913</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533,438</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534,987</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526,439</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522,416</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and industrial</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343,720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337,487</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309,046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314,405</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296,084</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Agricultural</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245,639</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244,611</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228,730</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218,050</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179,361</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Consumer</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47,251</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50,953</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55,576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58,838</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60,469</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22,089</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22,574</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22,564</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23,133</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24,086</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5"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pPr>
            <w:r>
              <w:rPr>
                <w:color w:val="000000"/>
              </w:rPr>
              <w:t>  </w:t>
            </w:r>
            <w:r>
              <w:rPr>
                <w:rFonts w:ascii="Times New Roman" w:hAnsi="Times New Roman"/>
                <w:color w:val="000000"/>
                <w:sz w:val="20"/>
              </w:rPr>
              <w:t xml:space="preserve">Less: Net deferred loan fees </w:t>
              <w:br/>
              <w:t xml:space="preserve">      costs and other </w:t>
            </w:r>
            <w:r>
              <w:rPr>
                <w:rFonts w:ascii="Times New Roman" w:hAnsi="Times New Roman"/>
                <w:color w:val="000000"/>
                <w:sz w:val="13"/>
              </w:rPr>
              <w:t>(1)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(1,635</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loans, net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2,737,319</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2,704,467</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2,680,862</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2,711,959</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2,658,275</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81" w:type="dxa"/>
            <w:gridSpan w:val="25"/>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Excludes carrying value adjustments of ($159) thousand as of September 30, 2026, $546 thousand as of June 30, 2026, $1.1 million as of March 31, 2026, $1.7 million as of December 31, 2025 and $1.9 million as of September 30, 2025 related to interest rate swaps associated with fixed rate loans</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FARMERS &amp; MERCHANTS BANCORP, INC. AND SUBSIDIARIES</w:t>
      </w:r>
    </w:p>
    <w:p>
      <w:pPr>
        <w:pStyle w:val="TextBody"/>
        <w:bidi w:val="0"/>
        <w:jc w:val="center"/>
        <w:rPr>
          <w:rFonts w:ascii="Times New Roman" w:hAnsi="Times New Roman"/>
          <w:color w:val="000000"/>
          <w:sz w:val="20"/>
        </w:rPr>
      </w:pPr>
      <w:r>
        <w:rPr>
          <w:rFonts w:ascii="Times New Roman" w:hAnsi="Times New Roman"/>
          <w:color w:val="000000"/>
          <w:sz w:val="20"/>
        </w:rPr>
        <w:t>SELECT FINANCIAL DATA (continued)</w:t>
      </w:r>
    </w:p>
    <w:p>
      <w:pPr>
        <w:pStyle w:val="TextBody"/>
        <w:bidi w:val="0"/>
        <w:jc w:val="left"/>
        <w:rPr/>
      </w:pPr>
      <w:r>
        <w:rPr/>
        <w:t> </w:t>
      </w:r>
    </w:p>
    <w:tbl>
      <w:tblPr>
        <w:tblW w:w="10176" w:type="dxa"/>
        <w:jc w:val="left"/>
        <w:tblInd w:w="0" w:type="dxa"/>
        <w:tblLayout w:type="fixed"/>
        <w:tblCellMar>
          <w:top w:w="28" w:type="dxa"/>
          <w:left w:w="28" w:type="dxa"/>
          <w:bottom w:w="28" w:type="dxa"/>
          <w:right w:w="28" w:type="dxa"/>
        </w:tblCellMar>
      </w:tblPr>
      <w:tblGrid>
        <w:gridCol w:w="2881"/>
        <w:gridCol w:w="146"/>
        <w:gridCol w:w="211"/>
        <w:gridCol w:w="146"/>
        <w:gridCol w:w="676"/>
        <w:gridCol w:w="271"/>
        <w:gridCol w:w="146"/>
        <w:gridCol w:w="211"/>
        <w:gridCol w:w="146"/>
        <w:gridCol w:w="676"/>
        <w:gridCol w:w="271"/>
        <w:gridCol w:w="146"/>
        <w:gridCol w:w="211"/>
        <w:gridCol w:w="146"/>
        <w:gridCol w:w="676"/>
        <w:gridCol w:w="271"/>
        <w:gridCol w:w="146"/>
        <w:gridCol w:w="211"/>
        <w:gridCol w:w="146"/>
        <w:gridCol w:w="676"/>
        <w:gridCol w:w="271"/>
        <w:gridCol w:w="146"/>
        <w:gridCol w:w="211"/>
        <w:gridCol w:w="146"/>
        <w:gridCol w:w="676"/>
        <w:gridCol w:w="316"/>
      </w:tblGrid>
      <w:tr>
        <w:trPr/>
        <w:tc>
          <w:tcPr>
            <w:tcW w:w="2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 quality data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3"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w:t>
              <w:br/>
              <w:t>30, 2026</w:t>
            </w:r>
          </w:p>
        </w:tc>
        <w:tc>
          <w:tcPr>
            <w:tcW w:w="2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033"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w:t>
              <w:br/>
              <w:t>30, 2026</w:t>
            </w:r>
          </w:p>
        </w:tc>
        <w:tc>
          <w:tcPr>
            <w:tcW w:w="2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033"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w:t>
              <w:br/>
              <w:t>31, 2026</w:t>
            </w:r>
          </w:p>
        </w:tc>
        <w:tc>
          <w:tcPr>
            <w:tcW w:w="2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033"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w:t>
              <w:br/>
              <w:t>31, 2025</w:t>
            </w:r>
          </w:p>
        </w:tc>
        <w:tc>
          <w:tcPr>
            <w:tcW w:w="2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33"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w:t>
              <w:br/>
              <w:t>30, 2025</w:t>
            </w:r>
          </w:p>
        </w:tc>
        <w:tc>
          <w:tcPr>
            <w:tcW w:w="31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(Dollar amounts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Nonaccrual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90 day past due and accruing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Nonperforming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real estate owned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Nonperforming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credit losses -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27,802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27,941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27,830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27,688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27,475</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Allowance for credit losses - off</w:t>
              <w:br/>
              <w:t>   balance sheet credit exposures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Total allowance for </w:t>
              <w:br/>
              <w:t>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29,470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29,130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28,871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28,723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28,512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allowance for credit losses/</w:t>
              <w:br/>
              <w:t>   total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charge-offs: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Quarter-to-date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Year-to-date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charge-offs to average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Quarter-to-date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Year-to-date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Nonperforming loans/total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Allowance for credit losses/ </w:t>
              <w:br/>
              <w:t>   nonperforming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447.05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378.45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245.98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532.98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NPA coverage ratio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447.05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378.45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244.36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245.98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532.98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860" w:type="dxa"/>
            <w:gridSpan w:val="25"/>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FARMERS &amp; MERCHANTS BANCORP, INC. AND SUBSIDIARIES</w:t>
      </w:r>
    </w:p>
    <w:p>
      <w:pPr>
        <w:pStyle w:val="TextBody"/>
        <w:bidi w:val="0"/>
        <w:jc w:val="center"/>
        <w:rPr>
          <w:rFonts w:ascii="Times New Roman" w:hAnsi="Times New Roman"/>
          <w:color w:val="000000"/>
          <w:sz w:val="20"/>
        </w:rPr>
      </w:pPr>
      <w:r>
        <w:rPr>
          <w:rFonts w:ascii="Times New Roman" w:hAnsi="Times New Roman"/>
          <w:color w:val="000000"/>
          <w:sz w:val="20"/>
        </w:rPr>
        <w:t xml:space="preserve">AVERAGE BALANCE SHEETS AND RELATED YIELDS AND RATES </w:t>
      </w:r>
    </w:p>
    <w:p>
      <w:pPr>
        <w:pStyle w:val="TextBody"/>
        <w:bidi w:val="0"/>
        <w:jc w:val="center"/>
        <w:rPr>
          <w:rFonts w:ascii="Times New Roman" w:hAnsi="Times New Roman"/>
          <w:color w:val="000000"/>
          <w:sz w:val="20"/>
        </w:rPr>
      </w:pPr>
      <w:r>
        <w:rPr>
          <w:rFonts w:ascii="Times New Roman" w:hAnsi="Times New Roman"/>
          <w:color w:val="000000"/>
          <w:sz w:val="20"/>
        </w:rPr>
        <w:t>(in thousands of dollars, except percentages)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835"/>
        <w:gridCol w:w="146"/>
        <w:gridCol w:w="212"/>
        <w:gridCol w:w="936"/>
        <w:gridCol w:w="146"/>
        <w:gridCol w:w="146"/>
        <w:gridCol w:w="226"/>
        <w:gridCol w:w="725"/>
        <w:gridCol w:w="146"/>
        <w:gridCol w:w="146"/>
        <w:gridCol w:w="251"/>
        <w:gridCol w:w="805"/>
        <w:gridCol w:w="272"/>
        <w:gridCol w:w="146"/>
        <w:gridCol w:w="212"/>
        <w:gridCol w:w="936"/>
        <w:gridCol w:w="146"/>
        <w:gridCol w:w="146"/>
        <w:gridCol w:w="226"/>
        <w:gridCol w:w="725"/>
        <w:gridCol w:w="146"/>
        <w:gridCol w:w="146"/>
        <w:gridCol w:w="251"/>
        <w:gridCol w:w="805"/>
        <w:gridCol w:w="328"/>
      </w:tblGrid>
      <w:tr>
        <w:trPr/>
        <w:tc>
          <w:tcPr>
            <w:tcW w:w="18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rPr/>
        <w:tc>
          <w:tcPr>
            <w:tcW w:w="18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9" w:type="dxa"/>
            <w:gridSpan w:val="10"/>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27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39" w:type="dxa"/>
            <w:gridSpan w:val="10"/>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32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18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2026</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3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Average </w:t>
              <w:br/>
              <w:t>Balance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Interest/</w:t>
              <w:br/>
              <w:t>Dividends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Annualized</w:t>
              <w:br/>
              <w:t>Yield/Rate</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Average </w:t>
              <w:br/>
              <w:t>Balance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Interest/</w:t>
              <w:br/>
              <w:t>Dividends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Annualized</w:t>
              <w:br/>
              <w:t>Yield/Rate</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Earning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2,726,585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2,649,409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Taxable investment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473,448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445,088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Tax-exempt investment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 funds sold &amp;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145,409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Interest Earning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3,357,644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3,166,694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w:t>
            </w:r>
          </w:p>
        </w:tc>
        <w:tc>
          <w:tcPr>
            <w:tcW w:w="3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Nonearning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191,469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3,549,113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3,349,014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Interest-Bearing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1"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1"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NOW accounts and savings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1,730,869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1,620,026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684,990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609,844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borrowed money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168,106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188,123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 funds purchased &amp;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5"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sold under agreement to repurchase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Subordinated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Interest-Bearing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2,633,797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2,480,152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3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Noninterest-Bearing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526,148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511,468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389,168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357,394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Net Interest Income and </w:t>
              <w:br/>
              <w:t>   Interest Rate Spread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3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Interest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3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877" w:type="dxa"/>
            <w:gridSpan w:val="24"/>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Yields on Tax exempt securities and the portion of the tax-exempt IDB loans included in loans have been tax adjusted based on a 21% tax rate in the charts</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b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FARMERS &amp; MERCHANTS BANCORP, INC. AND SUBSIDIARIES</w:t>
      </w:r>
    </w:p>
    <w:p>
      <w:pPr>
        <w:pStyle w:val="TextBody"/>
        <w:bidi w:val="0"/>
        <w:jc w:val="center"/>
        <w:rPr>
          <w:rFonts w:ascii="Times New Roman" w:hAnsi="Times New Roman"/>
          <w:color w:val="000000"/>
          <w:sz w:val="20"/>
        </w:rPr>
      </w:pPr>
      <w:r>
        <w:rPr>
          <w:rFonts w:ascii="Times New Roman" w:hAnsi="Times New Roman"/>
          <w:color w:val="000000"/>
          <w:sz w:val="20"/>
        </w:rPr>
        <w:t xml:space="preserve">AVERAGE BALANCE SHEETS AND RELATED YIELDS AND RATES (continued) </w:t>
      </w:r>
    </w:p>
    <w:p>
      <w:pPr>
        <w:pStyle w:val="TextBody"/>
        <w:bidi w:val="0"/>
        <w:jc w:val="center"/>
        <w:rPr>
          <w:rFonts w:ascii="Times New Roman" w:hAnsi="Times New Roman"/>
          <w:color w:val="000000"/>
          <w:sz w:val="20"/>
        </w:rPr>
      </w:pPr>
      <w:r>
        <w:rPr>
          <w:rFonts w:ascii="Times New Roman" w:hAnsi="Times New Roman"/>
          <w:color w:val="000000"/>
          <w:sz w:val="20"/>
        </w:rPr>
        <w:t>(in thousands of dollars, except percentages)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781"/>
        <w:gridCol w:w="146"/>
        <w:gridCol w:w="211"/>
        <w:gridCol w:w="931"/>
        <w:gridCol w:w="146"/>
        <w:gridCol w:w="146"/>
        <w:gridCol w:w="211"/>
        <w:gridCol w:w="781"/>
        <w:gridCol w:w="146"/>
        <w:gridCol w:w="146"/>
        <w:gridCol w:w="250"/>
        <w:gridCol w:w="801"/>
        <w:gridCol w:w="271"/>
        <w:gridCol w:w="146"/>
        <w:gridCol w:w="211"/>
        <w:gridCol w:w="931"/>
        <w:gridCol w:w="146"/>
        <w:gridCol w:w="146"/>
        <w:gridCol w:w="211"/>
        <w:gridCol w:w="781"/>
        <w:gridCol w:w="146"/>
        <w:gridCol w:w="146"/>
        <w:gridCol w:w="250"/>
        <w:gridCol w:w="801"/>
        <w:gridCol w:w="323"/>
      </w:tblGrid>
      <w:tr>
        <w:trPr/>
        <w:tc>
          <w:tcPr>
            <w:tcW w:w="1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1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9" w:type="dxa"/>
            <w:gridSpan w:val="10"/>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 Ended</w:t>
            </w:r>
          </w:p>
        </w:tc>
        <w:tc>
          <w:tcPr>
            <w:tcW w:w="2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9" w:type="dxa"/>
            <w:gridSpan w:val="10"/>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 Ended</w:t>
            </w:r>
          </w:p>
        </w:tc>
        <w:tc>
          <w:tcPr>
            <w:tcW w:w="32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1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Average </w:t>
              <w:br/>
              <w:t>Balance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Interest/</w:t>
              <w:br/>
              <w:t>Dividends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Annualized</w:t>
              <w:br/>
              <w:t>Yield/Rate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Average </w:t>
              <w:br/>
              <w:t>Balance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Interest/</w:t>
              <w:br/>
              <w:t>Dividends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Annualized</w:t>
              <w:br/>
              <w:t>Yield/Rate</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Earning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2,705,821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2,615,332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Taxable investment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456,789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454,288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Tax-exempt investment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 funds sold &amp;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Interest Earning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3,303,167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3,173,751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w:t>
            </w:r>
          </w:p>
        </w:tc>
        <w:tc>
          <w:tcPr>
            <w:tcW w:w="3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Nonearning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192,543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174,982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3,495,710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3,348,733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Interest-Bearing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NOW accounts and savings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1,688,457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1,557,564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651,283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621,126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borrowed money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220,820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 funds purchased &amp;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sold under agreement to repurchase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Subordinated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Interest-Bearing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2,580,695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2,461,718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3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Noninterest-Bearing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532,079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538,665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382,936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348,350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Net Interest Income and </w:t>
              <w:br/>
              <w:t>   Interest Rate Spread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3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Interest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3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882" w:type="dxa"/>
            <w:gridSpan w:val="24"/>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Yields on Tax exempt securities and the portion of the tax-exempt IDB loans included in loans have been tax adjusted based on a 21% tax rate in the charts</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FARMERS &amp; MERCHANTS BANCORP, INC. AND SUBSIDIARIES</w:t>
      </w:r>
    </w:p>
    <w:p>
      <w:pPr>
        <w:pStyle w:val="TextBody"/>
        <w:bidi w:val="0"/>
        <w:jc w:val="center"/>
        <w:rPr>
          <w:rFonts w:ascii="Times New Roman" w:hAnsi="Times New Roman"/>
          <w:color w:val="000000"/>
          <w:sz w:val="20"/>
        </w:rPr>
      </w:pPr>
      <w:r>
        <w:rPr>
          <w:rFonts w:ascii="Times New Roman" w:hAnsi="Times New Roman"/>
          <w:color w:val="000000"/>
          <w:sz w:val="20"/>
        </w:rPr>
        <w:t>AVERAGE BALANCE SHEETS AND RELATED YIELDS AND RATES (continued)</w:t>
      </w:r>
    </w:p>
    <w:p>
      <w:pPr>
        <w:pStyle w:val="TextBody"/>
        <w:bidi w:val="0"/>
        <w:jc w:val="center"/>
        <w:rPr>
          <w:rFonts w:ascii="Times New Roman" w:hAnsi="Times New Roman"/>
          <w:color w:val="000000"/>
          <w:sz w:val="20"/>
        </w:rPr>
      </w:pPr>
      <w:r>
        <w:rPr>
          <w:rFonts w:ascii="Times New Roman" w:hAnsi="Times New Roman"/>
          <w:color w:val="000000"/>
          <w:sz w:val="20"/>
        </w:rPr>
        <w:t>(in thousands of dollars, except percentages)</w:t>
      </w:r>
    </w:p>
    <w:p>
      <w:pPr>
        <w:pStyle w:val="TextBody"/>
        <w:bidi w:val="0"/>
        <w:jc w:val="center"/>
        <w:rPr/>
      </w:pPr>
      <w:r>
        <w:rPr/>
        <w:t> </w:t>
      </w:r>
    </w:p>
    <w:tbl>
      <w:tblPr>
        <w:tblW w:w="13084" w:type="dxa"/>
        <w:jc w:val="left"/>
        <w:tblInd w:w="0" w:type="dxa"/>
        <w:tblLayout w:type="fixed"/>
        <w:tblCellMar>
          <w:top w:w="28" w:type="dxa"/>
          <w:left w:w="28" w:type="dxa"/>
          <w:bottom w:w="28" w:type="dxa"/>
          <w:right w:w="28" w:type="dxa"/>
        </w:tblCellMar>
      </w:tblPr>
      <w:tblGrid>
        <w:gridCol w:w="1261"/>
        <w:gridCol w:w="146"/>
        <w:gridCol w:w="196"/>
        <w:gridCol w:w="601"/>
        <w:gridCol w:w="146"/>
        <w:gridCol w:w="146"/>
        <w:gridCol w:w="146"/>
        <w:gridCol w:w="421"/>
        <w:gridCol w:w="256"/>
        <w:gridCol w:w="146"/>
        <w:gridCol w:w="196"/>
        <w:gridCol w:w="601"/>
        <w:gridCol w:w="146"/>
        <w:gridCol w:w="146"/>
        <w:gridCol w:w="146"/>
        <w:gridCol w:w="421"/>
        <w:gridCol w:w="256"/>
        <w:gridCol w:w="146"/>
        <w:gridCol w:w="196"/>
        <w:gridCol w:w="196"/>
        <w:gridCol w:w="146"/>
        <w:gridCol w:w="146"/>
        <w:gridCol w:w="146"/>
        <w:gridCol w:w="421"/>
        <w:gridCol w:w="256"/>
        <w:gridCol w:w="146"/>
        <w:gridCol w:w="196"/>
        <w:gridCol w:w="601"/>
        <w:gridCol w:w="146"/>
        <w:gridCol w:w="146"/>
        <w:gridCol w:w="146"/>
        <w:gridCol w:w="421"/>
        <w:gridCol w:w="256"/>
        <w:gridCol w:w="146"/>
        <w:gridCol w:w="196"/>
        <w:gridCol w:w="601"/>
        <w:gridCol w:w="146"/>
        <w:gridCol w:w="146"/>
        <w:gridCol w:w="146"/>
        <w:gridCol w:w="421"/>
        <w:gridCol w:w="256"/>
        <w:gridCol w:w="146"/>
        <w:gridCol w:w="196"/>
        <w:gridCol w:w="376"/>
        <w:gridCol w:w="146"/>
        <w:gridCol w:w="146"/>
        <w:gridCol w:w="146"/>
        <w:gridCol w:w="481"/>
        <w:gridCol w:w="301"/>
      </w:tblGrid>
      <w:tr>
        <w:trPr/>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7" w:type="dxa"/>
            <w:gridSpan w:val="2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Three Months Ended</w:t>
            </w:r>
          </w:p>
        </w:tc>
        <w:tc>
          <w:tcPr>
            <w:tcW w:w="25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07" w:type="dxa"/>
            <w:gridSpan w:val="2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Three Months Ended</w:t>
            </w:r>
          </w:p>
        </w:tc>
        <w:tc>
          <w:tcPr>
            <w:tcW w:w="30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7"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07"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Reported</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4"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Excluding Accretion/Amortization</w:t>
            </w:r>
          </w:p>
        </w:tc>
        <w:tc>
          <w:tcPr>
            <w:tcW w:w="1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Difference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Reported</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4"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Excluding Accretion/Amortization</w:t>
            </w:r>
          </w:p>
        </w:tc>
        <w:tc>
          <w:tcPr>
            <w:tcW w:w="14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Difference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Yield</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Yield</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Yield</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Yield</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Yield</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Yield</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Earning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40,359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Taxable investment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Tax-exempt investment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Fed funds sold &amp;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Total Interest Earning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46,992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46,985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44,484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43,830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Interest-Bearing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NOW accounts and savings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Time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borrowed money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Fed funds purchased and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sold under agreement to repurchase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Subordinated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Total Interest-Bearing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Interest/Dividend income/yield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46,992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46,985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44,484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43,830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0.08</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 /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Interest Spread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0.09</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Interest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83" w:type="dxa"/>
            <w:gridSpan w:val="48"/>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Yields on Tax exempt securities and the portion of the tax-exempt IDB loans included in loans have been tax adjusted based on a 21% tax rate in the charts</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FARMERS &amp; MERCHANTS BANCORP, INC. AND SUBSIDIARIES</w:t>
      </w:r>
    </w:p>
    <w:p>
      <w:pPr>
        <w:pStyle w:val="TextBody"/>
        <w:bidi w:val="0"/>
        <w:jc w:val="center"/>
        <w:rPr>
          <w:rFonts w:ascii="Times New Roman" w:hAnsi="Times New Roman"/>
          <w:color w:val="000000"/>
          <w:sz w:val="20"/>
        </w:rPr>
      </w:pPr>
      <w:r>
        <w:rPr>
          <w:rFonts w:ascii="Times New Roman" w:hAnsi="Times New Roman"/>
          <w:color w:val="000000"/>
          <w:sz w:val="20"/>
        </w:rPr>
        <w:t>AVERAGE BALANCE SHEETS AND RELATED YIELDS AND RATES (continued)</w:t>
      </w:r>
    </w:p>
    <w:p>
      <w:pPr>
        <w:pStyle w:val="TextBody"/>
        <w:bidi w:val="0"/>
        <w:jc w:val="center"/>
        <w:rPr>
          <w:rFonts w:ascii="Times New Roman" w:hAnsi="Times New Roman"/>
          <w:color w:val="000000"/>
          <w:sz w:val="20"/>
        </w:rPr>
      </w:pPr>
      <w:r>
        <w:rPr>
          <w:rFonts w:ascii="Times New Roman" w:hAnsi="Times New Roman"/>
          <w:color w:val="000000"/>
          <w:sz w:val="20"/>
        </w:rPr>
        <w:t>(in thousands of dollars, except percentages)</w:t>
      </w:r>
    </w:p>
    <w:p>
      <w:pPr>
        <w:pStyle w:val="TextBody"/>
        <w:bidi w:val="0"/>
        <w:jc w:val="center"/>
        <w:rPr/>
      </w:pPr>
      <w:r>
        <w:rPr/>
        <w:t> </w:t>
      </w:r>
    </w:p>
    <w:tbl>
      <w:tblPr>
        <w:tblW w:w="13699" w:type="dxa"/>
        <w:jc w:val="left"/>
        <w:tblInd w:w="0" w:type="dxa"/>
        <w:tblLayout w:type="fixed"/>
        <w:tblCellMar>
          <w:top w:w="28" w:type="dxa"/>
          <w:left w:w="28" w:type="dxa"/>
          <w:bottom w:w="28" w:type="dxa"/>
          <w:right w:w="28" w:type="dxa"/>
        </w:tblCellMar>
      </w:tblPr>
      <w:tblGrid>
        <w:gridCol w:w="1261"/>
        <w:gridCol w:w="146"/>
        <w:gridCol w:w="196"/>
        <w:gridCol w:w="691"/>
        <w:gridCol w:w="146"/>
        <w:gridCol w:w="146"/>
        <w:gridCol w:w="146"/>
        <w:gridCol w:w="421"/>
        <w:gridCol w:w="256"/>
        <w:gridCol w:w="146"/>
        <w:gridCol w:w="196"/>
        <w:gridCol w:w="691"/>
        <w:gridCol w:w="146"/>
        <w:gridCol w:w="146"/>
        <w:gridCol w:w="146"/>
        <w:gridCol w:w="421"/>
        <w:gridCol w:w="256"/>
        <w:gridCol w:w="146"/>
        <w:gridCol w:w="196"/>
        <w:gridCol w:w="376"/>
        <w:gridCol w:w="146"/>
        <w:gridCol w:w="146"/>
        <w:gridCol w:w="146"/>
        <w:gridCol w:w="421"/>
        <w:gridCol w:w="256"/>
        <w:gridCol w:w="146"/>
        <w:gridCol w:w="196"/>
        <w:gridCol w:w="691"/>
        <w:gridCol w:w="146"/>
        <w:gridCol w:w="146"/>
        <w:gridCol w:w="146"/>
        <w:gridCol w:w="421"/>
        <w:gridCol w:w="256"/>
        <w:gridCol w:w="146"/>
        <w:gridCol w:w="196"/>
        <w:gridCol w:w="691"/>
        <w:gridCol w:w="146"/>
        <w:gridCol w:w="146"/>
        <w:gridCol w:w="146"/>
        <w:gridCol w:w="421"/>
        <w:gridCol w:w="256"/>
        <w:gridCol w:w="146"/>
        <w:gridCol w:w="196"/>
        <w:gridCol w:w="511"/>
        <w:gridCol w:w="146"/>
        <w:gridCol w:w="146"/>
        <w:gridCol w:w="146"/>
        <w:gridCol w:w="421"/>
        <w:gridCol w:w="301"/>
      </w:tblGrid>
      <w:tr>
        <w:trPr/>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7" w:type="dxa"/>
            <w:gridSpan w:val="2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Nine Months Ended</w:t>
            </w:r>
          </w:p>
        </w:tc>
        <w:tc>
          <w:tcPr>
            <w:tcW w:w="25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2" w:type="dxa"/>
            <w:gridSpan w:val="2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Nine Months Ended</w:t>
            </w:r>
          </w:p>
        </w:tc>
        <w:tc>
          <w:tcPr>
            <w:tcW w:w="30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7"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2"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Reported</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94"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Excluding Accretion/Amortization</w:t>
            </w:r>
          </w:p>
        </w:tc>
        <w:tc>
          <w:tcPr>
            <w:tcW w:w="14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Difference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Reported</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94"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Excluding Accretion/Amortization</w:t>
            </w:r>
          </w:p>
        </w:tc>
        <w:tc>
          <w:tcPr>
            <w:tcW w:w="15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Difference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Yield</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Yield</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Yield</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Yield</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Yield</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Yield</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Earning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122,727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122,110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117,615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115,755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Taxable investment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Tax-exempt investment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Fed funds sold &amp;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Total Interest Earning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135,937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135,320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128,978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127,118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Interest-Bearing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NOW accounts and savings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Time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borrowed money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Fed funds purchased and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sold under agreement to repurchase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Subordinated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Total Interest-Bearing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49,635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52,457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52,447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Interest/Dividend income/yield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135,937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135,320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128,978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127,118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0.08</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 /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49,635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49,625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52,457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52,447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Interest Spread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86,302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85,695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76,521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74,671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0.08</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Interest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98" w:type="dxa"/>
            <w:gridSpan w:val="48"/>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Yields on Tax exempt securities and the portion of the tax-exempt IDB loans included in loans have been tax adjusted based on a 21% tax rate in the charts</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FARMERS &amp; MERCHANTS BANCORP, INC. AND SUBSIDIARIES</w:t>
      </w:r>
    </w:p>
    <w:p>
      <w:pPr>
        <w:pStyle w:val="TextBody"/>
        <w:bidi w:val="0"/>
        <w:jc w:val="center"/>
        <w:rPr>
          <w:rFonts w:ascii="Times New Roman" w:hAnsi="Times New Roman"/>
          <w:color w:val="000000"/>
          <w:sz w:val="20"/>
        </w:rPr>
      </w:pPr>
      <w:r>
        <w:rPr>
          <w:rFonts w:ascii="Times New Roman" w:hAnsi="Times New Roman"/>
          <w:color w:val="000000"/>
          <w:sz w:val="20"/>
        </w:rPr>
        <w:t>RECONCILIATION OF TANGIBLE COMMON EQUITY</w:t>
      </w:r>
    </w:p>
    <w:p>
      <w:pPr>
        <w:pStyle w:val="TextBody"/>
        <w:bidi w:val="0"/>
        <w:jc w:val="center"/>
        <w:rPr>
          <w:rFonts w:ascii="Times New Roman" w:hAnsi="Times New Roman"/>
          <w:color w:val="000000"/>
          <w:sz w:val="20"/>
        </w:rPr>
      </w:pPr>
      <w:r>
        <w:rPr>
          <w:rFonts w:ascii="Times New Roman" w:hAnsi="Times New Roman"/>
          <w:color w:val="000000"/>
          <w:sz w:val="20"/>
        </w:rPr>
        <w:t>(in thousands of dollars)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010"/>
        <w:gridCol w:w="146"/>
        <w:gridCol w:w="146"/>
        <w:gridCol w:w="211"/>
        <w:gridCol w:w="781"/>
        <w:gridCol w:w="146"/>
        <w:gridCol w:w="146"/>
        <w:gridCol w:w="146"/>
        <w:gridCol w:w="211"/>
        <w:gridCol w:w="781"/>
        <w:gridCol w:w="146"/>
        <w:gridCol w:w="146"/>
        <w:gridCol w:w="146"/>
        <w:gridCol w:w="211"/>
        <w:gridCol w:w="781"/>
        <w:gridCol w:w="146"/>
        <w:gridCol w:w="146"/>
        <w:gridCol w:w="146"/>
        <w:gridCol w:w="211"/>
        <w:gridCol w:w="781"/>
        <w:gridCol w:w="146"/>
        <w:gridCol w:w="146"/>
        <w:gridCol w:w="146"/>
        <w:gridCol w:w="211"/>
        <w:gridCol w:w="781"/>
        <w:gridCol w:w="191"/>
      </w:tblGrid>
      <w:tr>
        <w:trPr/>
        <w:tc>
          <w:tcPr>
            <w:tcW w:w="30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8" w:type="dxa"/>
            <w:gridSpan w:val="2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Reconciliation of Common Stockholders' </w:t>
              <w:br/>
              <w:t>   Equity to Tangible Common Equity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w:t>
              <w:br/>
              <w:t>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w:t>
              <w:br/>
              <w:t>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w:t>
              <w:br/>
              <w:t>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w:t>
              <w:br/>
              <w:t>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w:t>
              <w:br/>
              <w:t>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386,927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384,716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375,948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370,862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361,780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Goodwill and Other Intangibles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90,792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Tangible Common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297,494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294,978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285,905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280,515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270,988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389,168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382,584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376,923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368,235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357,394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average Goodwill and Other Intangibles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91,076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Tangible Common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299,535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292,651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286,689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277,606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266,318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5461</Words>
  <Characters>27856</Characters>
  <CharactersWithSpaces>36616</CharactersWithSpaces>
  <Paragraphs>7754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