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81915</wp:posOffset>
            </wp:positionV>
            <wp:extent cx="1929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8"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117475</wp:posOffset>
            </wp:positionV>
            <wp:extent cx="1929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7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September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4193540</wp:posOffset>
            </wp:positionH>
            <wp:positionV relativeFrom="paragraph">
              <wp:posOffset>-7620</wp:posOffset>
            </wp:positionV>
            <wp:extent cx="219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91440</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90170</wp:posOffset>
            </wp:positionV>
            <wp:extent cx="1929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53" w:lineRule="exact"/>
        <w:rPr>
          <w:sz w:val="24"/>
          <w:szCs w:val="24"/>
          <w:color w:val="auto"/>
        </w:rPr>
      </w:pPr>
    </w:p>
    <w:tbl>
      <w:tblPr>
        <w:tblLayout w:type="fixed"/>
        <w:tblInd w:w="1260" w:type="dxa"/>
        <w:tblCellMar>
          <w:top w:w="0" w:type="dxa"/>
          <w:left w:w="0" w:type="dxa"/>
          <w:bottom w:w="0" w:type="dxa"/>
          <w:right w:w="0" w:type="dxa"/>
        </w:tblCellMar>
      </w:tblPr>
      <w:tr>
        <w:trPr>
          <w:trHeight w:val="225"/>
        </w:trPr>
        <w:tc>
          <w:tcPr>
            <w:tcW w:w="3560" w:type="dxa"/>
            <w:vAlign w:val="bottom"/>
          </w:tcPr>
          <w:p>
            <w:pPr>
              <w:jc w:val="center"/>
              <w:ind w:right="281"/>
              <w:spacing w:after="0"/>
              <w:rPr>
                <w:sz w:val="20"/>
                <w:szCs w:val="20"/>
                <w:color w:val="auto"/>
              </w:rPr>
            </w:pPr>
            <w:r>
              <w:rPr>
                <w:rFonts w:ascii="Arial" w:cs="Arial" w:eastAsia="Arial" w:hAnsi="Arial"/>
                <w:sz w:val="18"/>
                <w:szCs w:val="18"/>
                <w:b w:val="1"/>
                <w:bCs w:val="1"/>
                <w:color w:val="auto"/>
              </w:rPr>
              <w:t>OHIO</w:t>
            </w:r>
          </w:p>
        </w:tc>
        <w:tc>
          <w:tcPr>
            <w:tcW w:w="4300" w:type="dxa"/>
            <w:vAlign w:val="bottom"/>
          </w:tcPr>
          <w:p>
            <w:pPr>
              <w:jc w:val="right"/>
              <w:ind w:right="39"/>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3560" w:type="dxa"/>
            <w:vAlign w:val="bottom"/>
          </w:tcPr>
          <w:p>
            <w:pPr>
              <w:jc w:val="center"/>
              <w:ind w:right="28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300" w:type="dxa"/>
            <w:vAlign w:val="bottom"/>
          </w:tcPr>
          <w:p>
            <w:pPr>
              <w:jc w:val="center"/>
              <w:ind w:left="309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6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300" w:type="dxa"/>
            <w:vAlign w:val="bottom"/>
          </w:tcPr>
          <w:p>
            <w:pPr>
              <w:jc w:val="center"/>
              <w:ind w:left="3099"/>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3560" w:type="dxa"/>
            <w:vAlign w:val="bottom"/>
          </w:tcPr>
          <w:p>
            <w:pPr>
              <w:jc w:val="center"/>
              <w:ind w:right="28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4300" w:type="dxa"/>
            <w:vAlign w:val="bottom"/>
          </w:tcPr>
          <w:p>
            <w:pPr>
              <w:jc w:val="right"/>
              <w:ind w:right="259"/>
              <w:spacing w:after="0"/>
              <w:rPr>
                <w:sz w:val="20"/>
                <w:szCs w:val="20"/>
                <w:color w:val="auto"/>
              </w:rPr>
            </w:pPr>
            <w:r>
              <w:rPr>
                <w:rFonts w:ascii="Arial" w:cs="Arial" w:eastAsia="Arial" w:hAnsi="Arial"/>
                <w:sz w:val="18"/>
                <w:szCs w:val="18"/>
                <w:b w:val="1"/>
                <w:bCs w:val="1"/>
                <w:color w:val="auto"/>
              </w:rPr>
              <w:t>43502</w:t>
            </w:r>
          </w:p>
        </w:tc>
      </w:tr>
      <w:tr>
        <w:trPr>
          <w:trHeight w:val="186"/>
        </w:trPr>
        <w:tc>
          <w:tcPr>
            <w:tcW w:w="3560" w:type="dxa"/>
            <w:vAlign w:val="bottom"/>
          </w:tcPr>
          <w:p>
            <w:pPr>
              <w:jc w:val="center"/>
              <w:ind w:right="28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4300" w:type="dxa"/>
            <w:vAlign w:val="bottom"/>
          </w:tcPr>
          <w:p>
            <w:pPr>
              <w:jc w:val="center"/>
              <w:ind w:left="3119"/>
              <w:spacing w:after="0"/>
              <w:rPr>
                <w:sz w:val="20"/>
                <w:szCs w:val="20"/>
                <w:color w:val="auto"/>
              </w:rPr>
            </w:pPr>
            <w:r>
              <w:rPr>
                <w:rFonts w:ascii="Arial" w:cs="Arial" w:eastAsia="Arial" w:hAnsi="Arial"/>
                <w:sz w:val="14"/>
                <w:szCs w:val="14"/>
                <w:b w:val="1"/>
                <w:bCs w:val="1"/>
                <w:color w:val="auto"/>
                <w:w w:val="95"/>
              </w:rPr>
              <w:t>(Zip Code)</w:t>
            </w:r>
          </w:p>
        </w:tc>
      </w:tr>
      <w:tr>
        <w:trPr>
          <w:trHeight w:val="316"/>
        </w:trPr>
        <w:tc>
          <w:tcPr>
            <w:tcW w:w="3560" w:type="dxa"/>
            <w:vAlign w:val="bottom"/>
          </w:tcPr>
          <w:p>
            <w:pPr>
              <w:spacing w:after="0"/>
              <w:rPr>
                <w:sz w:val="24"/>
                <w:szCs w:val="24"/>
                <w:color w:val="auto"/>
              </w:rPr>
            </w:pPr>
          </w:p>
        </w:tc>
        <w:tc>
          <w:tcPr>
            <w:tcW w:w="4300" w:type="dxa"/>
            <w:vAlign w:val="bottom"/>
          </w:tcPr>
          <w:p>
            <w:pPr>
              <w:jc w:val="right"/>
              <w:ind w:right="2779"/>
              <w:spacing w:after="0"/>
              <w:rPr>
                <w:sz w:val="20"/>
                <w:szCs w:val="20"/>
                <w:color w:val="auto"/>
              </w:rPr>
            </w:pPr>
            <w:r>
              <w:rPr>
                <w:rFonts w:ascii="Arial" w:cs="Arial" w:eastAsia="Arial" w:hAnsi="Arial"/>
                <w:sz w:val="18"/>
                <w:szCs w:val="18"/>
                <w:b w:val="1"/>
                <w:bCs w:val="1"/>
                <w:color w:val="auto"/>
              </w:rPr>
              <w:t>(419) 446-2501</w:t>
            </w:r>
          </w:p>
        </w:tc>
      </w:tr>
    </w:tbl>
    <w:p>
      <w:pPr>
        <w:jc w:val="center"/>
        <w:spacing w:after="0" w:line="187" w:lineRule="auto"/>
        <w:rPr>
          <w:sz w:val="20"/>
          <w:szCs w:val="20"/>
          <w:color w:val="auto"/>
        </w:rPr>
      </w:pPr>
      <w:r>
        <w:rPr>
          <w:rFonts w:ascii="Arial" w:cs="Arial" w:eastAsia="Arial" w:hAnsi="Arial"/>
          <w:sz w:val="12"/>
          <w:szCs w:val="12"/>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47625</wp:posOffset>
            </wp:positionV>
            <wp:extent cx="1929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970" w:type="dxa"/>
        <w:tblCellMar>
          <w:top w:w="0" w:type="dxa"/>
          <w:left w:w="0" w:type="dxa"/>
          <w:bottom w:w="0" w:type="dxa"/>
          <w:right w:w="0" w:type="dxa"/>
        </w:tblCellMar>
      </w:tblPr>
      <w:tr>
        <w:trPr>
          <w:trHeight w:val="202"/>
        </w:trPr>
        <w:tc>
          <w:tcPr>
            <w:tcW w:w="2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250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Name of Each Exchange</w:t>
            </w:r>
          </w:p>
        </w:tc>
      </w:tr>
      <w:tr>
        <w:trPr>
          <w:trHeight w:val="20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No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FMAO</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20"/>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59" w:lineRule="exact"/>
        <w:rPr>
          <w:sz w:val="24"/>
          <w:szCs w:val="24"/>
          <w:color w:val="auto"/>
        </w:rPr>
      </w:pPr>
    </w:p>
    <w:p>
      <w:pPr>
        <w:ind w:right="4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Indicated by check mark whether the registrant is a shell company (as defined in Rule 12b-2 of the Exchange Act).</w:t>
      </w:r>
    </w:p>
    <w:p>
      <w:pPr>
        <w:sectPr>
          <w:pgSz w:w="11900" w:h="16838" w:orient="portrait"/>
          <w:cols w:equalWidth="0" w:num="1">
            <w:col w:w="11420"/>
          </w:cols>
          <w:pgMar w:left="240" w:top="215" w:right="239" w:bottom="1440" w:gutter="0" w:footer="0" w:header="0"/>
        </w:sectPr>
      </w:pP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840"/>
          </w:cols>
          <w:pgMar w:left="240" w:top="215" w:right="2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420"/>
          </w:cols>
          <w:pgMar w:left="240" w:top="215" w:right="239" w:bottom="1440" w:gutter="0" w:footer="0" w:header="0"/>
          <w:type w:val="continuous"/>
        </w:sectPr>
      </w:pPr>
    </w:p>
    <w:p>
      <w:pPr>
        <w:spacing w:after="0" w:line="123" w:lineRule="exact"/>
        <w:rPr>
          <w:sz w:val="24"/>
          <w:szCs w:val="24"/>
          <w:color w:val="auto"/>
        </w:rPr>
      </w:pPr>
    </w:p>
    <w:p>
      <w:pPr>
        <w:jc w:val="center"/>
        <w:ind w:right="94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660"/>
        <w:spacing w:after="0"/>
        <w:rPr>
          <w:sz w:val="20"/>
          <w:szCs w:val="20"/>
          <w:color w:val="auto"/>
        </w:rPr>
      </w:pPr>
      <w:r>
        <w:rPr>
          <w:rFonts w:ascii="Arial" w:cs="Arial" w:eastAsia="Arial" w:hAnsi="Arial"/>
          <w:sz w:val="16"/>
          <w:szCs w:val="16"/>
          <w:u w:val="single" w:color="auto"/>
          <w:color w:val="auto"/>
        </w:rPr>
        <w:t>11,137,014</w:t>
      </w:r>
    </w:p>
    <w:p>
      <w:pPr>
        <w:spacing w:after="0" w:line="22" w:lineRule="exact"/>
        <w:rPr>
          <w:sz w:val="24"/>
          <w:szCs w:val="24"/>
          <w:color w:val="auto"/>
        </w:rPr>
      </w:pPr>
    </w:p>
    <w:p>
      <w:pPr>
        <w:jc w:val="center"/>
        <w:ind w:right="1660"/>
        <w:spacing w:after="0"/>
        <w:rPr>
          <w:sz w:val="20"/>
          <w:szCs w:val="20"/>
          <w:color w:val="auto"/>
        </w:rPr>
      </w:pPr>
      <w:r>
        <w:rPr>
          <w:rFonts w:ascii="Arial" w:cs="Arial" w:eastAsia="Arial" w:hAnsi="Arial"/>
          <w:sz w:val="14"/>
          <w:szCs w:val="14"/>
          <w:color w:val="auto"/>
        </w:rPr>
        <w:t>Outstanding as of October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-4769485</wp:posOffset>
            </wp:positionH>
            <wp:positionV relativeFrom="paragraph">
              <wp:posOffset>99060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116205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4"/>
          <w:szCs w:val="24"/>
          <w:color w:val="auto"/>
        </w:rPr>
      </w:pPr>
    </w:p>
    <w:p>
      <w:pPr>
        <w:sectPr>
          <w:pgSz w:w="11900" w:h="16838" w:orient="portrait"/>
          <w:cols w:equalWidth="0" w:num="2">
            <w:col w:w="6800" w:space="720"/>
            <w:col w:w="3900"/>
          </w:cols>
          <w:pgMar w:left="240" w:top="215" w:right="239" w:bottom="1440" w:gutter="0" w:footer="0" w:header="0"/>
          <w:type w:val="continuous"/>
        </w:sectPr>
      </w:pP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gridSpan w:val="30"/>
          </w:tcPr>
          <w:p>
            <w:pPr>
              <w:spacing w:after="0"/>
              <w:rPr>
                <w:sz w:val="20"/>
                <w:szCs w:val="20"/>
                <w:color w:val="auto"/>
              </w:rPr>
            </w:pPr>
            <w:r>
              <w:rPr>
                <w:rFonts w:ascii="Arial" w:cs="Arial" w:eastAsia="Arial" w:hAnsi="Arial"/>
                <w:sz w:val="18"/>
                <w:szCs w:val="18"/>
                <w:color w:val="auto"/>
              </w:rPr>
              <w:t>FARMERS &amp; MERCHANTS BANCORP, INC.</w:t>
            </w:r>
          </w:p>
        </w:tc>
        <w:tc>
          <w:tcPr>
            <w:tcW w:w="136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126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color w:val="auto"/>
                <w:w w:val="91"/>
              </w:rPr>
              <w:t>Form 10-Q Items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ind w:left="980"/>
              <w:spacing w:after="0" w:line="202" w:lineRule="exact"/>
              <w:rPr>
                <w:sz w:val="20"/>
                <w:szCs w:val="20"/>
                <w:color w:val="auto"/>
              </w:rPr>
            </w:pPr>
            <w:r>
              <w:rPr>
                <w:rFonts w:ascii="Arial" w:cs="Arial" w:eastAsia="Arial" w:hAnsi="Arial"/>
                <w:sz w:val="18"/>
                <w:szCs w:val="18"/>
                <w:color w:val="auto"/>
                <w:w w:val="85"/>
              </w:rPr>
              <w:t>Page</w:t>
            </w:r>
          </w:p>
        </w:tc>
      </w:tr>
      <w:tr>
        <w:trPr>
          <w:trHeight w:val="237"/>
        </w:trPr>
        <w:tc>
          <w:tcPr>
            <w:tcW w:w="66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780" w:type="dxa"/>
            <w:vAlign w:val="bottom"/>
          </w:tcPr>
          <w:p>
            <w:pPr>
              <w:spacing w:after="0"/>
              <w:rPr>
                <w:sz w:val="20"/>
                <w:szCs w:val="20"/>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4440" w:type="dxa"/>
            <w:vAlign w:val="bottom"/>
            <w:gridSpan w:val="15"/>
          </w:tcPr>
          <w:p>
            <w:pPr>
              <w:spacing w:after="0"/>
              <w:rPr>
                <w:sz w:val="20"/>
                <w:szCs w:val="20"/>
                <w:color w:val="auto"/>
              </w:rPr>
            </w:pPr>
          </w:p>
        </w:tc>
        <w:tc>
          <w:tcPr>
            <w:tcW w:w="1360" w:type="dxa"/>
            <w:vAlign w:val="bottom"/>
          </w:tcPr>
          <w:p>
            <w:pPr>
              <w:spacing w:after="0"/>
              <w:rPr>
                <w:sz w:val="20"/>
                <w:szCs w:val="20"/>
                <w:color w:val="auto"/>
              </w:rPr>
            </w:pPr>
          </w:p>
        </w:tc>
      </w:tr>
      <w:tr>
        <w:trPr>
          <w:trHeight w:val="372"/>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4280" w:type="dxa"/>
            <w:vAlign w:val="bottom"/>
            <w:gridSpan w:val="13"/>
          </w:tcPr>
          <w:p>
            <w:pPr>
              <w:spacing w:after="0"/>
              <w:rPr>
                <w:sz w:val="24"/>
                <w:szCs w:val="24"/>
                <w:color w:val="auto"/>
              </w:rPr>
            </w:pPr>
          </w:p>
        </w:tc>
        <w:tc>
          <w:tcPr>
            <w:tcW w:w="136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3660" w:type="dxa"/>
            <w:vAlign w:val="bottom"/>
            <w:gridSpan w:val="12"/>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 xml:space="preserve">September 30, 2019 and </w:t>
              </w:r>
              <w:r>
                <w:rPr>
                  <w:rFonts w:ascii="Arial" w:cs="Arial" w:eastAsia="Arial" w:hAnsi="Arial"/>
                  <w:sz w:val="18"/>
                  <w:szCs w:val="18"/>
                  <w:color w:val="000000"/>
                </w:rPr>
                <w:t xml:space="preserve">December 31, </w:t>
              </w:r>
            </w:hyperlink>
            <w:r>
              <w:rPr>
                <w:rFonts w:ascii="Arial" w:cs="Arial" w:eastAsia="Arial" w:hAnsi="Arial"/>
                <w:sz w:val="18"/>
                <w:szCs w:val="18"/>
                <w:color w:val="0000EE"/>
              </w:rPr>
              <w:t>2018</w:t>
            </w:r>
          </w:p>
        </w:tc>
        <w:tc>
          <w:tcPr>
            <w:tcW w:w="136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auto"/>
            </w:tcBorders>
            <w:shd w:val="clear" w:color="auto" w:fill="0000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3140" w:type="dxa"/>
            <w:vAlign w:val="bottom"/>
            <w:gridSpan w:val="10"/>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Nine Months Ended September 30, 2019 and September 30, 2018</w:t>
              </w:r>
            </w:hyperlink>
          </w:p>
        </w:tc>
        <w:tc>
          <w:tcPr>
            <w:tcW w:w="136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w:t>
              </w:r>
            </w:hyperlink>
          </w:p>
        </w:tc>
        <w:tc>
          <w:tcPr>
            <w:tcW w:w="198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2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Three and Nine Months Ended September 30, 2019 and September 30, 2018</w:t>
              </w:r>
            </w:hyperlink>
          </w:p>
        </w:tc>
        <w:tc>
          <w:tcPr>
            <w:tcW w:w="136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99"/>
              </w:rPr>
              <w:t>5</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132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and Nine Months Ended September 30, 2019 and September 30, 2018</w:t>
              </w:r>
            </w:hyperlink>
          </w:p>
        </w:tc>
        <w:tc>
          <w:tcPr>
            <w:tcW w:w="136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92"/>
              </w:rPr>
              <w:t>6-7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w:t>
              </w:r>
            </w:hyperlink>
          </w:p>
        </w:tc>
        <w:tc>
          <w:tcPr>
            <w:tcW w:w="2840" w:type="dxa"/>
            <w:vAlign w:val="bottom"/>
            <w:gridSpan w:val="9"/>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Nine Months Ended September 30, 2019 and September 30, 2018</w:t>
              </w:r>
            </w:hyperlink>
          </w:p>
        </w:tc>
        <w:tc>
          <w:tcPr>
            <w:tcW w:w="1720" w:type="dxa"/>
            <w:vAlign w:val="bottom"/>
            <w:gridSpan w:val="3"/>
          </w:tcPr>
          <w:p>
            <w:pPr>
              <w:spacing w:after="0"/>
              <w:rPr>
                <w:sz w:val="17"/>
                <w:szCs w:val="17"/>
                <w:color w:val="auto"/>
              </w:rPr>
            </w:pPr>
          </w:p>
        </w:tc>
        <w:tc>
          <w:tcPr>
            <w:tcW w:w="136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92"/>
              </w:rPr>
              <w:t>8-9</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2700" w:type="dxa"/>
            <w:vAlign w:val="bottom"/>
            <w:gridSpan w:val="8"/>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10</w:t>
            </w: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Management's Discussion and Analysis of Financial Condition</w:t>
              </w:r>
            </w:hyperlink>
          </w:p>
        </w:tc>
        <w:tc>
          <w:tcPr>
            <w:tcW w:w="2120" w:type="dxa"/>
            <w:vAlign w:val="bottom"/>
            <w:gridSpan w:val="5"/>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and Results of Operations</w:t>
              </w:r>
            </w:hyperlink>
          </w:p>
        </w:tc>
        <w:tc>
          <w:tcPr>
            <w:tcW w:w="136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91"/>
              </w:rPr>
              <w:t>45-62</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Qualitative and Quantitative Disclosures About Market Risk</w:t>
              </w:r>
            </w:hyperlink>
          </w:p>
        </w:tc>
        <w:tc>
          <w:tcPr>
            <w:tcW w:w="2340" w:type="dxa"/>
            <w:vAlign w:val="bottom"/>
            <w:gridSpan w:val="6"/>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Controls and Procedures</w:t>
              </w:r>
            </w:hyperlink>
          </w:p>
        </w:tc>
        <w:tc>
          <w:tcPr>
            <w:tcW w:w="4920" w:type="dxa"/>
            <w:vAlign w:val="bottom"/>
            <w:gridSpan w:val="18"/>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64</w:t>
            </w:r>
          </w:p>
        </w:tc>
      </w:tr>
      <w:tr>
        <w:trPr>
          <w:trHeight w:val="358"/>
        </w:trPr>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80" w:type="dxa"/>
            <w:vAlign w:val="bottom"/>
          </w:tcPr>
          <w:p>
            <w:pPr>
              <w:spacing w:after="0"/>
              <w:rPr>
                <w:sz w:val="24"/>
                <w:szCs w:val="24"/>
                <w:color w:val="auto"/>
              </w:rPr>
            </w:pPr>
          </w:p>
        </w:tc>
        <w:tc>
          <w:tcPr>
            <w:tcW w:w="6700" w:type="dxa"/>
            <w:vAlign w:val="bottom"/>
            <w:gridSpan w:val="2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64</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4820" w:type="dxa"/>
            <w:vAlign w:val="bottom"/>
            <w:gridSpan w:val="17"/>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64</w:t>
            </w:r>
          </w:p>
        </w:tc>
      </w:tr>
      <w:tr>
        <w:trPr>
          <w:trHeight w:val="358"/>
        </w:trPr>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780" w:type="dxa"/>
            <w:vAlign w:val="bottom"/>
          </w:tcPr>
          <w:p>
            <w:pPr>
              <w:spacing w:after="0"/>
              <w:rPr>
                <w:sz w:val="24"/>
                <w:szCs w:val="24"/>
                <w:color w:val="auto"/>
              </w:rPr>
            </w:pPr>
          </w:p>
        </w:tc>
        <w:tc>
          <w:tcPr>
            <w:tcW w:w="6700" w:type="dxa"/>
            <w:vAlign w:val="bottom"/>
            <w:gridSpan w:val="2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64</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gridSpan w:val="2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64</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24"/>
                <w:szCs w:val="24"/>
                <w:color w:val="auto"/>
              </w:rPr>
            </w:pPr>
          </w:p>
        </w:tc>
        <w:tc>
          <w:tcPr>
            <w:tcW w:w="2360" w:type="dxa"/>
            <w:vAlign w:val="bottom"/>
            <w:gridSpan w:val="7"/>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64</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gridSpan w:val="2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64</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4940" w:type="dxa"/>
            <w:vAlign w:val="bottom"/>
            <w:gridSpan w:val="19"/>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64</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gridSpan w:val="2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65</w:t>
            </w:r>
          </w:p>
        </w:tc>
      </w:tr>
      <w:tr>
        <w:trPr>
          <w:trHeight w:val="358"/>
        </w:trPr>
        <w:tc>
          <w:tcPr>
            <w:tcW w:w="660" w:type="dxa"/>
            <w:vAlign w:val="bottom"/>
          </w:tcPr>
          <w:p>
            <w:pPr>
              <w:spacing w:after="0"/>
              <w:rPr>
                <w:sz w:val="24"/>
                <w:szCs w:val="24"/>
                <w:color w:val="auto"/>
              </w:rPr>
            </w:pPr>
          </w:p>
        </w:tc>
        <w:tc>
          <w:tcPr>
            <w:tcW w:w="1260" w:type="dxa"/>
            <w:vAlign w:val="bottom"/>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7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66</w:t>
            </w:r>
          </w:p>
        </w:tc>
      </w:tr>
      <w:tr>
        <w:trPr>
          <w:trHeight w:val="412"/>
        </w:trPr>
        <w:tc>
          <w:tcPr>
            <w:tcW w:w="66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gridSpan w:val="25"/>
          </w:tcPr>
          <w:p>
            <w:pPr>
              <w:spacing w:after="0"/>
              <w:rPr>
                <w:sz w:val="20"/>
                <w:szCs w:val="20"/>
                <w:color w:val="auto"/>
              </w:rPr>
            </w:pPr>
            <w:r>
              <w:rPr>
                <w:rFonts w:ascii="Arial" w:cs="Arial" w:eastAsia="Arial" w:hAnsi="Arial"/>
                <w:sz w:val="18"/>
                <w:szCs w:val="18"/>
                <w:color w:val="auto"/>
              </w:rPr>
              <w:t>XBRL Instance Document (1)</w:t>
            </w:r>
          </w:p>
        </w:tc>
        <w:tc>
          <w:tcPr>
            <w:tcW w:w="1360" w:type="dxa"/>
            <w:vAlign w:val="bottom"/>
          </w:tcPr>
          <w:p>
            <w:pPr>
              <w:spacing w:after="0"/>
              <w:rPr>
                <w:sz w:val="24"/>
                <w:szCs w:val="24"/>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2"/>
                <w:szCs w:val="22"/>
                <w:color w:val="auto"/>
              </w:rPr>
            </w:pPr>
          </w:p>
        </w:tc>
        <w:tc>
          <w:tcPr>
            <w:tcW w:w="6700" w:type="dxa"/>
            <w:vAlign w:val="bottom"/>
            <w:gridSpan w:val="25"/>
          </w:tcPr>
          <w:p>
            <w:pPr>
              <w:spacing w:after="0"/>
              <w:rPr>
                <w:sz w:val="20"/>
                <w:szCs w:val="20"/>
                <w:color w:val="auto"/>
              </w:rPr>
            </w:pPr>
            <w:r>
              <w:rPr>
                <w:rFonts w:ascii="Arial" w:cs="Arial" w:eastAsia="Arial" w:hAnsi="Arial"/>
                <w:sz w:val="18"/>
                <w:szCs w:val="18"/>
                <w:color w:val="auto"/>
              </w:rPr>
              <w:t>XBRL Taxonomy Extension Scheme Document (1)</w:t>
            </w:r>
          </w:p>
        </w:tc>
        <w:tc>
          <w:tcPr>
            <w:tcW w:w="136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2"/>
                <w:szCs w:val="22"/>
                <w:color w:val="auto"/>
              </w:rPr>
            </w:pPr>
          </w:p>
        </w:tc>
        <w:tc>
          <w:tcPr>
            <w:tcW w:w="670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136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2"/>
                <w:szCs w:val="22"/>
                <w:color w:val="auto"/>
              </w:rPr>
            </w:pPr>
          </w:p>
        </w:tc>
        <w:tc>
          <w:tcPr>
            <w:tcW w:w="670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136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2"/>
                <w:szCs w:val="22"/>
                <w:color w:val="auto"/>
              </w:rPr>
            </w:pPr>
          </w:p>
        </w:tc>
        <w:tc>
          <w:tcPr>
            <w:tcW w:w="670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 (1)</w:t>
            </w:r>
          </w:p>
        </w:tc>
        <w:tc>
          <w:tcPr>
            <w:tcW w:w="1360" w:type="dxa"/>
            <w:vAlign w:val="bottom"/>
          </w:tcPr>
          <w:p>
            <w:pPr>
              <w:spacing w:after="0"/>
              <w:rPr>
                <w:sz w:val="22"/>
                <w:szCs w:val="22"/>
                <w:color w:val="auto"/>
              </w:rPr>
            </w:pPr>
          </w:p>
        </w:tc>
      </w:tr>
      <w:tr>
        <w:trPr>
          <w:trHeight w:val="257"/>
        </w:trPr>
        <w:tc>
          <w:tcPr>
            <w:tcW w:w="66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2"/>
                <w:szCs w:val="22"/>
                <w:color w:val="auto"/>
              </w:rPr>
            </w:pPr>
          </w:p>
        </w:tc>
        <w:tc>
          <w:tcPr>
            <w:tcW w:w="670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1360" w:type="dxa"/>
            <w:vAlign w:val="bottom"/>
          </w:tcPr>
          <w:p>
            <w:pPr>
              <w:spacing w:after="0"/>
              <w:rPr>
                <w:sz w:val="22"/>
                <w:szCs w:val="22"/>
                <w:color w:val="auto"/>
              </w:rPr>
            </w:pPr>
          </w:p>
        </w:tc>
      </w:tr>
    </w:tbl>
    <w:p>
      <w:pPr>
        <w:spacing w:after="0" w:line="188" w:lineRule="exact"/>
        <w:rPr>
          <w:sz w:val="20"/>
          <w:szCs w:val="20"/>
          <w:color w:val="auto"/>
        </w:rPr>
      </w:pPr>
    </w:p>
    <w:p>
      <w:pPr>
        <w:jc w:val="both"/>
        <w:ind w:left="380" w:hanging="372"/>
        <w:spacing w:after="0" w:line="22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gridSpan w:val="4"/>
          </w:tcPr>
          <w:p>
            <w:pPr>
              <w:jc w:val="right"/>
              <w:ind w:right="1230"/>
              <w:spacing w:after="0"/>
              <w:rPr>
                <w:sz w:val="20"/>
                <w:szCs w:val="20"/>
                <w:color w:val="auto"/>
              </w:rPr>
            </w:pPr>
            <w:r>
              <w:rPr>
                <w:rFonts w:ascii="Arial" w:cs="Arial" w:eastAsia="Arial" w:hAnsi="Arial"/>
                <w:sz w:val="18"/>
                <w:szCs w:val="18"/>
                <w:color w:val="auto"/>
              </w:rPr>
              <w:t>(in thousands of dollars)</w:t>
            </w:r>
          </w:p>
        </w:tc>
      </w:tr>
      <w:tr>
        <w:trPr>
          <w:trHeight w:val="230"/>
        </w:trPr>
        <w:tc>
          <w:tcPr>
            <w:tcW w:w="6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88"/>
              </w:rPr>
              <w:t>September 30, 2019</w:t>
            </w: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3"/>
              </w:rPr>
              <w:t>December 31, 2018</w:t>
            </w:r>
          </w:p>
        </w:tc>
      </w:tr>
      <w:tr>
        <w:trPr>
          <w:trHeight w:val="223"/>
        </w:trPr>
        <w:tc>
          <w:tcPr>
            <w:tcW w:w="6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103,188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37,492</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11,404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873</w:t>
            </w:r>
          </w:p>
        </w:tc>
      </w:tr>
      <w:tr>
        <w:trPr>
          <w:trHeight w:val="223"/>
        </w:trPr>
        <w:tc>
          <w:tcPr>
            <w:tcW w:w="642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114,592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38,365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4,554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4,019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190,465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168,447</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5,789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3,679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495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1,151,937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839,599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25,990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22,615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47,340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4,074</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2,556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2,385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600</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15,151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14,884</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15,549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17,001</w:t>
            </w:r>
          </w:p>
        </w:tc>
      </w:tr>
      <w:tr>
        <w:trPr>
          <w:trHeight w:val="26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1,574,880</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1,116,163</w:t>
            </w:r>
          </w:p>
        </w:tc>
      </w:tr>
      <w:tr>
        <w:trPr>
          <w:trHeight w:val="21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261,719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215,422</w:t>
            </w: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430,646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298,254</w:t>
            </w:r>
          </w:p>
        </w:tc>
      </w:tr>
      <w:tr>
        <w:trPr>
          <w:trHeight w:val="230"/>
        </w:trPr>
        <w:tc>
          <w:tcPr>
            <w:tcW w:w="64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310,667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227,701</w:t>
            </w:r>
          </w:p>
        </w:tc>
      </w:tr>
      <w:tr>
        <w:trPr>
          <w:trHeight w:val="230"/>
        </w:trPr>
        <w:tc>
          <w:tcPr>
            <w:tcW w:w="64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274,996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187,413</w:t>
            </w:r>
          </w:p>
        </w:tc>
      </w:tr>
      <w:tr>
        <w:trPr>
          <w:trHeight w:val="223"/>
        </w:trPr>
        <w:tc>
          <w:tcPr>
            <w:tcW w:w="64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1,278,028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928,790</w:t>
            </w:r>
          </w:p>
        </w:tc>
      </w:tr>
      <w:tr>
        <w:trPr>
          <w:trHeight w:val="215"/>
        </w:trPr>
        <w:tc>
          <w:tcPr>
            <w:tcW w:w="642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42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30,056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32,181</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24,669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Dividend payable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1,379</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13,062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10,526</w:t>
            </w:r>
          </w:p>
        </w:tc>
      </w:tr>
      <w:tr>
        <w:trPr>
          <w:trHeight w:val="223"/>
        </w:trPr>
        <w:tc>
          <w:tcPr>
            <w:tcW w:w="642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1,347,472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972,876</w:t>
            </w: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5"/>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12,230,000 shares 9/30/19, 10,400,000 shares 12/31/18</w:t>
            </w: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81,264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10,823</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Treasury stock - 1,092,986 shares 9/30/19, 1,114,739 shares 12/31/18</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(12,409)</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Retained earnings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157,126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147,887</w:t>
            </w:r>
          </w:p>
        </w:tc>
      </w:tr>
      <w:tr>
        <w:trPr>
          <w:trHeight w:val="230"/>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23"/>
        </w:trPr>
        <w:tc>
          <w:tcPr>
            <w:tcW w:w="64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stockholders' equity</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227,408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143,287</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1,574,880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1,116,163</w:t>
            </w:r>
          </w:p>
        </w:tc>
      </w:tr>
      <w:tr>
        <w:trPr>
          <w:trHeight w:val="20"/>
        </w:trPr>
        <w:tc>
          <w:tcPr>
            <w:tcW w:w="6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2018, Condensed Consolidated Balance Sheet has been derived from the audited Consolidated Balance Sheet as of that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(in thousands of dollars, except per</w:t>
            </w:r>
          </w:p>
        </w:tc>
        <w:tc>
          <w:tcPr>
            <w:tcW w:w="100" w:type="dxa"/>
            <w:vAlign w:val="bottom"/>
          </w:tcPr>
          <w:p>
            <w:pPr>
              <w:spacing w:after="0"/>
              <w:rPr>
                <w:sz w:val="18"/>
                <w:szCs w:val="18"/>
                <w:color w:val="auto"/>
              </w:rPr>
            </w:pPr>
          </w:p>
        </w:tc>
        <w:tc>
          <w:tcPr>
            <w:tcW w:w="288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(in thousands of dollars, except per</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6"/>
          </w:tcPr>
          <w:p>
            <w:pPr>
              <w:jc w:val="center"/>
              <w:ind w:right="460"/>
              <w:spacing w:after="0"/>
              <w:rPr>
                <w:sz w:val="20"/>
                <w:szCs w:val="20"/>
                <w:color w:val="auto"/>
              </w:rPr>
            </w:pPr>
            <w:r>
              <w:rPr>
                <w:rFonts w:ascii="Arial" w:cs="Arial" w:eastAsia="Arial" w:hAnsi="Arial"/>
                <w:sz w:val="18"/>
                <w:szCs w:val="18"/>
                <w:color w:val="auto"/>
                <w:w w:val="87"/>
              </w:rPr>
              <w:t>share data)</w:t>
            </w:r>
          </w:p>
        </w:tc>
        <w:tc>
          <w:tcPr>
            <w:tcW w:w="100" w:type="dxa"/>
            <w:vAlign w:val="bottom"/>
          </w:tcPr>
          <w:p>
            <w:pPr>
              <w:spacing w:after="0"/>
              <w:rPr>
                <w:sz w:val="19"/>
                <w:szCs w:val="19"/>
                <w:color w:val="auto"/>
              </w:rPr>
            </w:pPr>
          </w:p>
        </w:tc>
        <w:tc>
          <w:tcPr>
            <w:tcW w:w="2880" w:type="dxa"/>
            <w:vAlign w:val="bottom"/>
            <w:gridSpan w:val="6"/>
          </w:tcPr>
          <w:p>
            <w:pPr>
              <w:jc w:val="center"/>
              <w:ind w:right="240"/>
              <w:spacing w:after="0"/>
              <w:rPr>
                <w:sz w:val="20"/>
                <w:szCs w:val="20"/>
                <w:color w:val="auto"/>
              </w:rPr>
            </w:pPr>
            <w:r>
              <w:rPr>
                <w:rFonts w:ascii="Arial" w:cs="Arial" w:eastAsia="Arial" w:hAnsi="Arial"/>
                <w:sz w:val="18"/>
                <w:szCs w:val="18"/>
                <w:color w:val="auto"/>
                <w:w w:val="87"/>
              </w:rPr>
              <w:t>share data)</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6"/>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9"/>
                <w:szCs w:val="19"/>
                <w:color w:val="auto"/>
              </w:rPr>
            </w:pPr>
          </w:p>
        </w:tc>
        <w:tc>
          <w:tcPr>
            <w:tcW w:w="2880" w:type="dxa"/>
            <w:vAlign w:val="bottom"/>
            <w:gridSpan w:val="6"/>
          </w:tcPr>
          <w:p>
            <w:pPr>
              <w:jc w:val="center"/>
              <w:ind w:right="24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September 30,</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10,725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46,605</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80"/>
              <w:spacing w:after="0"/>
              <w:rPr>
                <w:sz w:val="20"/>
                <w:szCs w:val="20"/>
                <w:color w:val="auto"/>
              </w:rPr>
            </w:pPr>
            <w:r>
              <w:rPr>
                <w:rFonts w:ascii="Arial" w:cs="Arial" w:eastAsia="Arial" w:hAnsi="Arial"/>
                <w:sz w:val="18"/>
                <w:szCs w:val="18"/>
                <w:color w:val="auto"/>
              </w:rPr>
              <w:t>agreements to repurchase</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Borrowed funds</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Provision for Loan Losses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service fees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Other service charges and fees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loans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Net gain (loss) on sale of available-for-sale securities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noninterest income</w:t>
            </w: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and wages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occupancy expense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Furniture and equipment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Data processing</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Franchise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ATM expense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sale of other assets owned</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FDIC assessment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Consulting fees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3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Dividends Declared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right="5140"/>
        <w:spacing w:after="0" w:line="264"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(in thousands of dollars)</w:t>
            </w:r>
          </w:p>
        </w:tc>
        <w:tc>
          <w:tcPr>
            <w:tcW w:w="120" w:type="dxa"/>
            <w:vAlign w:val="bottom"/>
          </w:tcPr>
          <w:p>
            <w:pPr>
              <w:spacing w:after="0"/>
              <w:rPr>
                <w:sz w:val="19"/>
                <w:szCs w:val="19"/>
                <w:color w:val="auto"/>
              </w:rPr>
            </w:pPr>
          </w:p>
        </w:tc>
        <w:tc>
          <w:tcPr>
            <w:tcW w:w="2820" w:type="dxa"/>
            <w:vAlign w:val="bottom"/>
            <w:gridSpan w:val="5"/>
          </w:tcPr>
          <w:p>
            <w:pPr>
              <w:jc w:val="right"/>
              <w:ind w:right="550"/>
              <w:spacing w:after="0"/>
              <w:rPr>
                <w:sz w:val="20"/>
                <w:szCs w:val="20"/>
                <w:color w:val="auto"/>
              </w:rPr>
            </w:pPr>
            <w:r>
              <w:rPr>
                <w:rFonts w:ascii="Arial" w:cs="Arial" w:eastAsia="Arial" w:hAnsi="Arial"/>
                <w:sz w:val="18"/>
                <w:szCs w:val="18"/>
                <w:color w:val="auto"/>
              </w:rPr>
              <w:t>(in thousands of dollars)</w:t>
            </w:r>
          </w:p>
        </w:tc>
      </w:tr>
      <w:tr>
        <w:trPr>
          <w:trHeight w:val="230"/>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20" w:type="dxa"/>
            <w:vAlign w:val="bottom"/>
            <w:gridSpan w:val="5"/>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88"/>
              </w:rPr>
              <w:t>September 30,</w:t>
            </w:r>
          </w:p>
        </w:tc>
      </w:tr>
      <w:tr>
        <w:trPr>
          <w:trHeight w:val="230"/>
        </w:trPr>
        <w:tc>
          <w:tcPr>
            <w:tcW w:w="54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13,679</w:t>
            </w:r>
          </w:p>
        </w:tc>
        <w:tc>
          <w:tcPr>
            <w:tcW w:w="1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11,756</w:t>
            </w:r>
          </w:p>
        </w:tc>
      </w:t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w:t>
            </w:r>
          </w:p>
        </w:tc>
      </w:tr>
      <w:tr>
        <w:trPr>
          <w:trHeight w:val="215"/>
        </w:trPr>
        <w:tc>
          <w:tcPr>
            <w:tcW w:w="5460" w:type="dxa"/>
            <w:vAlign w:val="bottom"/>
          </w:tcPr>
          <w:p>
            <w:pPr>
              <w:ind w:left="260"/>
              <w:spacing w:after="0"/>
              <w:rPr>
                <w:sz w:val="20"/>
                <w:szCs w:val="20"/>
                <w:color w:val="auto"/>
              </w:rPr>
            </w:pPr>
            <w:r>
              <w:rPr>
                <w:rFonts w:ascii="Arial" w:cs="Arial" w:eastAsia="Arial" w:hAnsi="Arial"/>
                <w:sz w:val="18"/>
                <w:szCs w:val="18"/>
                <w:color w:val="auto"/>
              </w:rPr>
              <w:t>Reclassification adjustment for (gain) loss on sale of</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available-for-sale securities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5,677</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r>
      <w:tr>
        <w:trPr>
          <w:trHeight w:val="230"/>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 (benefit)</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4,485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18,164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9,037</w:t>
            </w: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60" w:right="3540" w:hanging="1350"/>
        <w:spacing w:after="0" w:line="778" w:lineRule="auto"/>
        <w:tabs>
          <w:tab w:leader="none" w:pos="440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404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NINE MONTHS ENDED SEPTEMBER 30, 2018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6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86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Common</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Treasury</w:t>
            </w:r>
          </w:p>
        </w:tc>
        <w:tc>
          <w:tcPr>
            <w:tcW w:w="8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86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Stock</w:t>
            </w:r>
          </w:p>
        </w:tc>
        <w:tc>
          <w:tcPr>
            <w:tcW w:w="8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Earnings</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 January 1, 2018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9,265,880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136,547</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134,107</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(1,952)</w:t>
            </w: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Adoption of ASU 2018-02</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Issuance of 100 shares of restricted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Cash dividends declared - $0.13 per share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(1,193)</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2018</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9,265,980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(12,158)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139,483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w:t>
            </w: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Forfeiture of 600 shares of restricted stock</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Cash dividends declared - $0.14 per share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June 30, 2018</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9,265,380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(12,186)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142,330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(495)</w:t>
            </w: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r>
      <w:tr>
        <w:trPr>
          <w:trHeight w:val="215"/>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32,900 shares of restricted stock</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- 2,020)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$0.14 per share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(1,287)</w:t>
            </w: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 September 30,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9,285,261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146,072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139,347</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404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NINE MONTHS ENDED SEPTEMBER 30, 2019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Common</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Treasury</w:t>
            </w:r>
          </w:p>
        </w:tc>
        <w:tc>
          <w:tcPr>
            <w:tcW w:w="8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Stock</w:t>
            </w:r>
          </w:p>
        </w:tc>
        <w:tc>
          <w:tcPr>
            <w:tcW w:w="8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Earnings</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 January 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147,887</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1,830,000  shares  of  common  stock  in</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shd w:val="clear" w:color="auto" w:fill="CFF0FC"/>
          </w:tcPr>
          <w:p>
            <w:pPr>
              <w:spacing w:after="0"/>
              <w:rPr>
                <w:sz w:val="20"/>
                <w:szCs w:val="20"/>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400 shares of restricted stock</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- 2,040)</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$0.15 per share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(1,654)</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 March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11,107,063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81,760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149,466</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216,934</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Forfeiture of 880 shares of restricted stock</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$0.15 per share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(1,655)</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 June 30,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11,106,183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81,955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(12,707)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153,993</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224,047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(6,569)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w:t>
            </w:r>
          </w:p>
        </w:tc>
      </w:tr>
      <w:tr>
        <w:trPr>
          <w:trHeight w:val="215"/>
        </w:trPr>
        <w:tc>
          <w:tcPr>
            <w:tcW w:w="4780" w:type="dxa"/>
            <w:vAlign w:val="bottom"/>
          </w:tcPr>
          <w:p>
            <w:pPr>
              <w:ind w:left="260"/>
              <w:spacing w:after="0"/>
              <w:rPr>
                <w:sz w:val="20"/>
                <w:szCs w:val="20"/>
                <w:color w:val="auto"/>
              </w:rPr>
            </w:pPr>
            <w:r>
              <w:rPr>
                <w:rFonts w:ascii="Arial" w:cs="Arial" w:eastAsia="Arial" w:hAnsi="Arial"/>
                <w:sz w:val="18"/>
                <w:szCs w:val="18"/>
                <w:color w:val="auto"/>
              </w:rPr>
              <w:t>Issuance of 37,700 shares of restricted stock</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80" w:type="dxa"/>
            <w:vAlign w:val="bottom"/>
          </w:tcPr>
          <w:p>
            <w:pPr>
              <w:ind w:left="380"/>
              <w:spacing w:after="0"/>
              <w:rPr>
                <w:sz w:val="20"/>
                <w:szCs w:val="20"/>
                <w:color w:val="auto"/>
              </w:rPr>
            </w:pPr>
            <w:r>
              <w:rPr>
                <w:rFonts w:ascii="Arial" w:cs="Arial" w:eastAsia="Arial" w:hAnsi="Arial"/>
                <w:sz w:val="18"/>
                <w:szCs w:val="18"/>
                <w:color w:val="auto"/>
              </w:rPr>
              <w:t>(Net of Forfeitures - 300)</w:t>
            </w:r>
          </w:p>
        </w:tc>
        <w:tc>
          <w:tcPr>
            <w:tcW w:w="920" w:type="dxa"/>
            <w:vAlign w:val="bottom"/>
          </w:tcPr>
          <w:p>
            <w:pPr>
              <w:jc w:val="right"/>
              <w:spacing w:after="0"/>
              <w:rPr>
                <w:sz w:val="20"/>
                <w:szCs w:val="20"/>
                <w:color w:val="auto"/>
              </w:rPr>
            </w:pPr>
            <w:r>
              <w:rPr>
                <w:rFonts w:ascii="Arial" w:cs="Arial" w:eastAsia="Arial" w:hAnsi="Arial"/>
                <w:sz w:val="18"/>
                <w:szCs w:val="18"/>
                <w:color w:val="auto"/>
              </w:rPr>
              <w:t>37,400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Cash dividends declared - $0.15 per share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(1,657)</w:t>
            </w: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September 30,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11,137,014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157,126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right="536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gridSpan w:val="6"/>
          </w:tcPr>
          <w:p>
            <w:pPr>
              <w:jc w:val="right"/>
              <w:ind w:right="1320"/>
              <w:spacing w:after="0"/>
              <w:rPr>
                <w:sz w:val="20"/>
                <w:szCs w:val="20"/>
                <w:color w:val="auto"/>
              </w:rPr>
            </w:pPr>
            <w:r>
              <w:rPr>
                <w:rFonts w:ascii="Arial" w:cs="Arial" w:eastAsia="Arial" w:hAnsi="Arial"/>
                <w:sz w:val="18"/>
                <w:szCs w:val="18"/>
                <w:color w:val="auto"/>
              </w:rPr>
              <w:t>(in thousands of dollars)</w:t>
            </w:r>
          </w:p>
        </w:tc>
      </w:tr>
      <w:tr>
        <w:trPr>
          <w:trHeight w:val="230"/>
        </w:trPr>
        <w:tc>
          <w:tcPr>
            <w:tcW w:w="6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gridSpan w:val="6"/>
          </w:tcPr>
          <w:p>
            <w:pPr>
              <w:jc w:val="right"/>
              <w:ind w:right="1460"/>
              <w:spacing w:after="0"/>
              <w:rPr>
                <w:sz w:val="20"/>
                <w:szCs w:val="20"/>
                <w:color w:val="auto"/>
              </w:rPr>
            </w:pPr>
            <w:r>
              <w:rPr>
                <w:rFonts w:ascii="Arial" w:cs="Arial" w:eastAsia="Arial" w:hAnsi="Arial"/>
                <w:sz w:val="18"/>
                <w:szCs w:val="18"/>
                <w:color w:val="auto"/>
              </w:rPr>
              <w:t>Nine Months Ended</w:t>
            </w:r>
          </w:p>
        </w:tc>
      </w:tr>
      <w:tr>
        <w:trPr>
          <w:trHeight w:val="230"/>
        </w:trPr>
        <w:tc>
          <w:tcPr>
            <w:tcW w:w="6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ind w:left="80"/>
              <w:spacing w:after="0"/>
              <w:rPr>
                <w:sz w:val="20"/>
                <w:szCs w:val="20"/>
                <w:color w:val="auto"/>
              </w:rPr>
            </w:pPr>
            <w:r>
              <w:rPr>
                <w:rFonts w:ascii="Arial" w:cs="Arial" w:eastAsia="Arial" w:hAnsi="Arial"/>
                <w:sz w:val="18"/>
                <w:szCs w:val="18"/>
                <w:color w:val="auto"/>
              </w:rPr>
              <w:t>September 30, 2019</w:t>
            </w:r>
          </w:p>
        </w:tc>
        <w:tc>
          <w:tcPr>
            <w:tcW w:w="18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September 30, 2018</w:t>
            </w:r>
          </w:p>
        </w:tc>
      </w:tr>
      <w:tr>
        <w:trPr>
          <w:trHeight w:val="223"/>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13,679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11,756</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available-for-sale securities, net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amortization (accretion) of fair value adjustments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Originations of loans held for sale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(50,428)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(40,814)</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48,543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39,435</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other assets owned</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(Gain) loss on sales of securities available-for-sale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assets and other liabilities, net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(3,450)</w:t>
            </w:r>
          </w:p>
        </w:tc>
      </w:tr>
      <w:tr>
        <w:trPr>
          <w:trHeight w:val="223"/>
        </w:trPr>
        <w:tc>
          <w:tcPr>
            <w:tcW w:w="632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9,577</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prepayments and calls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11,753</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Sales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6,781</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(44,936)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(9,416)</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Activity in other securities, at cost: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other assets owned</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(2,805)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(1,803)</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Loan originations and principal collections, net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(51,240)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(14,536)</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Acquisition of Limberlost, net of cash received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6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(55,513)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deposits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142,853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9,519</w:t>
            </w:r>
          </w:p>
        </w:tc>
        <w:tc>
          <w:tcPr>
            <w:tcW w:w="120" w:type="dxa"/>
            <w:vAlign w:val="bottom"/>
            <w:shd w:val="clear" w:color="auto" w:fill="CFF0FC"/>
          </w:tcPr>
          <w:p>
            <w:pPr>
              <w:spacing w:after="0"/>
              <w:rPr>
                <w:sz w:val="19"/>
                <w:szCs w:val="19"/>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to repurchase</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(2,125)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(12,469)</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Repayment of FHLB advances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(23,938)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paid on common stock</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(3,670)</w:t>
            </w:r>
          </w:p>
        </w:tc>
      </w:tr>
      <w:tr>
        <w:trPr>
          <w:trHeight w:val="223"/>
        </w:trPr>
        <w:tc>
          <w:tcPr>
            <w:tcW w:w="6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111,724</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(7,110)</w:t>
            </w:r>
          </w:p>
        </w:tc>
        <w:tc>
          <w:tcPr>
            <w:tcW w:w="120" w:type="dxa"/>
            <w:vAlign w:val="bottom"/>
            <w:tcBorders>
              <w:bottom w:val="single" w:sz="8" w:color="CFF0FC"/>
            </w:tcBorders>
          </w:tcPr>
          <w:p>
            <w:pPr>
              <w:spacing w:after="0"/>
              <w:rPr>
                <w:sz w:val="19"/>
                <w:szCs w:val="19"/>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76,227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120" w:type="dxa"/>
            <w:vAlign w:val="bottom"/>
            <w:shd w:val="clear" w:color="auto" w:fill="CFF0FC"/>
          </w:tcPr>
          <w:p>
            <w:pPr>
              <w:spacing w:after="0"/>
              <w:rPr>
                <w:sz w:val="19"/>
                <w:szCs w:val="19"/>
                <w:color w:val="auto"/>
              </w:rPr>
            </w:pPr>
          </w:p>
        </w:tc>
      </w:tr>
      <w:tr>
        <w:trPr>
          <w:trHeight w:val="223"/>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34,467</w:t>
            </w:r>
          </w:p>
        </w:tc>
        <w:tc>
          <w:tcPr>
            <w:tcW w:w="120" w:type="dxa"/>
            <w:vAlign w:val="bottom"/>
            <w:tcBorders>
              <w:bottom w:val="single" w:sz="8" w:color="CFF0FC"/>
            </w:tcBorders>
          </w:tcPr>
          <w:p>
            <w:pPr>
              <w:spacing w:after="0"/>
              <w:rPr>
                <w:sz w:val="19"/>
                <w:szCs w:val="19"/>
                <w:color w:val="auto"/>
              </w:rPr>
            </w:pPr>
          </w:p>
        </w:tc>
      </w:tr>
      <w:tr>
        <w:trPr>
          <w:trHeight w:val="223"/>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8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114,592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7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7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September 30, 2019</w:t>
            </w:r>
          </w:p>
        </w:tc>
        <w:tc>
          <w:tcPr>
            <w:tcW w:w="34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September 30, 2018</w:t>
            </w: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Cash paid during the year for:</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9,962</w:t>
            </w: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Transfer of loans to other real estate owned</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r>
      <w:tr>
        <w:trPr>
          <w:trHeight w:val="215"/>
        </w:trPr>
        <w:tc>
          <w:tcPr>
            <w:tcW w:w="7080" w:type="dxa"/>
            <w:vAlign w:val="bottom"/>
          </w:tcPr>
          <w:p>
            <w:pPr>
              <w:spacing w:after="0"/>
              <w:rPr>
                <w:sz w:val="20"/>
                <w:szCs w:val="20"/>
                <w:color w:val="auto"/>
              </w:rPr>
            </w:pPr>
            <w:r>
              <w:rPr>
                <w:rFonts w:ascii="Arial" w:cs="Arial" w:eastAsia="Arial" w:hAnsi="Arial"/>
                <w:sz w:val="18"/>
                <w:szCs w:val="18"/>
                <w:color w:val="auto"/>
              </w:rPr>
              <w:t>The Company purchased all of the capital stock of Limberlost for $78,902 on January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2019. In conjunction with the acquisition, liabilities were assumed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assets acquired</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Less: common stock issued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the capital stock</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Liabilities assumed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257,478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60" w:right="3540" w:hanging="1350"/>
        <w:spacing w:after="0" w:line="810" w:lineRule="auto"/>
        <w:tabs>
          <w:tab w:leader="none" w:pos="440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nine months ended September 30, 2019 are not necessarily indicative of the results that are expected for the year ended December 31, 2019. The condensed consolidated balance sheet of the Company as of December 31, 2018,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2018.</w:t>
      </w:r>
    </w:p>
    <w:p>
      <w:pPr>
        <w:spacing w:after="0" w:line="157"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Reclassification</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Certain amounts in the 2018 condensed consolidated financial statements have been reclassified to conform with the 2019 presentation. These reclassifications had no effect on income.</w:t>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225"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will have an opportunity to increase its deposit base and reduce transaction costs. The Company also expects to reduce costs through economies of scale.</w:t>
      </w:r>
    </w:p>
    <w:p>
      <w:pPr>
        <w:spacing w:after="0" w:line="20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2018, the Company incurred $742.1 thousand of third-party acquisition-related costs. The largest portion of the expenses recognized in 2018 related to consulting fees of $340 thousand, other general and administration expenses of $331.5 thousand and data processing expenses of $58.6 thousand. These three categories of expense accounted for 98.4% of the total acquisition expenses impacting the 2018 financial statements of the Company.</w:t>
      </w:r>
    </w:p>
    <w:p>
      <w:pPr>
        <w:spacing w:after="0" w:line="214"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2019, the Company has incurred additional third-party acquisition-related costs of $1.27 million. These expenses are comprised of data processing of $867.6 thousand, employee benefits of $156.6 thousand, ATM expense of $31.4 thousand, consulting fees of $19.3 thousand and other general and administrative expense of $195.4 thousand in the Company’s consolidated statement of income for the nine months ended September 30, 2019.</w:t>
      </w:r>
    </w:p>
    <w:p>
      <w:pPr>
        <w:spacing w:after="0" w:line="133"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is allocated to net tangible and intangible assets based on their current estimated fair values on the date of acquisition. Of the total purchase price of $78.9 million, $3.9 million has been allocated to core deposit intangible included in other assets and will be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80" w:type="dxa"/>
            <w:vAlign w:val="bottom"/>
          </w:tcPr>
          <w:p>
            <w:pPr>
              <w:spacing w:after="0"/>
              <w:rPr>
                <w:sz w:val="20"/>
                <w:szCs w:val="20"/>
                <w:color w:val="auto"/>
              </w:rPr>
            </w:pPr>
          </w:p>
        </w:tc>
        <w:tc>
          <w:tcPr>
            <w:tcW w:w="1940" w:type="dxa"/>
            <w:vAlign w:val="bottom"/>
            <w:gridSpan w:val="6"/>
            <w:vMerge w:val="restart"/>
          </w:tcPr>
          <w:p>
            <w:pPr>
              <w:ind w:left="3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spacing w:after="0" w:line="189" w:lineRule="exact"/>
              <w:rPr>
                <w:sz w:val="20"/>
                <w:szCs w:val="20"/>
                <w:color w:val="auto"/>
              </w:rPr>
            </w:pPr>
            <w:r>
              <w:rPr>
                <w:rFonts w:ascii="Arial" w:cs="Arial" w:eastAsia="Arial" w:hAnsi="Arial"/>
                <w:sz w:val="18"/>
                <w:szCs w:val="18"/>
                <w:color w:val="auto"/>
              </w:rPr>
              <w:t>Common Shares (1,830,000 shares)</w:t>
            </w:r>
          </w:p>
        </w:tc>
        <w:tc>
          <w:tcPr>
            <w:tcW w:w="80" w:type="dxa"/>
            <w:vAlign w:val="bottom"/>
          </w:tcPr>
          <w:p>
            <w:pPr>
              <w:spacing w:after="0"/>
              <w:rPr>
                <w:sz w:val="16"/>
                <w:szCs w:val="16"/>
                <w:color w:val="auto"/>
              </w:rPr>
            </w:pPr>
          </w:p>
        </w:tc>
        <w:tc>
          <w:tcPr>
            <w:tcW w:w="184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auto"/>
              </w:rPr>
              <w:t>70,437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FF0FC"/>
            </w:tcBorders>
            <w:gridSpan w:val="2"/>
            <w:shd w:val="clear" w:color="auto" w:fill="CFF0FC"/>
          </w:tcPr>
          <w:p>
            <w:pPr>
              <w:spacing w:after="0"/>
              <w:rPr>
                <w:sz w:val="18"/>
                <w:szCs w:val="18"/>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78,902</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6,376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80" w:type="dxa"/>
            <w:vAlign w:val="bottom"/>
            <w:shd w:val="clear" w:color="auto" w:fill="CFF0FC"/>
          </w:tcPr>
          <w:p>
            <w:pPr>
              <w:spacing w:after="0"/>
              <w:rPr>
                <w:sz w:val="19"/>
                <w:szCs w:val="19"/>
                <w:color w:val="auto"/>
              </w:rPr>
            </w:pPr>
          </w:p>
        </w:tc>
        <w:tc>
          <w:tcPr>
            <w:tcW w:w="18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17,494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8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80" w:type="dxa"/>
            <w:vAlign w:val="bottom"/>
            <w:shd w:val="clear" w:color="auto" w:fill="CFF0FC"/>
          </w:tcPr>
          <w:p>
            <w:pPr>
              <w:spacing w:after="0"/>
              <w:rPr>
                <w:sz w:val="19"/>
                <w:szCs w:val="19"/>
                <w:color w:val="auto"/>
              </w:rPr>
            </w:pP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257,183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Premises and equipment</w:t>
            </w:r>
          </w:p>
        </w:tc>
        <w:tc>
          <w:tcPr>
            <w:tcW w:w="8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FF0FC"/>
          </w:tcPr>
          <w:p>
            <w:pPr>
              <w:spacing w:after="0"/>
              <w:rPr>
                <w:sz w:val="19"/>
                <w:szCs w:val="19"/>
                <w:color w:val="auto"/>
              </w:rPr>
            </w:pPr>
          </w:p>
        </w:tc>
        <w:tc>
          <w:tcPr>
            <w:tcW w:w="18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43,266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6"/>
                <w:szCs w:val="16"/>
                <w:color w:val="auto"/>
              </w:rPr>
            </w:pPr>
          </w:p>
        </w:tc>
        <w:tc>
          <w:tcPr>
            <w:tcW w:w="18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7,176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336,380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Noninterest bearing</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480"/>
              <w:spacing w:after="0" w:line="189" w:lineRule="exact"/>
              <w:rPr>
                <w:sz w:val="20"/>
                <w:szCs w:val="20"/>
                <w:color w:val="auto"/>
              </w:rPr>
            </w:pPr>
            <w:r>
              <w:rPr>
                <w:rFonts w:ascii="Arial" w:cs="Arial" w:eastAsia="Arial" w:hAnsi="Arial"/>
                <w:sz w:val="18"/>
                <w:szCs w:val="18"/>
                <w:color w:val="auto"/>
              </w:rPr>
              <w:t>Interest bearing</w:t>
            </w:r>
          </w:p>
        </w:tc>
        <w:tc>
          <w:tcPr>
            <w:tcW w:w="80" w:type="dxa"/>
            <w:vAlign w:val="bottom"/>
          </w:tcPr>
          <w:p>
            <w:pPr>
              <w:spacing w:after="0"/>
              <w:rPr>
                <w:sz w:val="16"/>
                <w:szCs w:val="16"/>
                <w:color w:val="auto"/>
              </w:rPr>
            </w:pPr>
          </w:p>
        </w:tc>
        <w:tc>
          <w:tcPr>
            <w:tcW w:w="18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168,312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FF0FC"/>
          </w:tcPr>
          <w:p>
            <w:pPr>
              <w:spacing w:after="0"/>
              <w:rPr>
                <w:sz w:val="19"/>
                <w:szCs w:val="19"/>
                <w:color w:val="auto"/>
              </w:rPr>
            </w:pP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206,134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Federal Home Loan Bank (FHLB) advances</w:t>
            </w:r>
          </w:p>
        </w:tc>
        <w:tc>
          <w:tcPr>
            <w:tcW w:w="80" w:type="dxa"/>
            <w:vAlign w:val="bottom"/>
          </w:tcPr>
          <w:p>
            <w:pPr>
              <w:spacing w:after="0"/>
              <w:rPr>
                <w:sz w:val="19"/>
                <w:szCs w:val="19"/>
                <w:color w:val="auto"/>
              </w:rPr>
            </w:pPr>
          </w:p>
        </w:tc>
        <w:tc>
          <w:tcPr>
            <w:tcW w:w="1840" w:type="dxa"/>
            <w:vAlign w:val="bottom"/>
            <w:gridSpan w:val="5"/>
          </w:tcPr>
          <w:p>
            <w:pPr>
              <w:jc w:val="right"/>
              <w:ind w:right="20"/>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Assumed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257,478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fair value of the assets acquired includes loans with a fair value of $257.2 million. The gross principal and contractual interest due under the contracts is $359.2 million, of which $4.7 million is expected to be uncollectible. The loans have a weighted average life of 70 months.</w:t>
      </w:r>
    </w:p>
    <w:p>
      <w:pPr>
        <w:spacing w:after="0" w:line="9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$1.2 million and will be amortized based on the remaining life of each building. The combined average remaining life is 16.75 years.</w:t>
      </w:r>
    </w:p>
    <w:p>
      <w:pPr>
        <w:spacing w:after="0" w:line="116"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fair value for certificates of deposit incorporates a valuation amount of $0.5 million which will be amortized over 1.5 years. The fair value of Federal Home Loan Bank (FHLB) advances includes a valuation amount of $1.3 million which will be amortized over 2.3 years.</w:t>
      </w:r>
    </w:p>
    <w:p>
      <w:pPr>
        <w:spacing w:after="0" w:line="9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1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13" w:lineRule="exact"/>
        <w:rPr>
          <w:sz w:val="20"/>
          <w:szCs w:val="20"/>
          <w:color w:val="auto"/>
        </w:rPr>
      </w:pPr>
    </w:p>
    <w:p>
      <w:pPr>
        <w:ind w:left="760"/>
        <w:spacing w:after="0" w:line="258" w:lineRule="auto"/>
        <w:rPr>
          <w:sz w:val="20"/>
          <w:szCs w:val="20"/>
          <w:color w:val="auto"/>
        </w:rPr>
      </w:pPr>
      <w:r>
        <w:rPr>
          <w:rFonts w:ascii="Arial" w:cs="Arial" w:eastAsia="Arial" w:hAnsi="Arial"/>
          <w:sz w:val="18"/>
          <w:szCs w:val="18"/>
          <w:color w:val="auto"/>
        </w:rPr>
        <w:t>The carrying amount of those loans is included in loans, net on the balance sheet at September 30, 2019. The amounts of loans at September 30, 2019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jc w:val="right"/>
              <w:ind w:right="10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2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2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2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2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Carrying amount, net of fair value adjustment of $2,118</w:t>
            </w:r>
          </w:p>
        </w:tc>
        <w:tc>
          <w:tcPr>
            <w:tcW w:w="2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Balance - September 30, 2019</w:t>
            </w:r>
          </w:p>
        </w:tc>
        <w:tc>
          <w:tcPr>
            <w:tcW w:w="2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2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2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2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Carrying amount, net of fair value adjustment of $63</w:t>
            </w:r>
          </w:p>
        </w:tc>
        <w:tc>
          <w:tcPr>
            <w:tcW w:w="2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Loans acquired during 2019 for which it was probable at acquisition that all contractually required payments would not be collected are as follows:</w:t>
      </w:r>
    </w:p>
    <w:p>
      <w:pPr>
        <w:spacing w:after="0" w:line="46"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9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9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required payments receivable</w:t>
            </w: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Cash flows expected to be collected at acquisition</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Basis in acquired loans at acquisition</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760"/>
        <w:spacing w:after="0" w:line="302" w:lineRule="auto"/>
        <w:rPr>
          <w:sz w:val="20"/>
          <w:szCs w:val="20"/>
          <w:color w:val="auto"/>
        </w:rPr>
      </w:pPr>
      <w:r>
        <w:rPr>
          <w:rFonts w:ascii="Arial" w:cs="Arial" w:eastAsia="Arial" w:hAnsi="Arial"/>
          <w:sz w:val="16"/>
          <w:szCs w:val="16"/>
          <w:color w:val="auto"/>
        </w:rPr>
        <w:t>During the second quarter, two commercial purchased credit-impaired loans were paid off in full after the customer was able to secure financing at another financial institution. The associated credit loss of $1.985 million has been included in loan interest income in the Company’s consolidated statement of income for the nine months ended September 30, 2019. The balance of the fair value adjustment for loans acquired and accounted for under this guidance (ASC 310-30) was $63 thousand at September 30, 2019 and $2.118 million on January 1, 2019, respectively.</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1"/>
              </w:rPr>
              <w:t>Nine Months Ended</w:t>
            </w:r>
          </w:p>
        </w:tc>
        <w:tc>
          <w:tcPr>
            <w:tcW w:w="120" w:type="dxa"/>
            <w:vAlign w:val="bottom"/>
          </w:tcPr>
          <w:p>
            <w:pPr>
              <w:spacing w:after="0"/>
              <w:rPr>
                <w:sz w:val="19"/>
                <w:szCs w:val="19"/>
                <w:color w:val="auto"/>
              </w:rPr>
            </w:pPr>
          </w:p>
        </w:tc>
      </w:tr>
      <w:tr>
        <w:trPr>
          <w:trHeight w:val="230"/>
        </w:trPr>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September 30, 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 2019</w:t>
            </w:r>
          </w:p>
        </w:tc>
      </w:tr>
      <w:tr>
        <w:trPr>
          <w:trHeight w:val="223"/>
        </w:trPr>
        <w:tc>
          <w:tcPr>
            <w:tcW w:w="69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w:t>
            </w:r>
          </w:p>
        </w:tc>
        <w:tc>
          <w:tcPr>
            <w:tcW w:w="18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(2,316)</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Reclassification from nonaccretable difference</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Disposals</w:t>
            </w:r>
          </w:p>
        </w:tc>
        <w:tc>
          <w:tcPr>
            <w:tcW w:w="18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results of operations of Bank of Geneva have been included in the Company’s consolidated financial statements since the acquisition date of January 1, 2019. The following schedule includes pro-forma results for the three and nine months ended September 30, 2019 and 2018 as if the Bank of Geneva acquisitions had occurred as of the beginning of the comparable prior reporting period.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89"/>
              </w:rPr>
              <w:t>(in thousands of dollars, except per</w:t>
            </w:r>
          </w:p>
        </w:tc>
        <w:tc>
          <w:tcPr>
            <w:tcW w:w="120" w:type="dxa"/>
            <w:vAlign w:val="bottom"/>
          </w:tcPr>
          <w:p>
            <w:pPr>
              <w:spacing w:after="0"/>
              <w:rPr>
                <w:sz w:val="18"/>
                <w:szCs w:val="18"/>
                <w:color w:val="auto"/>
              </w:rPr>
            </w:pPr>
          </w:p>
        </w:tc>
        <w:tc>
          <w:tcPr>
            <w:tcW w:w="28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(in thousands of dollars, except per</w:t>
            </w: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87"/>
              </w:rPr>
              <w:t>share data)</w:t>
            </w:r>
          </w:p>
        </w:tc>
        <w:tc>
          <w:tcPr>
            <w:tcW w:w="120" w:type="dxa"/>
            <w:vAlign w:val="bottom"/>
          </w:tcPr>
          <w:p>
            <w:pPr>
              <w:spacing w:after="0"/>
              <w:rPr>
                <w:sz w:val="19"/>
                <w:szCs w:val="19"/>
                <w:color w:val="auto"/>
              </w:rPr>
            </w:pPr>
          </w:p>
        </w:tc>
        <w:tc>
          <w:tcPr>
            <w:tcW w:w="2880" w:type="dxa"/>
            <w:vAlign w:val="bottom"/>
            <w:gridSpan w:val="6"/>
          </w:tcPr>
          <w:p>
            <w:pPr>
              <w:jc w:val="center"/>
              <w:ind w:right="260"/>
              <w:spacing w:after="0"/>
              <w:rPr>
                <w:sz w:val="20"/>
                <w:szCs w:val="20"/>
                <w:color w:val="auto"/>
              </w:rPr>
            </w:pPr>
            <w:r>
              <w:rPr>
                <w:rFonts w:ascii="Arial" w:cs="Arial" w:eastAsia="Arial" w:hAnsi="Arial"/>
                <w:sz w:val="18"/>
                <w:szCs w:val="18"/>
                <w:color w:val="auto"/>
                <w:w w:val="85"/>
              </w:rPr>
              <w:t>share data)</w:t>
            </w: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80" w:type="dxa"/>
            <w:vAlign w:val="bottom"/>
            <w:gridSpan w:val="6"/>
          </w:tcPr>
          <w:p>
            <w:pPr>
              <w:jc w:val="center"/>
              <w:ind w:right="260"/>
              <w:spacing w:after="0"/>
              <w:rPr>
                <w:sz w:val="20"/>
                <w:szCs w:val="20"/>
                <w:color w:val="auto"/>
              </w:rPr>
            </w:pPr>
            <w:r>
              <w:rPr>
                <w:rFonts w:ascii="Arial" w:cs="Arial" w:eastAsia="Arial" w:hAnsi="Arial"/>
                <w:sz w:val="18"/>
                <w:szCs w:val="18"/>
                <w:color w:val="auto"/>
                <w:w w:val="92"/>
              </w:rPr>
              <w:t>Nine Months Ended</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r>
      <w:tr>
        <w:trPr>
          <w:trHeight w:val="230"/>
        </w:trPr>
        <w:tc>
          <w:tcPr>
            <w:tcW w:w="5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Summary of Operations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40,211</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40,916</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40,442</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8,585</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9,810</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28,529</w:t>
            </w:r>
          </w:p>
        </w:tc>
        <w:tc>
          <w:tcPr>
            <w:tcW w:w="12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20,498</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3,686</w:t>
            </w:r>
          </w:p>
        </w:tc>
        <w:tc>
          <w:tcPr>
            <w:tcW w:w="120" w:type="dxa"/>
            <w:vAlign w:val="bottom"/>
            <w:shd w:val="clear" w:color="auto" w:fill="CFF0FC"/>
          </w:tcPr>
          <w:p>
            <w:pPr>
              <w:spacing w:after="0"/>
              <w:rPr>
                <w:sz w:val="19"/>
                <w:szCs w:val="19"/>
                <w:color w:val="auto"/>
              </w:rPr>
            </w:pPr>
          </w:p>
        </w:tc>
      </w:tr>
      <w:tr>
        <w:trPr>
          <w:trHeight w:val="26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14,696</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16,812</w:t>
            </w:r>
          </w:p>
        </w:tc>
        <w:tc>
          <w:tcPr>
            <w:tcW w:w="120" w:type="dxa"/>
            <w:vAlign w:val="bottom"/>
            <w:tcBorders>
              <w:bottom w:val="single" w:sz="8" w:color="CFF0FC"/>
            </w:tcBorders>
          </w:tcPr>
          <w:p>
            <w:pPr>
              <w:spacing w:after="0"/>
              <w:rPr>
                <w:sz w:val="22"/>
                <w:szCs w:val="22"/>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right="20"/>
        <w:spacing w:after="0" w:line="312" w:lineRule="auto"/>
        <w:rPr>
          <w:sz w:val="20"/>
          <w:szCs w:val="20"/>
          <w:color w:val="auto"/>
        </w:rPr>
      </w:pPr>
      <w:r>
        <w:rPr>
          <w:rFonts w:ascii="Arial" w:cs="Arial" w:eastAsia="Arial" w:hAnsi="Arial"/>
          <w:sz w:val="16"/>
          <w:szCs w:val="16"/>
          <w:color w:val="auto"/>
        </w:rPr>
        <w:t>The pro-forma information includes adjustments for interest income on loans, amortization of intangibles arising from the transaction, interest expense on deposits acquired, premises expense for the branches acquired and the related income tax effects. The pro-forma information for the quarter ended September 30, 2019 includes approximately $5.5 million, net of tax, of operating revenue from Bank of Geneva since acquisition.</w:t>
      </w:r>
    </w:p>
    <w:p>
      <w:pPr>
        <w:spacing w:after="0" w:line="174" w:lineRule="exact"/>
        <w:rPr>
          <w:sz w:val="20"/>
          <w:szCs w:val="20"/>
          <w:color w:val="auto"/>
        </w:rPr>
      </w:pPr>
    </w:p>
    <w:p>
      <w:pPr>
        <w:jc w:val="both"/>
        <w:ind w:left="760" w:right="40"/>
        <w:spacing w:after="0" w:line="308" w:lineRule="auto"/>
        <w:rPr>
          <w:sz w:val="20"/>
          <w:szCs w:val="20"/>
          <w:color w:val="auto"/>
        </w:rPr>
      </w:pPr>
      <w:r>
        <w:rPr>
          <w:rFonts w:ascii="Arial" w:cs="Arial" w:eastAsia="Arial" w:hAnsi="Arial"/>
          <w:sz w:val="17"/>
          <w:szCs w:val="17"/>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74"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9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life of 7 years on a straight line basis.</w:t>
      </w:r>
    </w:p>
    <w:p>
      <w:pPr>
        <w:spacing w:after="0" w:line="197"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The amortization expense for the nine months ended September 30, 2018 was $126 thousand. Of the $727 thousand to be expensed in 2019, $546 thousand has been expensed for the nine months ended September 30, 2019. Future amortization of core deposit intangible assets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w w:val="90"/>
              </w:rPr>
              <w:t>(In Thousands)</w:t>
            </w:r>
          </w:p>
        </w:tc>
        <w:tc>
          <w:tcPr>
            <w:tcW w:w="230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Custar</w:t>
            </w:r>
          </w:p>
        </w:tc>
        <w:tc>
          <w:tcPr>
            <w:tcW w:w="1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Geneva</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2019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2020</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2023</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2025</w:t>
            </w: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750"/>
        </w:trPr>
        <w:tc>
          <w:tcPr>
            <w:tcW w:w="2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September 30, 2019 and December 31, 2018,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8"/>
                <w:szCs w:val="18"/>
                <w:color w:val="auto"/>
                <w:w w:val="88"/>
              </w:rPr>
              <w:t>September 30, 2019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3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3"/>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70"/>
              <w:spacing w:after="0"/>
              <w:rPr>
                <w:sz w:val="20"/>
                <w:szCs w:val="20"/>
                <w:color w:val="auto"/>
              </w:rPr>
            </w:pPr>
            <w:r>
              <w:rPr>
                <w:rFonts w:ascii="Arial" w:cs="Arial" w:eastAsia="Arial" w:hAnsi="Arial"/>
                <w:sz w:val="18"/>
                <w:szCs w:val="18"/>
                <w:color w:val="auto"/>
                <w:w w:val="90"/>
              </w:rPr>
              <w:t>Fair</w:t>
            </w:r>
          </w:p>
        </w:tc>
      </w:tr>
      <w:tr>
        <w:trPr>
          <w:trHeight w:val="230"/>
        </w:trPr>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Cost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6"/>
              </w:rPr>
              <w:t>Value</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14,029</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14,009</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79,130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80,043</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57,180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57,461</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38,952</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188,604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190,465</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9"/>
        </w:trPr>
        <w:tc>
          <w:tcPr>
            <w:tcW w:w="3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88"/>
              </w:rPr>
              <w:t>December 31, 2018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3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3"/>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r>
      <w:tr>
        <w:trPr>
          <w:trHeight w:val="230"/>
        </w:trPr>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Cost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Losses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60" w:type="dxa"/>
            <w:vAlign w:val="bottom"/>
            <w:gridSpan w:val="3"/>
          </w:tcPr>
          <w:p>
            <w:pPr>
              <w:ind w:left="14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23,078</w:t>
            </w:r>
          </w:p>
        </w:tc>
        <w:tc>
          <w:tcPr>
            <w:tcW w:w="220" w:type="dxa"/>
            <w:vAlign w:val="bottom"/>
            <w:gridSpan w:val="4"/>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34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22,830</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71,235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69,327</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36,262</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40,608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40,028</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80" w:type="dxa"/>
            <w:vAlign w:val="bottom"/>
            <w:gridSpan w:val="2"/>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172,263</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(4,111)</w:t>
            </w: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168,447</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80" w:hanging="759"/>
        <w:spacing w:after="0" w:line="250"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80" w:hanging="759"/>
        <w:spacing w:after="0"/>
        <w:tabs>
          <w:tab w:leader="none" w:pos="2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20" w:lineRule="exact"/>
        <w:rPr>
          <w:rFonts w:ascii="Arial" w:cs="Arial" w:eastAsia="Arial" w:hAnsi="Arial"/>
          <w:sz w:val="17"/>
          <w:szCs w:val="17"/>
          <w:color w:val="auto"/>
        </w:rPr>
      </w:pPr>
    </w:p>
    <w:p>
      <w:pPr>
        <w:ind w:left="2280" w:hanging="759"/>
        <w:spacing w:after="0" w:line="261"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2019 and December 31, 2018,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8"/>
              </w:rPr>
              <w:t>September 30, 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w w:val="92"/>
              </w:rPr>
              <w:t>Less Than Twelve Months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94"/>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r>
      <w:tr>
        <w:trPr>
          <w:trHeight w:val="209"/>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210"/>
              <w:spacing w:after="0"/>
              <w:rPr>
                <w:sz w:val="20"/>
                <w:szCs w:val="20"/>
                <w:color w:val="auto"/>
              </w:rPr>
            </w:pPr>
            <w:r>
              <w:rPr>
                <w:rFonts w:ascii="Arial" w:cs="Arial" w:eastAsia="Arial" w:hAnsi="Arial"/>
                <w:sz w:val="18"/>
                <w:szCs w:val="18"/>
                <w:color w:val="auto"/>
                <w:w w:val="90"/>
              </w:rPr>
              <w:t>Fair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r>
      <w:tr>
        <w:trPr>
          <w:trHeight w:val="230"/>
        </w:trPr>
        <w:tc>
          <w:tcPr>
            <w:tcW w:w="30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Losses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4"/>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12,015</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13,720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13,720</w:t>
            </w: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16,811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24,910</w:t>
            </w:r>
          </w:p>
        </w:tc>
      </w:tr>
      <w:tr>
        <w:trPr>
          <w:trHeight w:val="23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3,525</w:t>
            </w:r>
          </w:p>
        </w:tc>
      </w:tr>
      <w:tr>
        <w:trPr>
          <w:trHeight w:val="223"/>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10,524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43,646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54,170</w:t>
            </w:r>
          </w:p>
        </w:tc>
      </w:tr>
      <w:tr>
        <w:trPr>
          <w:trHeight w:val="20"/>
        </w:trPr>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53"/>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8"/>
              </w:rPr>
              <w:t>December 31, 2018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3"/>
              </w:rPr>
              <w:t>Less Than Twelve Months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94"/>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r>
      <w:tr>
        <w:trPr>
          <w:trHeight w:val="209"/>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210"/>
              <w:spacing w:after="0"/>
              <w:rPr>
                <w:sz w:val="20"/>
                <w:szCs w:val="20"/>
                <w:color w:val="auto"/>
              </w:rPr>
            </w:pPr>
            <w:r>
              <w:rPr>
                <w:rFonts w:ascii="Arial" w:cs="Arial" w:eastAsia="Arial" w:hAnsi="Arial"/>
                <w:sz w:val="18"/>
                <w:szCs w:val="18"/>
                <w:color w:val="auto"/>
                <w:w w:val="90"/>
              </w:rPr>
              <w:t>Fair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r>
      <w:tr>
        <w:trPr>
          <w:trHeight w:val="230"/>
        </w:trPr>
        <w:tc>
          <w:tcPr>
            <w:tcW w:w="30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Losses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4"/>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20,861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20,861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64,727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64,727</w:t>
            </w: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30,347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31,044</w:t>
            </w:r>
          </w:p>
        </w:tc>
      </w:tr>
      <w:tr>
        <w:trPr>
          <w:trHeight w:val="230"/>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29,413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32,667</w:t>
            </w:r>
          </w:p>
        </w:tc>
      </w:tr>
      <w:tr>
        <w:trPr>
          <w:trHeight w:val="223"/>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3,951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145,348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149,299</w:t>
            </w: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nine months ended September 30, 2019 and September 30, 2018.</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0" w:type="dxa"/>
            <w:vAlign w:val="bottom"/>
            <w:gridSpan w:val="4"/>
          </w:tcPr>
          <w:p>
            <w:pPr>
              <w:jc w:val="right"/>
              <w:ind w:right="285"/>
              <w:spacing w:after="0"/>
              <w:rPr>
                <w:sz w:val="20"/>
                <w:szCs w:val="20"/>
                <w:color w:val="auto"/>
              </w:rPr>
            </w:pPr>
            <w:r>
              <w:rPr>
                <w:rFonts w:ascii="Arial" w:cs="Arial" w:eastAsia="Arial" w:hAnsi="Arial"/>
                <w:sz w:val="18"/>
                <w:szCs w:val="18"/>
                <w:color w:val="auto"/>
              </w:rPr>
              <w:t>Three Months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jc w:val="right"/>
              <w:ind w:right="730"/>
              <w:spacing w:after="0"/>
              <w:rPr>
                <w:sz w:val="20"/>
                <w:szCs w:val="20"/>
                <w:color w:val="auto"/>
              </w:rPr>
            </w:pPr>
            <w:r>
              <w:rPr>
                <w:rFonts w:ascii="Arial" w:cs="Arial" w:eastAsia="Arial" w:hAnsi="Arial"/>
                <w:sz w:val="18"/>
                <w:szCs w:val="18"/>
                <w:color w:val="auto"/>
              </w:rPr>
              <w:t>Nine Months</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8"/>
                <w:szCs w:val="18"/>
                <w:color w:val="auto"/>
              </w:rPr>
              <w:t>(In Thousands)</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1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1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losses</w:t>
            </w:r>
          </w:p>
        </w:tc>
        <w:tc>
          <w:tcPr>
            <w:tcW w:w="1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losses</w:t>
            </w:r>
          </w:p>
        </w:tc>
        <w:tc>
          <w:tcPr>
            <w:tcW w:w="2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net realized losses on sales and related tax expense is a reclassification out of accumulated other comprehensive income (loss). The net realized loss is included in net loss on sale of available-for-sale securities and the related tax expense is included in income taxes in the condensed consolidated statements of income and comprehensive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amortized cost and fair value of debt securities at September 30, 2019,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52,597</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48,433</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133,004</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57,461</w:t>
            </w: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188,604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190,465</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Investments with a carrying value of $89.2 million and $81.8 million at September 30, 2019 and December 31, 2018, respectively, were pledged to secure public deposits and securities sold under repurchase agreements.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Other securities include Federal Home Loan Bank of Cincinnati and Indianapolis stock as of September 30, 2019. As of December 31, 2018, other securities only includes Federal Home Loan Bank of Cincinnati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20" w:right="3540" w:hanging="1310"/>
        <w:spacing w:after="0" w:line="669" w:lineRule="auto"/>
        <w:tabs>
          <w:tab w:leader="none" w:pos="441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246620" cy="77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-178435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NOTE 4 LOANS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960" w:type="dxa"/>
            <w:vAlign w:val="bottom"/>
            <w:gridSpan w:val="3"/>
          </w:tcPr>
          <w:p>
            <w:pPr>
              <w:ind w:left="380"/>
              <w:spacing w:after="0"/>
              <w:rPr>
                <w:sz w:val="20"/>
                <w:szCs w:val="20"/>
                <w:color w:val="auto"/>
              </w:rPr>
            </w:pPr>
            <w:r>
              <w:rPr>
                <w:rFonts w:ascii="Arial" w:cs="Arial" w:eastAsia="Arial" w:hAnsi="Arial"/>
                <w:sz w:val="18"/>
                <w:szCs w:val="18"/>
                <w:color w:val="auto"/>
              </w:rPr>
              <w:t>Loan balances as of September 30, 2019 and December 31, 2018:</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5960" w:type="dxa"/>
            <w:vAlign w:val="bottom"/>
            <w:gridSpan w:val="3"/>
            <w:vMerge w:val="restart"/>
          </w:tcPr>
          <w:p>
            <w:pPr>
              <w:ind w:left="1340"/>
              <w:spacing w:after="0"/>
              <w:rPr>
                <w:sz w:val="20"/>
                <w:szCs w:val="20"/>
                <w:color w:val="auto"/>
              </w:rPr>
            </w:pPr>
            <w:r>
              <w:rPr>
                <w:rFonts w:ascii="Arial" w:cs="Arial" w:eastAsia="Arial" w:hAnsi="Arial"/>
                <w:sz w:val="18"/>
                <w:szCs w:val="18"/>
                <w:color w:val="auto"/>
              </w:rPr>
              <w:t>Loans:</w:t>
            </w:r>
          </w:p>
        </w:tc>
        <w:tc>
          <w:tcPr>
            <w:tcW w:w="8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September 30,</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82"/>
        </w:trPr>
        <w:tc>
          <w:tcPr>
            <w:tcW w:w="59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500" w:type="dxa"/>
            <w:vAlign w:val="bottom"/>
            <w:tcBorders>
              <w:top w:val="single" w:sz="8" w:color="auto"/>
              <w:bottom w:val="single" w:sz="8" w:color="CFF0FC"/>
            </w:tcBorders>
          </w:tcPr>
          <w:p>
            <w:pPr>
              <w:spacing w:after="0"/>
              <w:rPr>
                <w:sz w:val="11"/>
                <w:szCs w:val="11"/>
                <w:color w:val="auto"/>
              </w:rPr>
            </w:pPr>
          </w:p>
        </w:tc>
        <w:tc>
          <w:tcPr>
            <w:tcW w:w="4120" w:type="dxa"/>
            <w:vAlign w:val="bottom"/>
            <w:tcBorders>
              <w:bottom w:val="single" w:sz="8" w:color="CFF0FC"/>
            </w:tcBorders>
          </w:tcPr>
          <w:p>
            <w:pPr>
              <w:spacing w:after="0"/>
              <w:rPr>
                <w:sz w:val="11"/>
                <w:szCs w:val="11"/>
                <w:color w:val="auto"/>
              </w:rPr>
            </w:pPr>
          </w:p>
        </w:tc>
        <w:tc>
          <w:tcPr>
            <w:tcW w:w="80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159,074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200,791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68,609</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110,270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502,137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419,784</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130,150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49,552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41,953</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8,167</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1,160,141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847,289</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1,158,696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846,374</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800" w:type="dxa"/>
            <w:vAlign w:val="bottom"/>
          </w:tcPr>
          <w:p>
            <w:pPr>
              <w:spacing w:after="0"/>
              <w:rPr>
                <w:sz w:val="19"/>
                <w:szCs w:val="19"/>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1,151,937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839,599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 in the Bank’s service area.</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September 30, 2019:</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71,645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94,620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106,171</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70,049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40,221</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323,791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178,346</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76,229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53,921</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45,069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4,483</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8,070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September 30, 2019 and December 31, 2018 one to four family residential mortgage loans amounting to $43.1 million and $14.9 million, respectively, have been pledged as security for future loans and existing loans the Bank has received from the Federal Home Loan Bank.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Unless listed separately, Other loans are included in the Commercial and Industrial category for the remainder of the tables in this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September 30, 2019 and December 31, 2018,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1"/>
              </w:rPr>
              <w:t>30-59</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w w:val="91"/>
              </w:rPr>
              <w:t>60-89</w:t>
            </w:r>
          </w:p>
        </w:tc>
        <w:tc>
          <w:tcPr>
            <w:tcW w:w="100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8"/>
              </w:rPr>
              <w:t>Greater</w:t>
            </w: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80" w:type="dxa"/>
            <w:vAlign w:val="bottom"/>
            <w:tcBorders>
              <w:right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Days Past</w:t>
            </w:r>
          </w:p>
        </w:tc>
        <w:tc>
          <w:tcPr>
            <w:tcW w:w="100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Total Past</w:t>
            </w: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Due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Days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Due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86"/>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157,585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158,458</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200,089</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200,625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109,903</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110,405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501,095</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501,095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137,945</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138,395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49,583</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49,718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8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687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2,496</w:t>
            </w:r>
          </w:p>
        </w:tc>
        <w:tc>
          <w:tcPr>
            <w:tcW w:w="102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0"/>
              </w:rPr>
              <w:t>$ 1,156,200</w:t>
            </w:r>
          </w:p>
        </w:tc>
        <w:tc>
          <w:tcPr>
            <w:tcW w:w="108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$ 1,158,696</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30-59</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Greater</w:t>
            </w: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Total Past</w:t>
            </w: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Days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Due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79,612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80,232</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68,588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68,588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108,616</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108,616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419,131</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419,131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127,752</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127,752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41,938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42,055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8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262</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845,637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846,374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recorded investment in nonaccrual loans by class of loans as of September 30, 2019 and December 31, 2018:</w:t>
      </w: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(In Thousands)</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September 30,</w:t>
            </w:r>
          </w:p>
        </w:tc>
        <w:tc>
          <w:tcPr>
            <w:tcW w:w="1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94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3,275</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future contracts. The risk related to weather is often mitigated by requiring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302"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1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2280" w:hanging="759"/>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2280" w:hanging="759"/>
        <w:spacing w:after="0" w:line="288" w:lineRule="auto"/>
        <w:tabs>
          <w:tab w:leader="none" w:pos="2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2280" w:hanging="759"/>
        <w:spacing w:after="0" w:line="253"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3" w:lineRule="exact"/>
        <w:rPr>
          <w:rFonts w:ascii="Arial" w:cs="Arial" w:eastAsia="Arial" w:hAnsi="Arial"/>
          <w:sz w:val="18"/>
          <w:szCs w:val="18"/>
          <w:color w:val="auto"/>
        </w:rPr>
      </w:pPr>
    </w:p>
    <w:p>
      <w:pPr>
        <w:jc w:val="both"/>
        <w:ind w:left="2280" w:hanging="759"/>
        <w:spacing w:after="0" w:line="265" w:lineRule="auto"/>
        <w:tabs>
          <w:tab w:leader="none" w:pos="2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ind w:left="2300"/>
        <w:spacing w:after="0" w:line="250" w:lineRule="auto"/>
        <w:rPr>
          <w:rFonts w:ascii="Arial" w:cs="Arial" w:eastAsia="Arial" w:hAnsi="Arial"/>
          <w:sz w:val="17"/>
          <w:szCs w:val="17"/>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ind w:left="2300"/>
        <w:spacing w:after="0"/>
        <w:rPr>
          <w:rFonts w:ascii="Arial" w:cs="Arial" w:eastAsia="Arial" w:hAnsi="Arial"/>
          <w:sz w:val="17"/>
          <w:szCs w:val="17"/>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loan-to-value adequate to protect the Bank from loss;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loan exhibited two or more years of satisfactory repayment with a reasonable reduction of the principal balance;</w:t>
      </w:r>
    </w:p>
    <w:p>
      <w:pPr>
        <w:spacing w:after="0" w:line="20" w:lineRule="exact"/>
        <w:rPr>
          <w:rFonts w:ascii="Arial" w:cs="Arial" w:eastAsia="Arial" w:hAnsi="Arial"/>
          <w:sz w:val="17"/>
          <w:szCs w:val="17"/>
          <w:color w:val="auto"/>
        </w:rPr>
      </w:pPr>
    </w:p>
    <w:p>
      <w:pPr>
        <w:jc w:val="both"/>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1"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2"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2" w:lineRule="exact"/>
        <w:rPr>
          <w:rFonts w:ascii="Arial" w:cs="Arial" w:eastAsia="Arial" w:hAnsi="Arial"/>
          <w:sz w:val="18"/>
          <w:szCs w:val="18"/>
          <w:color w:val="auto"/>
        </w:rPr>
      </w:pPr>
    </w:p>
    <w:p>
      <w:pPr>
        <w:ind w:left="2280" w:hanging="759"/>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9" w:lineRule="exact"/>
        <w:rPr>
          <w:rFonts w:ascii="Arial" w:cs="Arial" w:eastAsia="Arial" w:hAnsi="Arial"/>
          <w:sz w:val="18"/>
          <w:szCs w:val="18"/>
          <w:color w:val="auto"/>
        </w:rPr>
      </w:pPr>
    </w:p>
    <w:p>
      <w:pPr>
        <w:jc w:val="both"/>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60" w:hanging="370"/>
        <w:spacing w:after="0"/>
        <w:tabs>
          <w:tab w:leader="none" w:pos="2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but continues to make interest payments.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2280" w:hanging="759"/>
        <w:spacing w:after="0"/>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these weaknesses make collection or liquidation in full based on existing conditions improbable.</w:t>
      </w:r>
    </w:p>
    <w:p>
      <w:pPr>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2280" w:hanging="759"/>
        <w:spacing w:after="0" w:line="254" w:lineRule="auto"/>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20" w:right="3540" w:hanging="1310"/>
        <w:spacing w:after="0" w:line="810" w:lineRule="auto"/>
        <w:tabs>
          <w:tab w:leader="none" w:pos="44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-740410</wp:posOffset>
            </wp:positionV>
            <wp:extent cx="676656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6656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51"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September 30, 2019 and 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4"/>
              </w:rPr>
              <w:t>(In Thousands)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2019</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16,072</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6,211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6,036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4,472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35,757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36,178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87,360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18,069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2,437</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60,747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399,320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98,960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5,730</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14,232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3,845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200,625</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110,405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501,095</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130,228</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8,167</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24"/>
                <w:szCs w:val="24"/>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5,753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3,199</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38,852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64,341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16,284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49,596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346,072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100,644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2,754</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68,588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108,616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419,131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121,863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9"/>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September 30, 2019 and December 31, 2018.</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Consumer</w:t>
            </w:r>
          </w:p>
        </w:tc>
      </w:tr>
      <w:tr>
        <w:trPr>
          <w:trHeight w:val="230"/>
        </w:trPr>
        <w:tc>
          <w:tcPr>
            <w:tcW w:w="4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Real Estate</w:t>
            </w:r>
          </w:p>
        </w:tc>
      </w:tr>
      <w:tr>
        <w:trPr>
          <w:trHeight w:val="209"/>
        </w:trPr>
        <w:tc>
          <w:tcPr>
            <w:tcW w:w="4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41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Pass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155,346</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79,121</w:t>
            </w: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Pr>
          <w:p>
            <w:pPr>
              <w:ind w:left="246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158,458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80,232</w:t>
            </w: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Consumer - Credit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Consumer - Other</w:t>
            </w:r>
          </w:p>
        </w:tc>
      </w:tr>
      <w:tr>
        <w:trPr>
          <w:trHeight w:val="209"/>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6"/>
              </w:rPr>
              <w:t>September 30,</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7"/>
              </w:rPr>
              <w:t>December 31,</w:t>
            </w:r>
          </w:p>
        </w:tc>
        <w:tc>
          <w:tcPr>
            <w:tcW w:w="1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6"/>
              </w:rPr>
              <w:t>September 30,</w:t>
            </w:r>
          </w:p>
        </w:tc>
        <w:tc>
          <w:tcPr>
            <w:tcW w:w="1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230"/>
        </w:trPr>
        <w:tc>
          <w:tcPr>
            <w:tcW w:w="3200" w:type="dxa"/>
            <w:vAlign w:val="bottom"/>
            <w:tcBorders>
              <w:bottom w:val="single" w:sz="8" w:color="CFF0FC"/>
            </w:tcBorders>
          </w:tcPr>
          <w:p>
            <w:pPr>
              <w:spacing w:after="0"/>
              <w:rPr>
                <w:sz w:val="20"/>
                <w:szCs w:val="20"/>
                <w:color w:val="auto"/>
              </w:rPr>
            </w:pPr>
          </w:p>
        </w:tc>
        <w:tc>
          <w:tcPr>
            <w:tcW w:w="2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3,867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45,752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38,073</w:t>
            </w: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2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r>
      <w:tr>
        <w:trPr>
          <w:trHeight w:val="223"/>
        </w:trPr>
        <w:tc>
          <w:tcPr>
            <w:tcW w:w="3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3,867</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3,928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45,851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38,127</w:t>
            </w:r>
          </w:p>
        </w:tc>
      </w:tr>
      <w:tr>
        <w:trPr>
          <w:trHeight w:val="20"/>
        </w:trPr>
        <w:tc>
          <w:tcPr>
            <w:tcW w:w="3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September 30, 2019, December 31, 2018 and September 30, 2018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86"/>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1,808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8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gridSpan w:val="2"/>
            <w:vMerge w:val="continue"/>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3,275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still accruing</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3,141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2,533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loans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$5 thousand additional funds available to be advanced in connection with impaired loans.</w:t>
      </w:r>
    </w:p>
    <w:p>
      <w:pPr>
        <w:spacing w:after="0" w:line="185"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Bank had approximately $1.1 million of its impaired loans classified as troubled debt restructured (TDR) as of September 30, 2019, $178 thousand as of December 31, 2018 and $207 thousand as of September 30, 2018. During the year to date 2019, there were 5 new loans considered TDR. There were no new loans considered TDR year to date 2018.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represents three and nine months ended September 30, 2019:</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8"/>
                <w:szCs w:val="18"/>
                <w:color w:val="auto"/>
                <w:w w:val="85"/>
              </w:rPr>
              <w:t>Post-</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Pre-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168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420" w:type="dxa"/>
            <w:vAlign w:val="bottom"/>
          </w:tcPr>
          <w:p>
            <w:pPr>
              <w:spacing w:after="0"/>
              <w:rPr>
                <w:sz w:val="19"/>
                <w:szCs w:val="19"/>
                <w:color w:val="auto"/>
              </w:rPr>
            </w:pPr>
          </w:p>
        </w:tc>
        <w:tc>
          <w:tcPr>
            <w:tcW w:w="1240" w:type="dxa"/>
            <w:vAlign w:val="bottom"/>
            <w:gridSpan w:val="5"/>
          </w:tcPr>
          <w:p>
            <w:pPr>
              <w:jc w:val="center"/>
              <w:ind w:right="60"/>
              <w:spacing w:after="0"/>
              <w:rPr>
                <w:sz w:val="20"/>
                <w:szCs w:val="20"/>
                <w:color w:val="auto"/>
              </w:rPr>
            </w:pPr>
            <w:r>
              <w:rPr>
                <w:rFonts w:ascii="Arial" w:cs="Arial" w:eastAsia="Arial" w:hAnsi="Arial"/>
                <w:sz w:val="18"/>
                <w:szCs w:val="18"/>
                <w:color w:val="auto"/>
                <w:w w:val="92"/>
              </w:rPr>
              <w:t>Number of</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460" w:type="dxa"/>
            <w:vAlign w:val="bottom"/>
            <w:gridSpan w:val="4"/>
          </w:tcPr>
          <w:p>
            <w:pPr>
              <w:jc w:val="center"/>
              <w:ind w:right="400"/>
              <w:spacing w:after="0"/>
              <w:rPr>
                <w:sz w:val="20"/>
                <w:szCs w:val="20"/>
                <w:color w:val="auto"/>
              </w:rPr>
            </w:pPr>
            <w:r>
              <w:rPr>
                <w:rFonts w:ascii="Arial" w:cs="Arial" w:eastAsia="Arial" w:hAnsi="Arial"/>
                <w:sz w:val="18"/>
                <w:szCs w:val="18"/>
                <w:color w:val="auto"/>
                <w:w w:val="97"/>
              </w:rPr>
              <w:t>Modification</w:t>
            </w:r>
          </w:p>
        </w:tc>
        <w:tc>
          <w:tcPr>
            <w:tcW w:w="172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420" w:type="dxa"/>
            <w:vAlign w:val="bottom"/>
          </w:tcPr>
          <w:p>
            <w:pPr>
              <w:spacing w:after="0"/>
              <w:rPr>
                <w:sz w:val="19"/>
                <w:szCs w:val="19"/>
                <w:color w:val="auto"/>
              </w:rPr>
            </w:pPr>
          </w:p>
        </w:tc>
        <w:tc>
          <w:tcPr>
            <w:tcW w:w="1240" w:type="dxa"/>
            <w:vAlign w:val="bottom"/>
            <w:gridSpan w:val="5"/>
          </w:tcPr>
          <w:p>
            <w:pPr>
              <w:jc w:val="center"/>
              <w:ind w:right="60"/>
              <w:spacing w:after="0"/>
              <w:rPr>
                <w:sz w:val="20"/>
                <w:szCs w:val="20"/>
                <w:color w:val="auto"/>
              </w:rPr>
            </w:pPr>
            <w:r>
              <w:rPr>
                <w:rFonts w:ascii="Arial" w:cs="Arial" w:eastAsia="Arial" w:hAnsi="Arial"/>
                <w:sz w:val="18"/>
                <w:szCs w:val="18"/>
                <w:color w:val="auto"/>
                <w:w w:val="92"/>
              </w:rPr>
              <w:t>Number of</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120" w:type="dxa"/>
            <w:vAlign w:val="bottom"/>
            <w:gridSpan w:val="4"/>
          </w:tcPr>
          <w:p>
            <w:pPr>
              <w:jc w:val="center"/>
              <w:ind w:right="6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30"/>
        </w:trPr>
        <w:tc>
          <w:tcPr>
            <w:tcW w:w="1680" w:type="dxa"/>
            <w:vAlign w:val="bottom"/>
            <w:gridSpan w:val="3"/>
          </w:tcPr>
          <w:p>
            <w:pPr>
              <w:spacing w:after="0"/>
              <w:rPr>
                <w:sz w:val="20"/>
                <w:szCs w:val="20"/>
                <w:color w:val="auto"/>
              </w:rPr>
            </w:pPr>
            <w:r>
              <w:rPr>
                <w:rFonts w:ascii="Arial" w:cs="Arial" w:eastAsia="Arial" w:hAnsi="Arial"/>
                <w:sz w:val="18"/>
                <w:szCs w:val="18"/>
                <w:color w:val="auto"/>
              </w:rPr>
              <w:t>September 30, 2019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Contracts</w:t>
            </w:r>
          </w:p>
        </w:tc>
        <w:tc>
          <w:tcPr>
            <w:tcW w:w="106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Outstanding</w:t>
            </w:r>
          </w:p>
        </w:tc>
        <w:tc>
          <w:tcPr>
            <w:tcW w:w="1460" w:type="dxa"/>
            <w:vAlign w:val="bottom"/>
            <w:gridSpan w:val="4"/>
          </w:tcPr>
          <w:p>
            <w:pPr>
              <w:jc w:val="center"/>
              <w:ind w:right="420"/>
              <w:spacing w:after="0"/>
              <w:rPr>
                <w:sz w:val="20"/>
                <w:szCs w:val="20"/>
                <w:color w:val="auto"/>
              </w:rPr>
            </w:pPr>
            <w:r>
              <w:rPr>
                <w:rFonts w:ascii="Arial" w:cs="Arial" w:eastAsia="Arial" w:hAnsi="Arial"/>
                <w:sz w:val="18"/>
                <w:szCs w:val="18"/>
                <w:color w:val="auto"/>
                <w:w w:val="90"/>
              </w:rPr>
              <w:t>Outstanding</w:t>
            </w:r>
          </w:p>
        </w:tc>
        <w:tc>
          <w:tcPr>
            <w:tcW w:w="172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8"/>
                <w:szCs w:val="18"/>
                <w:color w:val="auto"/>
                <w:w w:val="88"/>
              </w:rPr>
              <w:t>Contracts</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12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w w:val="98"/>
              </w:rPr>
              <w:t>(in thousands)</w:t>
            </w:r>
          </w:p>
        </w:tc>
        <w:tc>
          <w:tcPr>
            <w:tcW w:w="420" w:type="dxa"/>
            <w:vAlign w:val="bottom"/>
          </w:tcPr>
          <w:p>
            <w:pPr>
              <w:spacing w:after="0"/>
              <w:rPr>
                <w:sz w:val="19"/>
                <w:szCs w:val="19"/>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8"/>
                <w:szCs w:val="18"/>
                <w:color w:val="auto"/>
                <w:w w:val="95"/>
              </w:rPr>
              <w:t>Modified in the</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Recorded</w:t>
            </w:r>
          </w:p>
        </w:tc>
        <w:tc>
          <w:tcPr>
            <w:tcW w:w="1720" w:type="dxa"/>
            <w:vAlign w:val="bottom"/>
            <w:gridSpan w:val="2"/>
          </w:tcPr>
          <w:p>
            <w:pPr>
              <w:ind w:left="560"/>
              <w:spacing w:after="0"/>
              <w:rPr>
                <w:sz w:val="20"/>
                <w:szCs w:val="20"/>
                <w:color w:val="auto"/>
              </w:rPr>
            </w:pPr>
            <w:r>
              <w:rPr>
                <w:rFonts w:ascii="Arial" w:cs="Arial" w:eastAsia="Arial" w:hAnsi="Arial"/>
                <w:sz w:val="18"/>
                <w:szCs w:val="18"/>
                <w:color w:val="auto"/>
                <w:w w:val="99"/>
              </w:rPr>
              <w:t>(in thousands)</w:t>
            </w:r>
          </w:p>
        </w:tc>
        <w:tc>
          <w:tcPr>
            <w:tcW w:w="420" w:type="dxa"/>
            <w:vAlign w:val="bottom"/>
          </w:tcPr>
          <w:p>
            <w:pPr>
              <w:spacing w:after="0"/>
              <w:rPr>
                <w:sz w:val="19"/>
                <w:szCs w:val="19"/>
                <w:color w:val="auto"/>
              </w:rPr>
            </w:pPr>
          </w:p>
        </w:tc>
        <w:tc>
          <w:tcPr>
            <w:tcW w:w="1240" w:type="dxa"/>
            <w:vAlign w:val="bottom"/>
            <w:gridSpan w:val="5"/>
          </w:tcPr>
          <w:p>
            <w:pPr>
              <w:jc w:val="center"/>
              <w:ind w:right="40"/>
              <w:spacing w:after="0"/>
              <w:rPr>
                <w:sz w:val="20"/>
                <w:szCs w:val="20"/>
                <w:color w:val="auto"/>
              </w:rPr>
            </w:pPr>
            <w:r>
              <w:rPr>
                <w:rFonts w:ascii="Arial" w:cs="Arial" w:eastAsia="Arial" w:hAnsi="Arial"/>
                <w:sz w:val="18"/>
                <w:szCs w:val="18"/>
                <w:color w:val="auto"/>
                <w:w w:val="95"/>
              </w:rPr>
              <w:t>Modified in the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Recorded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0" w:type="dxa"/>
            <w:vAlign w:val="bottom"/>
          </w:tcPr>
          <w:p>
            <w:pPr>
              <w:spacing w:after="0"/>
              <w:rPr>
                <w:sz w:val="1"/>
                <w:szCs w:val="1"/>
                <w:color w:val="auto"/>
              </w:rPr>
            </w:pPr>
          </w:p>
        </w:tc>
      </w:tr>
      <w:tr>
        <w:trPr>
          <w:trHeight w:val="190"/>
        </w:trPr>
        <w:tc>
          <w:tcPr>
            <w:tcW w:w="1680" w:type="dxa"/>
            <w:vAlign w:val="bottom"/>
            <w:gridSpan w:val="3"/>
          </w:tcPr>
          <w:p>
            <w:pPr>
              <w:spacing w:after="0" w:line="190" w:lineRule="exact"/>
              <w:rPr>
                <w:sz w:val="20"/>
                <w:szCs w:val="20"/>
                <w:color w:val="auto"/>
              </w:rPr>
            </w:pPr>
            <w:r>
              <w:rPr>
                <w:rFonts w:ascii="Arial" w:cs="Arial" w:eastAsia="Arial" w:hAnsi="Arial"/>
                <w:sz w:val="18"/>
                <w:szCs w:val="18"/>
                <w:color w:val="auto"/>
              </w:rPr>
              <w:t>Troubled</w:t>
            </w:r>
          </w:p>
        </w:tc>
        <w:tc>
          <w:tcPr>
            <w:tcW w:w="1660" w:type="dxa"/>
            <w:vAlign w:val="bottom"/>
            <w:gridSpan w:val="6"/>
          </w:tcPr>
          <w:p>
            <w:pPr>
              <w:jc w:val="right"/>
              <w:ind w:right="260"/>
              <w:spacing w:after="0" w:line="190" w:lineRule="exact"/>
              <w:rPr>
                <w:sz w:val="20"/>
                <w:szCs w:val="20"/>
                <w:color w:val="auto"/>
              </w:rPr>
            </w:pPr>
            <w:r>
              <w:rPr>
                <w:rFonts w:ascii="Arial" w:cs="Arial" w:eastAsia="Arial" w:hAnsi="Arial"/>
                <w:sz w:val="18"/>
                <w:szCs w:val="18"/>
                <w:color w:val="auto"/>
                <w:w w:val="99"/>
              </w:rPr>
              <w:t>Debt   Last Three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1660" w:type="dxa"/>
            <w:vAlign w:val="bottom"/>
            <w:gridSpan w:val="6"/>
          </w:tcPr>
          <w:p>
            <w:pPr>
              <w:jc w:val="right"/>
              <w:ind w:right="300"/>
              <w:spacing w:after="0" w:line="190" w:lineRule="exact"/>
              <w:rPr>
                <w:sz w:val="20"/>
                <w:szCs w:val="20"/>
                <w:color w:val="auto"/>
              </w:rPr>
            </w:pPr>
            <w:r>
              <w:rPr>
                <w:rFonts w:ascii="Arial" w:cs="Arial" w:eastAsia="Arial" w:hAnsi="Arial"/>
                <w:sz w:val="18"/>
                <w:szCs w:val="18"/>
                <w:color w:val="auto"/>
              </w:rPr>
              <w:t>Debt   Last Nine</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Restructurings</w:t>
            </w: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1"/>
              </w:rPr>
              <w:t>Months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right="140"/>
              <w:spacing w:after="0" w:line="196" w:lineRule="exact"/>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7"/>
                <w:szCs w:val="17"/>
                <w:color w:val="auto"/>
              </w:rPr>
            </w:pPr>
          </w:p>
        </w:tc>
        <w:tc>
          <w:tcPr>
            <w:tcW w:w="1340" w:type="dxa"/>
            <w:vAlign w:val="bottom"/>
            <w:gridSpan w:val="3"/>
          </w:tcPr>
          <w:p>
            <w:pPr>
              <w:jc w:val="center"/>
              <w:ind w:right="540"/>
              <w:spacing w:after="0" w:line="196" w:lineRule="exact"/>
              <w:rPr>
                <w:sz w:val="20"/>
                <w:szCs w:val="20"/>
                <w:color w:val="auto"/>
              </w:rPr>
            </w:pPr>
            <w:r>
              <w:rPr>
                <w:rFonts w:ascii="Arial" w:cs="Arial" w:eastAsia="Arial" w:hAnsi="Arial"/>
                <w:sz w:val="18"/>
                <w:szCs w:val="18"/>
                <w:color w:val="auto"/>
                <w:w w:val="90"/>
              </w:rPr>
              <w:t>Investment</w:t>
            </w:r>
          </w:p>
        </w:tc>
        <w:tc>
          <w:tcPr>
            <w:tcW w:w="17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4"/>
              </w:rPr>
              <w:t>Months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17"/>
                <w:szCs w:val="17"/>
                <w:color w:val="auto"/>
              </w:rPr>
            </w:pPr>
          </w:p>
        </w:tc>
        <w:tc>
          <w:tcPr>
            <w:tcW w:w="980" w:type="dxa"/>
            <w:vAlign w:val="bottom"/>
            <w:gridSpan w:val="3"/>
          </w:tcPr>
          <w:p>
            <w:pPr>
              <w:jc w:val="center"/>
              <w:ind w:right="180"/>
              <w:spacing w:after="0" w:line="196" w:lineRule="exact"/>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16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Consumer Real Estate</w:t>
            </w:r>
          </w:p>
        </w:tc>
        <w:tc>
          <w:tcPr>
            <w:tcW w:w="1660" w:type="dxa"/>
            <w:vAlign w:val="bottom"/>
            <w:gridSpan w:val="6"/>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74</w:t>
            </w:r>
          </w:p>
        </w:tc>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Consumer Real Estate</w:t>
            </w:r>
          </w:p>
        </w:tc>
        <w:tc>
          <w:tcPr>
            <w:tcW w:w="1660" w:type="dxa"/>
            <w:vAlign w:val="bottom"/>
            <w:gridSpan w:val="6"/>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Commercial and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Commercial and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3"/>
          </w:tcPr>
          <w:p>
            <w:pPr>
              <w:spacing w:after="0"/>
              <w:rPr>
                <w:sz w:val="20"/>
                <w:szCs w:val="20"/>
                <w:color w:val="auto"/>
              </w:rPr>
            </w:pPr>
            <w:r>
              <w:rPr>
                <w:rFonts w:ascii="Arial" w:cs="Arial" w:eastAsia="Arial" w:hAnsi="Arial"/>
                <w:sz w:val="18"/>
                <w:szCs w:val="18"/>
                <w:color w:val="auto"/>
              </w:rPr>
              <w:t>Industrial</w:t>
            </w:r>
          </w:p>
        </w:tc>
        <w:tc>
          <w:tcPr>
            <w:tcW w:w="1660" w:type="dxa"/>
            <w:vAlign w:val="bottom"/>
            <w:gridSpan w:val="6"/>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660" w:type="dxa"/>
            <w:vAlign w:val="bottom"/>
            <w:gridSpan w:val="6"/>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three and nine month period ended September 30, 2019 and 2018, there were no TDRs that subsequently defaulted after modification.</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three and nine month period ended September 30, 2019, there were no impaired loans classified as TDR paid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Remainder of this page intentionally left blank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760" w:right="2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3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three months ended September 30, 2019 and September 30,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color w:val="auto"/>
                <w:w w:val="99"/>
              </w:rPr>
              <w:t>QTD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Three Months Ended September 30, 2019</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114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8"/>
              </w:rPr>
              <w:t>Recognized</w:t>
            </w:r>
          </w:p>
        </w:tc>
        <w:tc>
          <w:tcPr>
            <w:tcW w:w="114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8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8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Borders>
              <w:bottom w:val="single" w:sz="8" w:color="CFF0FC"/>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1520"/>
              <w:spacing w:after="0"/>
              <w:rPr>
                <w:sz w:val="20"/>
                <w:szCs w:val="20"/>
                <w:color w:val="auto"/>
              </w:rPr>
            </w:pPr>
            <w:r>
              <w:rPr>
                <w:rFonts w:ascii="Arial" w:cs="Arial" w:eastAsia="Arial" w:hAnsi="Arial"/>
                <w:sz w:val="18"/>
                <w:szCs w:val="18"/>
                <w:color w:val="auto"/>
              </w:rPr>
              <w:t>NOTE 4 LOANS (Continued)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4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4"/>
              </w:rPr>
              <w:t>QTD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4"/>
              </w:rPr>
              <w:t>QTD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Three Months Ended September 30, 2018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Related</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5"/>
              </w:rPr>
              <w:t>Allowance</w:t>
            </w:r>
          </w:p>
        </w:tc>
        <w:tc>
          <w:tcPr>
            <w:tcW w:w="112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Investment</w:t>
            </w:r>
          </w:p>
        </w:tc>
        <w:tc>
          <w:tcPr>
            <w:tcW w:w="11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Recognized</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Borders>
              <w:right w:val="single" w:sz="8" w:color="auto"/>
            </w:tcBorders>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FF0FC"/>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6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nine months ended September 30, 2019 and September 30,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YTD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YTD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Nine Months Ended September 30, 2019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Related</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5"/>
              </w:rPr>
              <w:t>Allowance</w:t>
            </w:r>
          </w:p>
        </w:tc>
        <w:tc>
          <w:tcPr>
            <w:tcW w:w="112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Investment</w:t>
            </w:r>
          </w:p>
        </w:tc>
        <w:tc>
          <w:tcPr>
            <w:tcW w:w="11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Recognized</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Borders>
              <w:right w:val="single" w:sz="8" w:color="auto"/>
            </w:tcBorders>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FF0FC"/>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FF0FC"/>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1300"/>
              <w:spacing w:after="0"/>
              <w:rPr>
                <w:sz w:val="20"/>
                <w:szCs w:val="20"/>
                <w:color w:val="auto"/>
              </w:rPr>
            </w:pPr>
            <w:r>
              <w:rPr>
                <w:rFonts w:ascii="Arial" w:cs="Arial" w:eastAsia="Arial" w:hAnsi="Arial"/>
                <w:sz w:val="18"/>
                <w:szCs w:val="18"/>
                <w:color w:val="auto"/>
              </w:rPr>
              <w:t>NOTE 4 LOANS (Continued)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color w:val="auto"/>
                <w:w w:val="99"/>
              </w:rPr>
              <w:t>YTD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YTD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Nine Months Ended September 30, 2018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Unpaid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Related</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5"/>
              </w:rPr>
              <w:t>Allowance</w:t>
            </w:r>
          </w:p>
        </w:tc>
        <w:tc>
          <w:tcPr>
            <w:tcW w:w="112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Investment</w:t>
            </w:r>
          </w:p>
        </w:tc>
        <w:tc>
          <w:tcPr>
            <w:tcW w:w="11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Recognized</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Borders>
              <w:right w:val="single" w:sz="8" w:color="auto"/>
            </w:tcBorders>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Borders>
              <w:bottom w:val="single" w:sz="8" w:color="CFF0FC"/>
              <w:right w:val="single" w:sz="8" w:color="auto"/>
            </w:tcBorders>
          </w:tcPr>
          <w:p>
            <w:pPr>
              <w:spacing w:after="0"/>
              <w:rPr>
                <w:sz w:val="23"/>
                <w:szCs w:val="23"/>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right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As of September 30, 2019, the Company had $187 thousand of foreclosed residential real estate property obtained by physical possession and $379 thousand of consumer mortgage loans secured by residential real estate properties for which foreclosure proceedings are in process according to local jurisdictions. As of September 30, 2018, the Company had $68 foreclosed residential real estate property obtained by physical possession and $174 thousand of consumer mortgage loans secured by residential real estate properties for which foreclosure proceedings were in process according to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20" w:right="3540" w:hanging="1310"/>
        <w:spacing w:after="0" w:line="810" w:lineRule="auto"/>
        <w:tabs>
          <w:tab w:leader="none" w:pos="44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(In Thousands)</w:t>
            </w:r>
          </w:p>
        </w:tc>
      </w:tr>
      <w:tr>
        <w:trPr>
          <w:trHeight w:val="209"/>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Nine Months</w:t>
            </w:r>
          </w:p>
        </w:tc>
        <w:tc>
          <w:tcPr>
            <w:tcW w:w="20" w:type="dxa"/>
            <w:vAlign w:val="bottom"/>
          </w:tcPr>
          <w:p>
            <w:pPr>
              <w:spacing w:after="0"/>
              <w:rPr>
                <w:sz w:val="18"/>
                <w:szCs w:val="18"/>
                <w:color w:val="auto"/>
              </w:rPr>
            </w:pPr>
          </w:p>
        </w:tc>
        <w:tc>
          <w:tcPr>
            <w:tcW w:w="128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Twelve Months</w:t>
            </w:r>
          </w:p>
        </w:tc>
      </w:tr>
      <w:tr>
        <w:trPr>
          <w:trHeight w:val="230"/>
        </w:trPr>
        <w:tc>
          <w:tcPr>
            <w:tcW w:w="4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r>
      <w:tr>
        <w:trPr>
          <w:trHeight w:val="216"/>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0"/>
              </w:rPr>
              <w:t>December 31,</w:t>
            </w:r>
          </w:p>
        </w:tc>
      </w:tr>
      <w:tr>
        <w:trPr>
          <w:trHeight w:val="230"/>
        </w:trPr>
        <w:tc>
          <w:tcPr>
            <w:tcW w:w="438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6,775</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6,868</w:t>
            </w: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Letters of Credit</w:t>
            </w:r>
          </w:p>
        </w:tc>
        <w:tc>
          <w:tcPr>
            <w:tcW w:w="112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9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r>
      <w:tr>
        <w:trPr>
          <w:trHeight w:val="20"/>
        </w:trPr>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20" w:hanging="110"/>
        <w:spacing w:after="0"/>
        <w:tabs>
          <w:tab w:leader="none" w:pos="4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Additional analysis, presented in thousands, related to the allowance for credit losses for three months ended September 30, 2019 and</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September 30, 2018 in addition to the ending balances as of December 31, 2018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Unfunded</w:t>
            </w: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Loan</w:t>
            </w: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Commitment</w:t>
            </w: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Commercial</w:t>
            </w:r>
          </w:p>
        </w:tc>
        <w:tc>
          <w:tcPr>
            <w:tcW w:w="11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54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1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6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Credit</w:t>
            </w:r>
          </w:p>
        </w:tc>
        <w:tc>
          <w:tcPr>
            <w:tcW w:w="10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Unallocated</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20" w:type="dxa"/>
            <w:vAlign w:val="bottom"/>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September 30, 2019</w:t>
            </w:r>
          </w:p>
        </w:tc>
        <w:tc>
          <w:tcPr>
            <w:tcW w:w="78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7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FOR</w:t>
            </w: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7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Beginning balance</w:t>
            </w:r>
          </w:p>
        </w:tc>
        <w:tc>
          <w:tcPr>
            <w:tcW w:w="70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3,320</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370</w:t>
            </w:r>
          </w:p>
        </w:tc>
        <w:tc>
          <w:tcPr>
            <w:tcW w:w="4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6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4"/>
          </w:tcPr>
          <w:p>
            <w:pPr>
              <w:ind w:left="260"/>
              <w:spacing w:after="0"/>
              <w:rPr>
                <w:sz w:val="20"/>
                <w:szCs w:val="20"/>
                <w:color w:val="auto"/>
              </w:rPr>
            </w:pPr>
            <w:r>
              <w:rPr>
                <w:rFonts w:ascii="Arial" w:cs="Arial" w:eastAsia="Arial" w:hAnsi="Arial"/>
                <w:sz w:val="18"/>
                <w:szCs w:val="18"/>
                <w:color w:val="auto"/>
              </w:rPr>
              <w:t>Provision (Credit)</w:t>
            </w: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Other</w:t>
            </w:r>
          </w:p>
        </w:tc>
        <w:tc>
          <w:tcPr>
            <w:tcW w:w="140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Non-interest</w:t>
            </w: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5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5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274</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733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3,305</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1,550</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545</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240" w:type="dxa"/>
            <w:vAlign w:val="bottom"/>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5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12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balance:</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spacing w:after="0"/>
              <w:rPr>
                <w:sz w:val="20"/>
                <w:szCs w:val="20"/>
                <w:color w:val="auto"/>
              </w:rPr>
            </w:pPr>
            <w:r>
              <w:rPr>
                <w:rFonts w:ascii="Arial" w:cs="Arial" w:eastAsia="Arial" w:hAnsi="Arial"/>
                <w:sz w:val="18"/>
                <w:szCs w:val="18"/>
                <w:color w:val="auto"/>
              </w:rPr>
              <w:t>collectively evaluated</w:t>
            </w: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54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733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3,305</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1,385</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545</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balance:</w:t>
            </w:r>
          </w:p>
        </w:tc>
        <w:tc>
          <w:tcPr>
            <w:tcW w:w="5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7"/>
              </w:rPr>
              <w:t>loans</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97"/>
              </w:rPr>
              <w:t>deteriorated</w:t>
            </w:r>
          </w:p>
        </w:tc>
        <w:tc>
          <w:tcPr>
            <w:tcW w:w="7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5"/>
              </w:rPr>
              <w:t>credit</w:t>
            </w: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7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158,458</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200,625</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110,405</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501,095</w:t>
            </w: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138,395</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49,718</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1,158,696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24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4"/>
          </w:tcPr>
          <w:p>
            <w:pPr>
              <w:spacing w:after="0"/>
              <w:rPr>
                <w:sz w:val="20"/>
                <w:szCs w:val="20"/>
                <w:color w:val="auto"/>
              </w:rPr>
            </w:pPr>
            <w:r>
              <w:rPr>
                <w:rFonts w:ascii="Arial" w:cs="Arial" w:eastAsia="Arial" w:hAnsi="Arial"/>
                <w:sz w:val="18"/>
                <w:szCs w:val="18"/>
                <w:color w:val="auto"/>
              </w:rPr>
              <w:t>individually evaluated</w:t>
            </w: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54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752</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368</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304</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1,398</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24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8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0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157,659</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200,219</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110,037</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500,791</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136,997</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49,718</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1,155,421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9"/>
              </w:rPr>
              <w:t>balance:</w:t>
            </w:r>
          </w:p>
        </w:tc>
        <w:tc>
          <w:tcPr>
            <w:tcW w:w="54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97"/>
              </w:rPr>
              <w:t>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420"/>
              <w:spacing w:after="0"/>
              <w:rPr>
                <w:sz w:val="20"/>
                <w:szCs w:val="20"/>
                <w:color w:val="auto"/>
              </w:rPr>
            </w:pPr>
            <w:r>
              <w:rPr>
                <w:rFonts w:ascii="Arial" w:cs="Arial" w:eastAsia="Arial" w:hAnsi="Arial"/>
                <w:sz w:val="18"/>
                <w:szCs w:val="18"/>
                <w:color w:val="auto"/>
                <w:w w:val="97"/>
              </w:rPr>
              <w:t>deteriorated</w:t>
            </w: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w w:val="95"/>
              </w:rPr>
              <w:t>credit</w:t>
            </w:r>
          </w:p>
        </w:tc>
        <w:tc>
          <w:tcPr>
            <w:tcW w:w="7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quality</w:t>
            </w:r>
          </w:p>
        </w:tc>
        <w:tc>
          <w:tcPr>
            <w:tcW w:w="700" w:type="dxa"/>
            <w:vAlign w:val="bottom"/>
          </w:tcPr>
          <w:p>
            <w:pPr>
              <w:spacing w:after="0"/>
              <w:rPr>
                <w:sz w:val="20"/>
                <w:szCs w:val="20"/>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40" w:type="dxa"/>
            <w:vAlign w:val="bottom"/>
            <w:gridSpan w:val="7"/>
          </w:tcPr>
          <w:p>
            <w:pPr>
              <w:ind w:left="640"/>
              <w:spacing w:after="0"/>
              <w:rPr>
                <w:sz w:val="20"/>
                <w:szCs w:val="20"/>
                <w:color w:val="auto"/>
              </w:rPr>
            </w:pPr>
            <w:r>
              <w:rPr>
                <w:rFonts w:ascii="Arial" w:cs="Arial" w:eastAsia="Arial" w:hAnsi="Arial"/>
                <w:sz w:val="18"/>
                <w:szCs w:val="18"/>
                <w:color w:val="auto"/>
                <w:w w:val="94"/>
              </w:rPr>
              <w:t>NOTE 4 LOANS (Continued)</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2"/>
              </w:rPr>
              <w:t>Unfunded</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4"/>
              </w:rPr>
              <w:t>Loan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2"/>
              </w:rPr>
              <w:t>Commitment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4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color w:val="auto"/>
              </w:rPr>
              <w:t>Consumer</w:t>
            </w:r>
          </w:p>
        </w:tc>
        <w:tc>
          <w:tcPr>
            <w:tcW w:w="900" w:type="dxa"/>
            <w:vAlign w:val="bottom"/>
            <w:gridSpan w:val="2"/>
          </w:tcPr>
          <w:p>
            <w:pPr>
              <w:spacing w:after="0"/>
              <w:rPr>
                <w:sz w:val="20"/>
                <w:szCs w:val="20"/>
                <w:color w:val="auto"/>
              </w:rPr>
            </w:pPr>
            <w:r>
              <w:rPr>
                <w:rFonts w:ascii="Arial" w:cs="Arial" w:eastAsia="Arial" w:hAnsi="Arial"/>
                <w:sz w:val="18"/>
                <w:szCs w:val="18"/>
                <w:color w:val="auto"/>
                <w:w w:val="97"/>
              </w:rPr>
              <w:t>Agricultural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Commercial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3"/>
            <w:vMerge w:val="continue"/>
          </w:tcPr>
          <w:p>
            <w:pPr>
              <w:spacing w:after="0"/>
              <w:rPr>
                <w:sz w:val="20"/>
                <w:szCs w:val="20"/>
                <w:color w:val="auto"/>
              </w:rPr>
            </w:pPr>
          </w:p>
        </w:tc>
        <w:tc>
          <w:tcPr>
            <w:tcW w:w="1020" w:type="dxa"/>
            <w:vAlign w:val="bottom"/>
            <w:gridSpan w:val="4"/>
          </w:tcPr>
          <w:p>
            <w:pPr>
              <w:ind w:left="40"/>
              <w:spacing w:after="0"/>
              <w:rPr>
                <w:sz w:val="20"/>
                <w:szCs w:val="20"/>
                <w:color w:val="auto"/>
              </w:rPr>
            </w:pPr>
            <w:r>
              <w:rPr>
                <w:rFonts w:ascii="Arial" w:cs="Arial" w:eastAsia="Arial" w:hAnsi="Arial"/>
                <w:sz w:val="18"/>
                <w:szCs w:val="18"/>
                <w:color w:val="auto"/>
              </w:rPr>
              <w:t>Real Estate</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0"/>
              </w:rPr>
              <w:t>Real Estate</w:t>
            </w: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rPr>
              <w:t>Agricultural</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0"/>
              </w:rPr>
              <w:t>Real Estate</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90"/>
              </w:rPr>
              <w:t>and Industrial</w:t>
            </w:r>
          </w:p>
        </w:tc>
        <w:tc>
          <w:tcPr>
            <w:tcW w:w="1100" w:type="dxa"/>
            <w:vAlign w:val="bottom"/>
            <w:gridSpan w:val="4"/>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Credit</w:t>
            </w:r>
          </w:p>
        </w:tc>
        <w:tc>
          <w:tcPr>
            <w:tcW w:w="1060" w:type="dxa"/>
            <w:vAlign w:val="bottom"/>
            <w:gridSpan w:val="3"/>
          </w:tcPr>
          <w:p>
            <w:pPr>
              <w:ind w:left="180"/>
              <w:spacing w:after="0"/>
              <w:rPr>
                <w:sz w:val="20"/>
                <w:szCs w:val="20"/>
                <w:color w:val="auto"/>
              </w:rPr>
            </w:pPr>
            <w:r>
              <w:rPr>
                <w:rFonts w:ascii="Arial" w:cs="Arial" w:eastAsia="Arial" w:hAnsi="Arial"/>
                <w:sz w:val="18"/>
                <w:szCs w:val="18"/>
                <w:color w:val="auto"/>
                <w:w w:val="90"/>
              </w:rPr>
              <w:t>Unallocated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42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68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FOR</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8"/>
              </w:rPr>
              <w:t>balance:</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individually evaluated for</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collectively evaluated for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68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3"/>
                <w:szCs w:val="23"/>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3,217</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w w:val="88"/>
              </w:rPr>
              <w:t>balance:</w:t>
            </w:r>
          </w:p>
        </w:tc>
        <w:tc>
          <w:tcPr>
            <w:tcW w:w="6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acquired with deteriorated</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credit quality</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80,232</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68,588</w:t>
            </w:r>
          </w:p>
        </w:tc>
        <w:tc>
          <w:tcPr>
            <w:tcW w:w="3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419,131</w:t>
            </w:r>
          </w:p>
        </w:tc>
        <w:tc>
          <w:tcPr>
            <w:tcW w:w="4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127,752</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846,374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individually evaluated for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68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23"/>
                <w:szCs w:val="23"/>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collectively evaluated for</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79,359</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68,588</w:t>
            </w:r>
          </w:p>
        </w:tc>
        <w:tc>
          <w:tcPr>
            <w:tcW w:w="3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418,937</w:t>
            </w:r>
          </w:p>
        </w:tc>
        <w:tc>
          <w:tcPr>
            <w:tcW w:w="4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126,649</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844,204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6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w w:val="88"/>
              </w:rPr>
              <w:t>balance:</w:t>
            </w: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ind w:left="140"/>
              <w:spacing w:after="0"/>
              <w:rPr>
                <w:sz w:val="20"/>
                <w:szCs w:val="20"/>
                <w:color w:val="auto"/>
              </w:rPr>
            </w:pPr>
            <w:r>
              <w:rPr>
                <w:rFonts w:ascii="Arial" w:cs="Arial" w:eastAsia="Arial" w:hAnsi="Arial"/>
                <w:sz w:val="18"/>
                <w:szCs w:val="18"/>
                <w:color w:val="auto"/>
                <w:w w:val="95"/>
              </w:rPr>
              <w:t>deteriorated credit quality</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2760" w:type="dxa"/>
            <w:vAlign w:val="bottom"/>
            <w:gridSpan w:val="6"/>
          </w:tcPr>
          <w:p>
            <w:pPr>
              <w:ind w:left="560"/>
              <w:spacing w:after="0"/>
              <w:rPr>
                <w:sz w:val="20"/>
                <w:szCs w:val="20"/>
                <w:color w:val="auto"/>
              </w:rPr>
            </w:pPr>
            <w:r>
              <w:rPr>
                <w:rFonts w:ascii="Arial" w:cs="Arial" w:eastAsia="Arial" w:hAnsi="Arial"/>
                <w:sz w:val="18"/>
                <w:szCs w:val="18"/>
                <w:color w:val="auto"/>
                <w:w w:val="94"/>
              </w:rPr>
              <w:t>NOTE 4 LOANS (Continued)</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4"/>
              </w:rPr>
              <w:t>Loan</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w w:val="99"/>
              </w:rPr>
              <w:t>Commitment</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Commercial</w:t>
            </w:r>
          </w:p>
        </w:tc>
        <w:tc>
          <w:tcPr>
            <w:tcW w:w="11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1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2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2"/>
              </w:rPr>
              <w:t>Real Estate</w:t>
            </w: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5"/>
              </w:rPr>
              <w:t>Credit</w:t>
            </w:r>
          </w:p>
        </w:tc>
        <w:tc>
          <w:tcPr>
            <w:tcW w:w="106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Unallocated</w:t>
            </w: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w w:val="99"/>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0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September 30, 2018</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20" w:type="dxa"/>
            <w:vAlign w:val="bottom"/>
            <w:tcBorders>
              <w:left w:val="single" w:sz="8" w:color="auto"/>
            </w:tcBorders>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FOR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Beginning balance</w:t>
            </w:r>
          </w:p>
        </w:tc>
        <w:tc>
          <w:tcPr>
            <w:tcW w:w="6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3,260</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1,420</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315</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ind w:left="260"/>
              <w:spacing w:after="0"/>
              <w:rPr>
                <w:sz w:val="20"/>
                <w:szCs w:val="20"/>
                <w:color w:val="auto"/>
              </w:rPr>
            </w:pPr>
            <w:r>
              <w:rPr>
                <w:rFonts w:ascii="Arial" w:cs="Arial" w:eastAsia="Arial" w:hAnsi="Arial"/>
                <w:sz w:val="18"/>
                <w:szCs w:val="18"/>
                <w:color w:val="auto"/>
              </w:rPr>
              <w:t>Provision (Credit)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Non-interest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420" w:type="dxa"/>
            <w:vAlign w:val="bottom"/>
            <w:tcBorders>
              <w:left w:val="single" w:sz="8" w:color="auto"/>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743</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3,272</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1,398</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8"/>
              </w:rPr>
              <w:t>balance:</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tcBorders>
              <w:left w:val="single" w:sz="8" w:color="auto"/>
            </w:tcBorders>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collectively evaluated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743</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3,272</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1,276</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88"/>
              </w:rPr>
              <w:t>balance:</w:t>
            </w:r>
          </w:p>
        </w:tc>
        <w:tc>
          <w:tcPr>
            <w:tcW w:w="6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5"/>
              </w:rPr>
              <w:t>deteriorated credit quality</w:t>
            </w: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Borders>
              <w:lef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82,629</w:t>
            </w:r>
          </w:p>
        </w:tc>
        <w:tc>
          <w:tcPr>
            <w:tcW w:w="4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68,524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103,760</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416,632</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125,612</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41,541</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838,698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individually evaluated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763</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1,852</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81,748</w:t>
            </w:r>
          </w:p>
        </w:tc>
        <w:tc>
          <w:tcPr>
            <w:tcW w:w="4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68,524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103,760</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416,436</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123,760</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41,541</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835,769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bottom w:val="single" w:sz="8" w:color="CFF0FC"/>
            </w:tcBorders>
            <w:vMerge w:val="restart"/>
          </w:tcPr>
          <w:p>
            <w:pPr>
              <w:ind w:left="60"/>
              <w:spacing w:after="0"/>
              <w:rPr>
                <w:sz w:val="20"/>
                <w:szCs w:val="20"/>
                <w:color w:val="auto"/>
              </w:rPr>
            </w:pPr>
            <w:r>
              <w:rPr>
                <w:rFonts w:ascii="Arial" w:cs="Arial" w:eastAsia="Arial" w:hAnsi="Arial"/>
                <w:sz w:val="18"/>
                <w:szCs w:val="18"/>
                <w:color w:val="auto"/>
                <w:w w:val="88"/>
              </w:rPr>
              <w:t>balance:</w:t>
            </w: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ind w:left="140"/>
              <w:spacing w:after="0"/>
              <w:rPr>
                <w:sz w:val="20"/>
                <w:szCs w:val="20"/>
                <w:color w:val="auto"/>
              </w:rPr>
            </w:pPr>
            <w:r>
              <w:rPr>
                <w:rFonts w:ascii="Arial" w:cs="Arial" w:eastAsia="Arial" w:hAnsi="Arial"/>
                <w:sz w:val="18"/>
                <w:szCs w:val="18"/>
                <w:color w:val="auto"/>
                <w:w w:val="95"/>
              </w:rPr>
              <w:t>deteriorated credit quality</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nine months ended September 30, 2019 and September 30, 2018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Unfunded</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Loan</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Commitment</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w:t>
            </w:r>
          </w:p>
        </w:tc>
        <w:tc>
          <w:tcPr>
            <w:tcW w:w="1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Commercial</w:t>
            </w:r>
          </w:p>
        </w:tc>
        <w:tc>
          <w:tcPr>
            <w:tcW w:w="11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&amp; Letters of</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00" w:type="dxa"/>
            <w:vAlign w:val="bottom"/>
            <w:tcBorders>
              <w:right w:val="single" w:sz="8" w:color="auto"/>
            </w:tcBorders>
            <w:gridSpan w:val="4"/>
          </w:tcPr>
          <w:p>
            <w:pPr>
              <w:ind w:left="56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w w:val="98"/>
              </w:rPr>
              <w:t>Real Estate</w:t>
            </w:r>
          </w:p>
        </w:tc>
        <w:tc>
          <w:tcPr>
            <w:tcW w:w="11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1"/>
              </w:rPr>
              <w:t>Credit</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Unallocated</w:t>
            </w:r>
          </w:p>
        </w:tc>
        <w:tc>
          <w:tcPr>
            <w:tcW w:w="1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4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September 30, 2019</w:t>
            </w: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7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FOR</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Beginning balance</w:t>
            </w:r>
          </w:p>
        </w:tc>
        <w:tc>
          <w:tcPr>
            <w:tcW w:w="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right w:val="single" w:sz="8" w:color="auto"/>
            </w:tcBorders>
            <w:shd w:val="clear" w:color="auto" w:fill="CFF0FC"/>
          </w:tcPr>
          <w:p>
            <w:pPr>
              <w:spacing w:after="0"/>
              <w:rPr>
                <w:sz w:val="19"/>
                <w:szCs w:val="19"/>
                <w:color w:val="auto"/>
              </w:rPr>
            </w:pP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gridSpan w:val="4"/>
          </w:tcPr>
          <w:p>
            <w:pPr>
              <w:ind w:left="260"/>
              <w:spacing w:after="0"/>
              <w:rPr>
                <w:sz w:val="20"/>
                <w:szCs w:val="20"/>
                <w:color w:val="auto"/>
              </w:rPr>
            </w:pPr>
            <w:r>
              <w:rPr>
                <w:rFonts w:ascii="Arial" w:cs="Arial" w:eastAsia="Arial" w:hAnsi="Arial"/>
                <w:sz w:val="18"/>
                <w:szCs w:val="18"/>
                <w:color w:val="auto"/>
              </w:rPr>
              <w:t>Provision (Credit)</w:t>
            </w: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Other</w:t>
            </w:r>
          </w:p>
        </w:tc>
        <w:tc>
          <w:tcPr>
            <w:tcW w:w="14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Non-interest</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right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5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FF0FC"/>
              <w:right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260" w:type="dxa"/>
            <w:vAlign w:val="bottom"/>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12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4"/>
          </w:tcPr>
          <w:p>
            <w:pPr>
              <w:spacing w:after="0"/>
              <w:rPr>
                <w:sz w:val="20"/>
                <w:szCs w:val="20"/>
                <w:color w:val="auto"/>
              </w:rPr>
            </w:pPr>
            <w:r>
              <w:rPr>
                <w:rFonts w:ascii="Arial" w:cs="Arial" w:eastAsia="Arial" w:hAnsi="Arial"/>
                <w:sz w:val="18"/>
                <w:szCs w:val="18"/>
                <w:color w:val="auto"/>
              </w:rPr>
              <w:t>collectively evaluated</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right w:val="single" w:sz="8" w:color="auto"/>
            </w:tcBorders>
          </w:tcPr>
          <w:p>
            <w:pPr>
              <w:spacing w:after="0"/>
              <w:rPr>
                <w:sz w:val="23"/>
                <w:szCs w:val="23"/>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6"/>
              </w:rPr>
              <w:t>balance:</w:t>
            </w:r>
          </w:p>
        </w:tc>
        <w:tc>
          <w:tcPr>
            <w:tcW w:w="56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loans</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97"/>
              </w:rPr>
              <w:t>deteriorated</w:t>
            </w:r>
          </w:p>
        </w:tc>
        <w:tc>
          <w:tcPr>
            <w:tcW w:w="7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9"/>
              </w:rPr>
              <w:t>credit</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7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5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158,458</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200,625</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110,405</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501,095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138,395</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49,718</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1,158,696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26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4"/>
          </w:tcPr>
          <w:p>
            <w:pPr>
              <w:spacing w:after="0"/>
              <w:rPr>
                <w:sz w:val="20"/>
                <w:szCs w:val="20"/>
                <w:color w:val="auto"/>
              </w:rPr>
            </w:pPr>
            <w:r>
              <w:rPr>
                <w:rFonts w:ascii="Arial" w:cs="Arial" w:eastAsia="Arial" w:hAnsi="Arial"/>
                <w:sz w:val="18"/>
                <w:szCs w:val="18"/>
                <w:color w:val="auto"/>
              </w:rPr>
              <w:t>individually evaluated</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right w:val="single" w:sz="8" w:color="auto"/>
            </w:tcBorders>
          </w:tcPr>
          <w:p>
            <w:pPr>
              <w:spacing w:after="0"/>
              <w:rPr>
                <w:sz w:val="23"/>
                <w:szCs w:val="23"/>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260" w:type="dxa"/>
            <w:vAlign w:val="bottom"/>
            <w:tcBorders>
              <w:top w:val="single" w:sz="8" w:color="CFF0FC"/>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balance:</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157,659</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200,219</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110,037</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500,791</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136,997</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49,718</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1,155,421</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w w:val="96"/>
              </w:rPr>
              <w:t>balance:</w:t>
            </w:r>
          </w:p>
        </w:tc>
        <w:tc>
          <w:tcPr>
            <w:tcW w:w="5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420"/>
              <w:spacing w:after="0"/>
              <w:rPr>
                <w:sz w:val="20"/>
                <w:szCs w:val="20"/>
                <w:color w:val="auto"/>
              </w:rPr>
            </w:pPr>
            <w:r>
              <w:rPr>
                <w:rFonts w:ascii="Arial" w:cs="Arial" w:eastAsia="Arial" w:hAnsi="Arial"/>
                <w:sz w:val="18"/>
                <w:szCs w:val="18"/>
                <w:color w:val="auto"/>
                <w:w w:val="97"/>
              </w:rPr>
              <w:t>deteriorated</w:t>
            </w: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credit</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quality</w:t>
            </w:r>
          </w:p>
        </w:tc>
        <w:tc>
          <w:tcPr>
            <w:tcW w:w="700" w:type="dxa"/>
            <w:vAlign w:val="bottom"/>
          </w:tcPr>
          <w:p>
            <w:pPr>
              <w:spacing w:after="0"/>
              <w:rPr>
                <w:sz w:val="20"/>
                <w:szCs w:val="20"/>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0" w:type="dxa"/>
            <w:vAlign w:val="bottom"/>
            <w:gridSpan w:val="9"/>
          </w:tcPr>
          <w:p>
            <w:pPr>
              <w:ind w:left="220"/>
              <w:spacing w:after="0"/>
              <w:rPr>
                <w:sz w:val="20"/>
                <w:szCs w:val="20"/>
                <w:color w:val="auto"/>
              </w:rPr>
            </w:pPr>
            <w:r>
              <w:rPr>
                <w:rFonts w:ascii="Arial" w:cs="Arial" w:eastAsia="Arial" w:hAnsi="Arial"/>
                <w:sz w:val="18"/>
                <w:szCs w:val="18"/>
                <w:color w:val="auto"/>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Unfunded</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Loan</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7"/>
              </w:rPr>
              <w:t>Commitment</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Consumer</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Commercial</w:t>
            </w:r>
          </w:p>
        </w:tc>
        <w:tc>
          <w:tcPr>
            <w:tcW w:w="11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5"/>
              </w:rPr>
              <w:t>&amp; Letters of</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Real Estate</w:t>
            </w:r>
          </w:p>
        </w:tc>
        <w:tc>
          <w:tcPr>
            <w:tcW w:w="11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w:t>
            </w:r>
          </w:p>
        </w:tc>
        <w:tc>
          <w:tcPr>
            <w:tcW w:w="10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Unallocated</w:t>
            </w:r>
          </w:p>
        </w:tc>
        <w:tc>
          <w:tcPr>
            <w:tcW w:w="18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Nine</w:t>
            </w:r>
          </w:p>
        </w:tc>
        <w:tc>
          <w:tcPr>
            <w:tcW w:w="840" w:type="dxa"/>
            <w:vAlign w:val="bottom"/>
            <w:tcBorders>
              <w:top w:val="single" w:sz="8" w:color="CFF0FC"/>
            </w:tcBorders>
            <w:gridSpan w:val="2"/>
            <w:shd w:val="clear" w:color="auto" w:fill="CFF0FC"/>
          </w:tcPr>
          <w:p>
            <w:pPr>
              <w:ind w:left="100"/>
              <w:spacing w:after="0" w:line="205" w:lineRule="exact"/>
              <w:rPr>
                <w:sz w:val="20"/>
                <w:szCs w:val="20"/>
                <w:color w:val="auto"/>
              </w:rPr>
            </w:pPr>
            <w:r>
              <w:rPr>
                <w:rFonts w:ascii="Arial" w:cs="Arial" w:eastAsia="Arial" w:hAnsi="Arial"/>
                <w:sz w:val="18"/>
                <w:szCs w:val="18"/>
                <w:b w:val="1"/>
                <w:bCs w:val="1"/>
                <w:color w:val="auto"/>
              </w:rPr>
              <w:t>Months</w:t>
            </w:r>
          </w:p>
        </w:tc>
        <w:tc>
          <w:tcPr>
            <w:tcW w:w="720" w:type="dxa"/>
            <w:vAlign w:val="bottom"/>
            <w:tcBorders>
              <w:top w:val="single" w:sz="8" w:color="CFF0FC"/>
            </w:tcBorders>
            <w:gridSpan w:val="2"/>
            <w:shd w:val="clear" w:color="auto" w:fill="CFF0FC"/>
          </w:tcPr>
          <w:p>
            <w:pPr>
              <w:jc w:val="right"/>
              <w:ind w:right="30"/>
              <w:spacing w:after="0" w:line="205" w:lineRule="exact"/>
              <w:rPr>
                <w:sz w:val="20"/>
                <w:szCs w:val="20"/>
                <w:color w:val="auto"/>
              </w:rPr>
            </w:pPr>
            <w:r>
              <w:rPr>
                <w:rFonts w:ascii="Arial" w:cs="Arial" w:eastAsia="Arial" w:hAnsi="Arial"/>
                <w:sz w:val="18"/>
                <w:szCs w:val="18"/>
                <w:b w:val="1"/>
                <w:bCs w:val="1"/>
                <w:color w:val="auto"/>
              </w:rPr>
              <w:t>Ended</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w w:val="91"/>
              </w:rPr>
              <w:t>September 30, 2018</w:t>
            </w: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ALLOWANCE</w:t>
            </w:r>
          </w:p>
        </w:tc>
        <w:tc>
          <w:tcPr>
            <w:tcW w:w="200" w:type="dxa"/>
            <w:vAlign w:val="bottom"/>
          </w:tcPr>
          <w:p>
            <w:pPr>
              <w:spacing w:after="0"/>
              <w:rPr>
                <w:sz w:val="18"/>
                <w:szCs w:val="18"/>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FOR</w:t>
            </w: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0"/>
              </w:rPr>
              <w:t>Beginning balance</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gridSpan w:val="3"/>
          </w:tcPr>
          <w:p>
            <w:pPr>
              <w:ind w:left="260"/>
              <w:spacing w:after="0"/>
              <w:rPr>
                <w:sz w:val="20"/>
                <w:szCs w:val="20"/>
                <w:color w:val="auto"/>
              </w:rPr>
            </w:pPr>
            <w:r>
              <w:rPr>
                <w:rFonts w:ascii="Arial" w:cs="Arial" w:eastAsia="Arial" w:hAnsi="Arial"/>
                <w:sz w:val="18"/>
                <w:szCs w:val="18"/>
                <w:color w:val="auto"/>
              </w:rPr>
              <w:t>Charge Offs</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88"/>
              </w:rPr>
              <w:t>Recoveries</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gridSpan w:val="4"/>
          </w:tcPr>
          <w:p>
            <w:pPr>
              <w:ind w:left="260"/>
              <w:spacing w:after="0"/>
              <w:rPr>
                <w:sz w:val="20"/>
                <w:szCs w:val="20"/>
                <w:color w:val="auto"/>
              </w:rPr>
            </w:pPr>
            <w:r>
              <w:rPr>
                <w:rFonts w:ascii="Arial" w:cs="Arial" w:eastAsia="Arial" w:hAnsi="Arial"/>
                <w:sz w:val="18"/>
                <w:szCs w:val="18"/>
                <w:color w:val="auto"/>
                <w:w w:val="92"/>
              </w:rPr>
              <w:t>Provision (Credit)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00" w:type="dxa"/>
            <w:vAlign w:val="bottom"/>
            <w:gridSpan w:val="4"/>
            <w:shd w:val="clear" w:color="auto" w:fill="CFF0FC"/>
          </w:tcPr>
          <w:p>
            <w:pPr>
              <w:jc w:val="right"/>
              <w:ind w:right="210"/>
              <w:spacing w:after="0"/>
              <w:rPr>
                <w:sz w:val="20"/>
                <w:szCs w:val="20"/>
                <w:color w:val="auto"/>
              </w:rPr>
            </w:pPr>
            <w:r>
              <w:rPr>
                <w:rFonts w:ascii="Arial" w:cs="Arial" w:eastAsia="Arial" w:hAnsi="Arial"/>
                <w:sz w:val="18"/>
                <w:szCs w:val="18"/>
                <w:color w:val="auto"/>
                <w:w w:val="89"/>
              </w:rPr>
              <w:t>Non-interest</w:t>
            </w: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w w:val="86"/>
              </w:rPr>
              <w:t>expense related to</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0"/>
              </w:rPr>
              <w:t>unfunded</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FF0FC"/>
              <w:right w:val="single" w:sz="8" w:color="auto"/>
            </w:tcBorders>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Borders>
              <w:bottom w:val="single" w:sz="8" w:color="CFF0FC"/>
              <w:right w:val="single" w:sz="8" w:color="auto"/>
            </w:tcBorders>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bottom w:val="single" w:sz="8" w:color="CFF0FC"/>
            </w:tcBorders>
          </w:tcPr>
          <w:p>
            <w:pPr>
              <w:spacing w:after="0"/>
              <w:rPr>
                <w:sz w:val="22"/>
                <w:szCs w:val="22"/>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89"/>
              </w:rPr>
              <w:t>Ending</w:t>
            </w: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CFF0FC"/>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CFF0FC"/>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auto"/>
                <w:w w:val="89"/>
              </w:rPr>
              <w:t>Ending</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6"/>
          </w:tcPr>
          <w:p>
            <w:pPr>
              <w:spacing w:after="0"/>
              <w:rPr>
                <w:sz w:val="20"/>
                <w:szCs w:val="20"/>
                <w:color w:val="auto"/>
              </w:rPr>
            </w:pPr>
            <w:r>
              <w:rPr>
                <w:rFonts w:ascii="Arial" w:cs="Arial" w:eastAsia="Arial" w:hAnsi="Arial"/>
                <w:sz w:val="18"/>
                <w:szCs w:val="18"/>
                <w:color w:val="auto"/>
              </w:rPr>
              <w:t>collectively evaluated</w:t>
            </w: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3"/>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tcPr>
          <w:p>
            <w:pPr>
              <w:spacing w:after="0"/>
              <w:rPr>
                <w:sz w:val="23"/>
                <w:szCs w:val="23"/>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right w:val="single" w:sz="8" w:color="auto"/>
            </w:tcBorders>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Borders>
              <w:right w:val="single" w:sz="8" w:color="auto"/>
            </w:tcBorders>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right w:val="single" w:sz="8" w:color="auto"/>
            </w:tcBorders>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3"/>
                <w:szCs w:val="23"/>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6,940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89"/>
              </w:rPr>
              <w:t>Ending</w:t>
            </w:r>
          </w:p>
        </w:tc>
        <w:tc>
          <w:tcPr>
            <w:tcW w:w="840" w:type="dxa"/>
            <w:vAlign w:val="bottom"/>
            <w:tcBorders>
              <w:top w:val="single" w:sz="8" w:color="CFF0FC"/>
            </w:tcBorders>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2"/>
              </w:rPr>
              <w:t>loans</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left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acquired with</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CFF0FC"/>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deteriorated</w:t>
            </w:r>
          </w:p>
        </w:tc>
        <w:tc>
          <w:tcPr>
            <w:tcW w:w="7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90"/>
              </w:rPr>
              <w:t>credit</w:t>
            </w: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CFF0FC"/>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6"/>
              </w:rPr>
              <w:t>quality</w:t>
            </w: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9"/>
              </w:rPr>
              <w:t>RECEIVABLES: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82,629</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68,524</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103,760</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416,632</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125,612</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41,541</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838,698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5" w:lineRule="exact"/>
              <w:rPr>
                <w:sz w:val="20"/>
                <w:szCs w:val="20"/>
                <w:color w:val="auto"/>
              </w:rPr>
            </w:pPr>
            <w:r>
              <w:rPr>
                <w:rFonts w:ascii="Arial" w:cs="Arial" w:eastAsia="Arial" w:hAnsi="Arial"/>
                <w:sz w:val="18"/>
                <w:szCs w:val="18"/>
                <w:color w:val="auto"/>
                <w:w w:val="89"/>
              </w:rPr>
              <w:t>Ending</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6"/>
          </w:tcPr>
          <w:p>
            <w:pPr>
              <w:spacing w:after="0"/>
              <w:rPr>
                <w:sz w:val="20"/>
                <w:szCs w:val="20"/>
                <w:color w:val="auto"/>
              </w:rPr>
            </w:pPr>
            <w:r>
              <w:rPr>
                <w:rFonts w:ascii="Arial" w:cs="Arial" w:eastAsia="Arial" w:hAnsi="Arial"/>
                <w:sz w:val="18"/>
                <w:szCs w:val="18"/>
                <w:color w:val="auto"/>
              </w:rPr>
              <w:t>individually evaluated</w:t>
            </w: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3"/>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tcPr>
          <w:p>
            <w:pPr>
              <w:spacing w:after="0"/>
              <w:rPr>
                <w:sz w:val="23"/>
                <w:szCs w:val="23"/>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right w:val="single" w:sz="8" w:color="auto"/>
            </w:tcBorders>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right w:val="single" w:sz="8" w:color="auto"/>
            </w:tcBorders>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2,811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89"/>
              </w:rPr>
              <w:t>Ending</w:t>
            </w:r>
          </w:p>
        </w:tc>
        <w:tc>
          <w:tcPr>
            <w:tcW w:w="5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left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CFF0FC"/>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81,748</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68,524</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103,760</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416,436</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123,760</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41,541</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835,769</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89"/>
              </w:rPr>
              <w:t>Ending</w:t>
            </w:r>
          </w:p>
        </w:tc>
        <w:tc>
          <w:tcPr>
            <w:tcW w:w="840" w:type="dxa"/>
            <w:vAlign w:val="bottom"/>
            <w:tcBorders>
              <w:top w:val="single" w:sz="8" w:color="CFF0FC"/>
              <w:bottom w:val="single" w:sz="8" w:color="CFF0FC"/>
            </w:tcBorders>
            <w:gridSpan w:val="2"/>
            <w:vMerge w:val="restart"/>
          </w:tcPr>
          <w:p>
            <w:pPr>
              <w:ind w:left="240"/>
              <w:spacing w:after="0"/>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92"/>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w w:val="99"/>
              </w:rPr>
              <w:t>acquired with</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deteriorated</w:t>
            </w:r>
          </w:p>
        </w:tc>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credit</w:t>
            </w: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6"/>
              </w:rPr>
              <w:t>quality</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right w:val="single" w:sz="8" w:color="auto"/>
            </w:tcBorders>
          </w:tcPr>
          <w:p>
            <w:pPr>
              <w:spacing w:after="0"/>
              <w:rPr>
                <w:sz w:val="20"/>
                <w:szCs w:val="20"/>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D9D9D9"/>
          </w:tcPr>
          <w:p>
            <w:pPr>
              <w:spacing w:after="0"/>
              <w:rPr>
                <w:sz w:val="8"/>
                <w:szCs w:val="8"/>
                <w:color w:val="auto"/>
              </w:rPr>
            </w:pPr>
          </w:p>
        </w:tc>
        <w:tc>
          <w:tcPr>
            <w:tcW w:w="560" w:type="dxa"/>
            <w:vAlign w:val="bottom"/>
            <w:shd w:val="clear" w:color="auto" w:fill="D9D9D9"/>
          </w:tcPr>
          <w:p>
            <w:pPr>
              <w:spacing w:after="0"/>
              <w:rPr>
                <w:sz w:val="8"/>
                <w:szCs w:val="8"/>
                <w:color w:val="auto"/>
              </w:rPr>
            </w:pPr>
          </w:p>
        </w:tc>
        <w:tc>
          <w:tcPr>
            <w:tcW w:w="280" w:type="dxa"/>
            <w:vAlign w:val="bottom"/>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520" w:type="dxa"/>
            <w:vAlign w:val="bottom"/>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620" w:type="dxa"/>
            <w:vAlign w:val="bottom"/>
            <w:shd w:val="clear" w:color="auto" w:fill="D9D9D9"/>
          </w:tcPr>
          <w:p>
            <w:pPr>
              <w:spacing w:after="0"/>
              <w:rPr>
                <w:sz w:val="8"/>
                <w:szCs w:val="8"/>
                <w:color w:val="auto"/>
              </w:rPr>
            </w:pPr>
          </w:p>
        </w:tc>
        <w:tc>
          <w:tcPr>
            <w:tcW w:w="120" w:type="dxa"/>
            <w:vAlign w:val="bottom"/>
            <w:tcBorders>
              <w:right w:val="single" w:sz="8" w:color="D9D9D9"/>
            </w:tcBorders>
            <w:shd w:val="clear" w:color="auto" w:fill="D9D9D9"/>
          </w:tcPr>
          <w:p>
            <w:pPr>
              <w:spacing w:after="0"/>
              <w:rPr>
                <w:sz w:val="8"/>
                <w:szCs w:val="8"/>
                <w:color w:val="auto"/>
              </w:rPr>
            </w:pPr>
          </w:p>
        </w:tc>
        <w:tc>
          <w:tcPr>
            <w:tcW w:w="300" w:type="dxa"/>
            <w:vAlign w:val="bottom"/>
            <w:shd w:val="clear" w:color="auto" w:fill="D9D9D9"/>
          </w:tcPr>
          <w:p>
            <w:pPr>
              <w:spacing w:after="0"/>
              <w:rPr>
                <w:sz w:val="8"/>
                <w:szCs w:val="8"/>
                <w:color w:val="auto"/>
              </w:rPr>
            </w:pPr>
          </w:p>
        </w:tc>
        <w:tc>
          <w:tcPr>
            <w:tcW w:w="660" w:type="dxa"/>
            <w:vAlign w:val="bottom"/>
            <w:shd w:val="clear" w:color="auto" w:fill="D9D9D9"/>
          </w:tcPr>
          <w:p>
            <w:pPr>
              <w:spacing w:after="0"/>
              <w:rPr>
                <w:sz w:val="8"/>
                <w:szCs w:val="8"/>
                <w:color w:val="auto"/>
              </w:rPr>
            </w:pPr>
          </w:p>
        </w:tc>
        <w:tc>
          <w:tcPr>
            <w:tcW w:w="100" w:type="dxa"/>
            <w:vAlign w:val="bottom"/>
            <w:tcBorders>
              <w:right w:val="single" w:sz="8" w:color="D9D9D9"/>
            </w:tcBorders>
            <w:shd w:val="clear" w:color="auto" w:fill="D9D9D9"/>
          </w:tcPr>
          <w:p>
            <w:pPr>
              <w:spacing w:after="0"/>
              <w:rPr>
                <w:sz w:val="8"/>
                <w:szCs w:val="8"/>
                <w:color w:val="auto"/>
              </w:rPr>
            </w:pPr>
          </w:p>
        </w:tc>
        <w:tc>
          <w:tcPr>
            <w:tcW w:w="260" w:type="dxa"/>
            <w:vAlign w:val="bottom"/>
            <w:shd w:val="clear" w:color="auto" w:fill="D9D9D9"/>
          </w:tcPr>
          <w:p>
            <w:pPr>
              <w:spacing w:after="0"/>
              <w:rPr>
                <w:sz w:val="8"/>
                <w:szCs w:val="8"/>
                <w:color w:val="auto"/>
              </w:rPr>
            </w:pPr>
          </w:p>
        </w:tc>
        <w:tc>
          <w:tcPr>
            <w:tcW w:w="700" w:type="dxa"/>
            <w:vAlign w:val="bottom"/>
            <w:shd w:val="clear" w:color="auto" w:fill="D9D9D9"/>
          </w:tcPr>
          <w:p>
            <w:pPr>
              <w:spacing w:after="0"/>
              <w:rPr>
                <w:sz w:val="8"/>
                <w:szCs w:val="8"/>
                <w:color w:val="auto"/>
              </w:rPr>
            </w:pPr>
          </w:p>
        </w:tc>
        <w:tc>
          <w:tcPr>
            <w:tcW w:w="120" w:type="dxa"/>
            <w:vAlign w:val="bottom"/>
            <w:tcBorders>
              <w:right w:val="single" w:sz="8" w:color="D9D9D9"/>
            </w:tcBorders>
            <w:shd w:val="clear" w:color="auto" w:fill="D9D9D9"/>
          </w:tcPr>
          <w:p>
            <w:pPr>
              <w:spacing w:after="0"/>
              <w:rPr>
                <w:sz w:val="8"/>
                <w:szCs w:val="8"/>
                <w:color w:val="auto"/>
              </w:rPr>
            </w:pPr>
          </w:p>
        </w:tc>
        <w:tc>
          <w:tcPr>
            <w:tcW w:w="260" w:type="dxa"/>
            <w:vAlign w:val="bottom"/>
            <w:shd w:val="clear" w:color="auto" w:fill="D9D9D9"/>
          </w:tcPr>
          <w:p>
            <w:pPr>
              <w:spacing w:after="0"/>
              <w:rPr>
                <w:sz w:val="8"/>
                <w:szCs w:val="8"/>
                <w:color w:val="auto"/>
              </w:rPr>
            </w:pPr>
          </w:p>
        </w:tc>
        <w:tc>
          <w:tcPr>
            <w:tcW w:w="700" w:type="dxa"/>
            <w:vAlign w:val="bottom"/>
            <w:shd w:val="clear" w:color="auto" w:fill="D9D9D9"/>
          </w:tcPr>
          <w:p>
            <w:pPr>
              <w:spacing w:after="0"/>
              <w:rPr>
                <w:sz w:val="8"/>
                <w:szCs w:val="8"/>
                <w:color w:val="auto"/>
              </w:rPr>
            </w:pPr>
          </w:p>
        </w:tc>
        <w:tc>
          <w:tcPr>
            <w:tcW w:w="120" w:type="dxa"/>
            <w:vAlign w:val="bottom"/>
            <w:tcBorders>
              <w:right w:val="single" w:sz="8" w:color="D9D9D9"/>
            </w:tcBorders>
            <w:shd w:val="clear" w:color="auto" w:fill="D9D9D9"/>
          </w:tcPr>
          <w:p>
            <w:pPr>
              <w:spacing w:after="0"/>
              <w:rPr>
                <w:sz w:val="8"/>
                <w:szCs w:val="8"/>
                <w:color w:val="auto"/>
              </w:rPr>
            </w:pPr>
          </w:p>
        </w:tc>
        <w:tc>
          <w:tcPr>
            <w:tcW w:w="300" w:type="dxa"/>
            <w:vAlign w:val="bottom"/>
            <w:shd w:val="clear" w:color="auto" w:fill="D9D9D9"/>
          </w:tcPr>
          <w:p>
            <w:pPr>
              <w:spacing w:after="0"/>
              <w:rPr>
                <w:sz w:val="8"/>
                <w:szCs w:val="8"/>
                <w:color w:val="auto"/>
              </w:rPr>
            </w:pPr>
          </w:p>
        </w:tc>
        <w:tc>
          <w:tcPr>
            <w:tcW w:w="760" w:type="dxa"/>
            <w:vAlign w:val="bottom"/>
            <w:shd w:val="clear" w:color="auto" w:fill="D9D9D9"/>
          </w:tcPr>
          <w:p>
            <w:pPr>
              <w:spacing w:after="0"/>
              <w:rPr>
                <w:sz w:val="8"/>
                <w:szCs w:val="8"/>
                <w:color w:val="auto"/>
              </w:rPr>
            </w:pPr>
          </w:p>
        </w:tc>
        <w:tc>
          <w:tcPr>
            <w:tcW w:w="120" w:type="dxa"/>
            <w:vAlign w:val="bottom"/>
            <w:tcBorders>
              <w:right w:val="single" w:sz="8" w:color="D9D9D9"/>
            </w:tcBorders>
            <w:shd w:val="clear" w:color="auto" w:fill="D9D9D9"/>
          </w:tcPr>
          <w:p>
            <w:pPr>
              <w:spacing w:after="0"/>
              <w:rPr>
                <w:sz w:val="8"/>
                <w:szCs w:val="8"/>
                <w:color w:val="auto"/>
              </w:rPr>
            </w:pPr>
          </w:p>
        </w:tc>
        <w:tc>
          <w:tcPr>
            <w:tcW w:w="24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100" w:type="dxa"/>
            <w:vAlign w:val="bottom"/>
            <w:tcBorders>
              <w:right w:val="single" w:sz="8" w:color="D9D9D9"/>
            </w:tcBorders>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86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440" w:type="dxa"/>
            <w:vAlign w:val="bottom"/>
            <w:tcBorders>
              <w:left w:val="single" w:sz="8" w:color="D9D9D9"/>
            </w:tcBorders>
            <w:shd w:val="clear" w:color="auto" w:fill="D9D9D9"/>
          </w:tcPr>
          <w:p>
            <w:pPr>
              <w:spacing w:after="0"/>
              <w:rPr>
                <w:sz w:val="8"/>
                <w:szCs w:val="8"/>
                <w:color w:val="auto"/>
              </w:rPr>
            </w:pPr>
          </w:p>
        </w:tc>
        <w:tc>
          <w:tcPr>
            <w:tcW w:w="540" w:type="dxa"/>
            <w:vAlign w:val="bottom"/>
            <w:shd w:val="clear" w:color="auto" w:fill="D9D9D9"/>
          </w:tcPr>
          <w:p>
            <w:pPr>
              <w:spacing w:after="0"/>
              <w:rPr>
                <w:sz w:val="8"/>
                <w:szCs w:val="8"/>
                <w:color w:val="auto"/>
              </w:rPr>
            </w:pPr>
          </w:p>
        </w:tc>
        <w:tc>
          <w:tcPr>
            <w:tcW w:w="100" w:type="dxa"/>
            <w:vAlign w:val="bottom"/>
            <w:tcBorders>
              <w:right w:val="single" w:sz="8" w:color="D9D9D9"/>
            </w:tcBorders>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620" w:type="dxa"/>
            <w:vAlign w:val="bottom"/>
            <w:shd w:val="clear" w:color="auto" w:fill="D9D9D9"/>
          </w:tcPr>
          <w:p>
            <w:pPr>
              <w:spacing w:after="0"/>
              <w:rPr>
                <w:sz w:val="8"/>
                <w:szCs w:val="8"/>
                <w:color w:val="auto"/>
              </w:rPr>
            </w:pPr>
          </w:p>
        </w:tc>
        <w:tc>
          <w:tcPr>
            <w:tcW w:w="80" w:type="dxa"/>
            <w:vAlign w:val="bottom"/>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 5 EARNINGS PER SHARE</w:t>
      </w:r>
    </w:p>
    <w:p>
      <w:pPr>
        <w:spacing w:after="0" w:line="252"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right"/>
              <w:ind w:right="530"/>
              <w:spacing w:after="0"/>
              <w:rPr>
                <w:sz w:val="20"/>
                <w:szCs w:val="20"/>
                <w:color w:val="auto"/>
              </w:rPr>
            </w:pPr>
            <w:r>
              <w:rPr>
                <w:rFonts w:ascii="Arial" w:cs="Arial" w:eastAsia="Arial" w:hAnsi="Arial"/>
                <w:sz w:val="18"/>
                <w:szCs w:val="18"/>
                <w:color w:val="auto"/>
              </w:rPr>
              <w:t>(in thousands of dollars)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5"/>
          </w:tcPr>
          <w:p>
            <w:pPr>
              <w:jc w:val="right"/>
              <w:ind w:right="57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5"/>
          </w:tcPr>
          <w:p>
            <w:pPr>
              <w:jc w:val="right"/>
              <w:ind w:right="7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w w:val="86"/>
              </w:rPr>
              <w:t>September 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Borders>
              <w:bottom w:val="single" w:sz="8" w:color="CFF0FC"/>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160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13,679</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vMerge w:val="continue"/>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vMerge w:val="restart"/>
          </w:tcPr>
          <w:p>
            <w:pPr>
              <w:ind w:left="120"/>
              <w:spacing w:after="0"/>
              <w:rPr>
                <w:sz w:val="20"/>
                <w:szCs w:val="20"/>
                <w:color w:val="auto"/>
              </w:rPr>
            </w:pPr>
            <w:r>
              <w:rPr>
                <w:rFonts w:ascii="Arial" w:cs="Arial" w:eastAsia="Arial" w:hAnsi="Arial"/>
                <w:sz w:val="18"/>
                <w:szCs w:val="18"/>
                <w:color w:val="auto"/>
              </w:rPr>
              <w:t>securities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CFF0FC"/>
            </w:tcBorders>
            <w:vMerge w:val="continue"/>
          </w:tcPr>
          <w:p>
            <w:pPr>
              <w:spacing w:after="0"/>
              <w:rPr>
                <w:sz w:val="9"/>
                <w:szCs w:val="9"/>
                <w:color w:val="auto"/>
              </w:rPr>
            </w:pPr>
          </w:p>
        </w:tc>
        <w:tc>
          <w:tcPr>
            <w:tcW w:w="38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3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4,243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3,836</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13,579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common shares outstanding including</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11,121,426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9,274,507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11,105,993</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9,268,819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participating securities</w:t>
            </w: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vMerge w:val="continue"/>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average unvested restricted shares</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(79,335)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(93,242)</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(81,569)</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11,042,091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9,181,265</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11,024,424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9,176,136</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Basic earnings and diluted per share</w:t>
            </w:r>
          </w:p>
        </w:tc>
        <w:tc>
          <w:tcPr>
            <w:tcW w:w="4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right="3640" w:hanging="1405"/>
        <w:spacing w:after="0" w:line="810" w:lineRule="auto"/>
        <w:tabs>
          <w:tab w:leader="none" w:pos="4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w:t>
      </w:r>
    </w:p>
    <w:p>
      <w:pPr>
        <w:spacing w:after="0" w:line="185"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Bearing Time Deposits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Securities – Available-for-sale</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securities, excluding Federal Home Loan Bank are based on quoted market price, where available. If quoted market prices are not available, fair values are based on quoted market prices of comparable instruments.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Securities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carrying value of Federal Home Loan Bank stock of Cincinnati and Indianapolis, approximates fair value based on the redemption provisions of the respective Federal Home Loan Bank.</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Held for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net</w:t>
      </w:r>
    </w:p>
    <w:p>
      <w:pPr>
        <w:spacing w:after="0" w:line="198"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 and/or the Bank’s most recent acquisition experience.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Deposits</w:t>
      </w:r>
    </w:p>
    <w:p>
      <w:pPr>
        <w:spacing w:after="0" w:line="18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FHLB Advances</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91440</wp:posOffset>
            </wp:positionV>
            <wp:extent cx="676656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Interest Receivable and Payable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 Balance Sheet Financial Instruments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September 30, 2019 and December 31, 2018 are reflected below.</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7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9020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114,592</w:t>
            </w: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114,592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114,592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190,465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190,465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174,947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1,509</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5,789</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606</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1,151,937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1,129,954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1,129,954</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7,830</w:t>
            </w:r>
          </w:p>
        </w:tc>
      </w:tr>
      <w:tr>
        <w:trPr>
          <w:trHeight w:val="230"/>
        </w:trPr>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741,313</w:t>
            </w: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741,360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741,360</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261,719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261,719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261,719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274,996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275,658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275,658</w:t>
            </w:r>
          </w:p>
        </w:tc>
      </w:tr>
      <w:tr>
        <w:trPr>
          <w:trHeight w:val="224"/>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1,278,028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1,278,707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261,719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1,016,988</w:t>
            </w:r>
          </w:p>
        </w:tc>
      </w:tr>
      <w:tr>
        <w:trPr>
          <w:trHeight w:val="674"/>
        </w:trPr>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30,056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30,056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30,056</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24,669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24,672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24,672</w:t>
            </w:r>
          </w:p>
        </w:tc>
      </w:tr>
      <w:tr>
        <w:trPr>
          <w:trHeight w:val="230"/>
        </w:trPr>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739</w:t>
            </w:r>
          </w:p>
        </w:tc>
      </w:tr>
      <w:tr>
        <w:trPr>
          <w:trHeight w:val="432"/>
        </w:trPr>
        <w:tc>
          <w:tcPr>
            <w:tcW w:w="120" w:type="dxa"/>
            <w:vAlign w:val="bottom"/>
          </w:tcPr>
          <w:p>
            <w:pPr>
              <w:spacing w:after="0"/>
              <w:rPr>
                <w:sz w:val="24"/>
                <w:szCs w:val="24"/>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-3052445</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-2752090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-2460625</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-2169160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-1877695</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-1585595</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-1294130</wp:posOffset>
            </wp:positionV>
            <wp:extent cx="72466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-994410</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-565150</wp:posOffset>
            </wp:positionV>
            <wp:extent cx="72466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55880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560" w:space="720"/>
            <w:col w:w="6140"/>
          </w:cols>
          <w:pgMar w:left="240" w:top="125" w:right="239" w:bottom="1440" w:gutter="0" w:footer="0" w:header="0"/>
          <w:type w:val="continuous"/>
        </w:sectPr>
      </w:pPr>
    </w:p>
    <w:bookmarkStart w:id="37" w:name="page38"/>
    <w:bookmarkEnd w:id="37"/>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2018</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38,365</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38,365</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38,365</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Securities - available-for-sale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168,447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36,935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130,085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839,599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823,914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823,914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Financial Liabilities: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 deposits</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525,955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525,955</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525,955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Non-interest bearing deposits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7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187,413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187,545</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187,545</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928,790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agreement to repurchase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advances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Interest payable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1"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20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September 30, 2019 and December 31, 2018, segregated by level or the valuation inputs within the fair value hierarchy utilized to measure fair value:</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Quoted Prices in</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Significant</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w w:val="99"/>
              </w:rPr>
              <w:t>Active Markets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for Identical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Assets (Level 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14,009</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color w:val="auto"/>
                <w:w w:val="90"/>
              </w:rPr>
              <w:t>Quoted Prices in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Active Markets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for Identical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w w:val="92"/>
              </w:rPr>
              <w:t>Assets (Level 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4"/>
          </w:tcPr>
          <w:p>
            <w:pPr>
              <w:ind w:left="1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22,830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38,601</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36,935</w:t>
            </w:r>
          </w:p>
        </w:tc>
        <w:tc>
          <w:tcPr>
            <w:tcW w:w="2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130,085</w:t>
            </w: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and nine month periods ended September 30, 2019 and September 30,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(In Thousands)</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60" w:type="dxa"/>
            <w:vAlign w:val="bottom"/>
            <w:tcBorders>
              <w:bottom w:val="single" w:sz="8" w:color="auto"/>
            </w:tcBorders>
            <w:gridSpan w:val="8"/>
          </w:tcPr>
          <w:p>
            <w:pPr>
              <w:jc w:val="center"/>
              <w:ind w:right="10"/>
              <w:spacing w:after="0"/>
              <w:rPr>
                <w:sz w:val="20"/>
                <w:szCs w:val="20"/>
                <w:color w:val="auto"/>
              </w:rPr>
            </w:pPr>
            <w:r>
              <w:rPr>
                <w:rFonts w:ascii="Arial" w:cs="Arial" w:eastAsia="Arial" w:hAnsi="Arial"/>
                <w:sz w:val="18"/>
                <w:szCs w:val="18"/>
                <w:color w:val="auto"/>
                <w:w w:val="91"/>
              </w:rPr>
              <w:t>Fair Value Measurements Using Significant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60" w:type="dxa"/>
            <w:vAlign w:val="bottom"/>
            <w:tcBorders>
              <w:bottom w:val="single" w:sz="8" w:color="auto"/>
            </w:tcBorders>
            <w:gridSpan w:val="8"/>
          </w:tcPr>
          <w:p>
            <w:pPr>
              <w:jc w:val="center"/>
              <w:ind w:right="10"/>
              <w:spacing w:after="0"/>
              <w:rPr>
                <w:sz w:val="20"/>
                <w:szCs w:val="20"/>
                <w:color w:val="auto"/>
              </w:rPr>
            </w:pPr>
            <w:r>
              <w:rPr>
                <w:rFonts w:ascii="Arial" w:cs="Arial" w:eastAsia="Arial" w:hAnsi="Arial"/>
                <w:sz w:val="18"/>
                <w:szCs w:val="18"/>
                <w:color w:val="auto"/>
                <w:w w:val="91"/>
              </w:rPr>
              <w:t>Unobservable Inputs (Level 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jc w:val="center"/>
              <w:ind w:left="12"/>
              <w:spacing w:after="0"/>
              <w:rPr>
                <w:sz w:val="20"/>
                <w:szCs w:val="20"/>
                <w:color w:val="auto"/>
              </w:rPr>
            </w:pPr>
            <w:r>
              <w:rPr>
                <w:rFonts w:ascii="Arial" w:cs="Arial" w:eastAsia="Arial" w:hAnsi="Arial"/>
                <w:sz w:val="18"/>
                <w:szCs w:val="18"/>
                <w:color w:val="auto"/>
                <w:w w:val="89"/>
              </w:rPr>
              <w:t>State and Local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State and Local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9"/>
              </w:rPr>
              <w:t>State and Local</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jc w:val="center"/>
              <w:ind w:left="12"/>
              <w:spacing w:after="0"/>
              <w:rPr>
                <w:sz w:val="20"/>
                <w:szCs w:val="20"/>
                <w:color w:val="auto"/>
              </w:rPr>
            </w:pPr>
            <w:r>
              <w:rPr>
                <w:rFonts w:ascii="Arial" w:cs="Arial" w:eastAsia="Arial" w:hAnsi="Arial"/>
                <w:sz w:val="18"/>
                <w:szCs w:val="18"/>
                <w:color w:val="auto"/>
                <w:w w:val="88"/>
              </w:rPr>
              <w:t>Governments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8"/>
              </w:rPr>
              <w:t>Governments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Governments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tcPr>
          <w:p>
            <w:pPr>
              <w:jc w:val="center"/>
              <w:ind w:left="12"/>
              <w:spacing w:after="0"/>
              <w:rPr>
                <w:sz w:val="20"/>
                <w:szCs w:val="20"/>
                <w:color w:val="auto"/>
              </w:rPr>
            </w:pPr>
            <w:r>
              <w:rPr>
                <w:rFonts w:ascii="Arial" w:cs="Arial" w:eastAsia="Arial" w:hAnsi="Arial"/>
                <w:sz w:val="18"/>
                <w:szCs w:val="18"/>
                <w:color w:val="auto"/>
                <w:w w:val="90"/>
              </w:rPr>
              <w:t>Tax-Exempt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7"/>
              </w:rPr>
              <w:t>Taxable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9"/>
              </w:rPr>
              <w:t>Total</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2019</w:t>
            </w:r>
          </w:p>
        </w:tc>
        <w:tc>
          <w:tcPr>
            <w:tcW w:w="1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1132"/>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12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2420" w:type="dxa"/>
            <w:vAlign w:val="bottom"/>
            <w:gridSpan w:val="2"/>
            <w:shd w:val="clear" w:color="auto" w:fill="CFF0FC"/>
          </w:tcPr>
          <w:p>
            <w:pPr>
              <w:jc w:val="right"/>
              <w:ind w:right="11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20" w:type="dxa"/>
            <w:vAlign w:val="bottom"/>
            <w:gridSpan w:val="2"/>
          </w:tcPr>
          <w:p>
            <w:pPr>
              <w:jc w:val="right"/>
              <w:ind w:right="1032"/>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 6 FAIR VALUE OF FINANCIAL INSTRUMENTS (Continued)</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color w:val="auto"/>
                <w:w w:val="91"/>
              </w:rPr>
              <w:t>Unobservable Inputs (Level 3)</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52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State and Local</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Governments</w:t>
            </w:r>
          </w:p>
        </w:tc>
        <w:tc>
          <w:tcPr>
            <w:tcW w:w="2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Governments</w:t>
            </w:r>
          </w:p>
        </w:tc>
        <w:tc>
          <w:tcPr>
            <w:tcW w:w="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2"/>
              </w:rPr>
              <w:t>Tax-Exempt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Taxable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5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color w:val="auto"/>
                <w:w w:val="91"/>
              </w:rPr>
              <w:t>Unobservable Inputs (Level 3)</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52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State and Local</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Governments</w:t>
            </w:r>
          </w:p>
        </w:tc>
        <w:tc>
          <w:tcPr>
            <w:tcW w:w="2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Governments</w:t>
            </w:r>
          </w:p>
        </w:tc>
        <w:tc>
          <w:tcPr>
            <w:tcW w:w="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2"/>
              </w:rPr>
              <w:t>Tax-Exempt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Taxable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2018</w:t>
            </w:r>
          </w:p>
        </w:tc>
        <w:tc>
          <w:tcPr>
            <w:tcW w:w="15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color w:val="auto"/>
                <w:w w:val="91"/>
              </w:rPr>
              <w:t>Unobservable Inputs (Level 3)</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52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State and Local</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Governments</w:t>
            </w:r>
          </w:p>
        </w:tc>
        <w:tc>
          <w:tcPr>
            <w:tcW w:w="2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Governments</w:t>
            </w:r>
          </w:p>
        </w:tc>
        <w:tc>
          <w:tcPr>
            <w:tcW w:w="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2"/>
              </w:rPr>
              <w:t>Tax-Exempt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Taxable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15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59"/>
        </w:trPr>
        <w:tc>
          <w:tcPr>
            <w:tcW w:w="3760" w:type="dxa"/>
            <w:vAlign w:val="bottom"/>
            <w:gridSpan w:val="2"/>
          </w:tcPr>
          <w:p>
            <w:pPr>
              <w:spacing w:after="0"/>
              <w:rPr>
                <w:sz w:val="20"/>
                <w:szCs w:val="20"/>
                <w:color w:val="auto"/>
              </w:rPr>
            </w:pPr>
            <w:r>
              <w:rPr>
                <w:rFonts w:ascii="Arial" w:cs="Arial" w:eastAsia="Arial" w:hAnsi="Arial"/>
                <w:sz w:val="18"/>
                <w:szCs w:val="18"/>
                <w:color w:val="auto"/>
              </w:rPr>
              <w:t>Payments &amp; Maturities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19"/>
                <w:szCs w:val="19"/>
                <w:color w:val="auto"/>
              </w:rPr>
            </w:pPr>
          </w:p>
        </w:tc>
        <w:tc>
          <w:tcPr>
            <w:tcW w:w="360" w:type="dxa"/>
            <w:vAlign w:val="bottom"/>
            <w:gridSpan w:val="2"/>
          </w:tcPr>
          <w:p>
            <w:pPr>
              <w:jc w:val="right"/>
              <w:ind w:right="17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September 30, 2019 and December 31, 2018,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At September 30, 2019 and December 31, 2018, fair value of collateral dependent impaired loans categorized as Level 3 was $106 and $215 thousand, respectively. The specific allocation for impaired loans was $22 and $31 thousand as of September 30, 2019 and December 31, 2018, respectively, which are accounted for in the allowance for loan losses (see Note 4).</w:t>
      </w:r>
    </w:p>
    <w:p>
      <w:pPr>
        <w:spacing w:after="0" w:line="154"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88"/>
              </w:rPr>
              <w:t>September 30, 2019</w:t>
            </w:r>
          </w:p>
        </w:tc>
        <w:tc>
          <w:tcPr>
            <w:tcW w:w="24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Valuation Technique</w:t>
            </w:r>
          </w:p>
        </w:tc>
        <w:tc>
          <w:tcPr>
            <w:tcW w:w="20" w:type="dxa"/>
            <w:vAlign w:val="bottom"/>
          </w:tcPr>
          <w:p>
            <w:pPr>
              <w:spacing w:after="0"/>
              <w:rPr>
                <w:sz w:val="20"/>
                <w:szCs w:val="20"/>
                <w:color w:val="auto"/>
              </w:rPr>
            </w:pPr>
          </w:p>
        </w:tc>
        <w:tc>
          <w:tcPr>
            <w:tcW w:w="3720" w:type="dxa"/>
            <w:vAlign w:val="bottom"/>
            <w:gridSpan w:val="2"/>
          </w:tcPr>
          <w:p>
            <w:pPr>
              <w:ind w:left="104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(23.31% )</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2018</w:t>
            </w:r>
          </w:p>
        </w:tc>
        <w:tc>
          <w:tcPr>
            <w:tcW w:w="24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Valuation Technique</w:t>
            </w:r>
          </w:p>
        </w:tc>
        <w:tc>
          <w:tcPr>
            <w:tcW w:w="20" w:type="dxa"/>
            <w:vAlign w:val="bottom"/>
          </w:tcPr>
          <w:p>
            <w:pPr>
              <w:spacing w:after="0"/>
              <w:rPr>
                <w:sz w:val="20"/>
                <w:szCs w:val="20"/>
                <w:color w:val="auto"/>
              </w:rPr>
            </w:pPr>
          </w:p>
        </w:tc>
        <w:tc>
          <w:tcPr>
            <w:tcW w:w="3720" w:type="dxa"/>
            <w:vAlign w:val="bottom"/>
            <w:gridSpan w:val="2"/>
          </w:tcPr>
          <w:p>
            <w:pPr>
              <w:ind w:left="104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7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7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7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20"/>
        <w:spacing w:after="0"/>
        <w:rPr>
          <w:sz w:val="20"/>
          <w:szCs w:val="20"/>
          <w:color w:val="auto"/>
        </w:rPr>
      </w:pPr>
      <w:r>
        <w:rPr>
          <w:rFonts w:ascii="Arial" w:cs="Arial" w:eastAsia="Arial" w:hAnsi="Arial"/>
          <w:sz w:val="18"/>
          <w:szCs w:val="18"/>
          <w:color w:val="auto"/>
        </w:rPr>
        <w:t>NOTE 6 FAIR VALUE OF FINANCIAL INSTRUMENTS (Continued)</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impaired loans and other real estate owned as recorded at fair value on September 30, 2019 and December 31, 2018:</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gridSpan w:val="11"/>
          </w:tcPr>
          <w:p>
            <w:pPr>
              <w:jc w:val="center"/>
              <w:ind w:left="10"/>
              <w:spacing w:after="0"/>
              <w:rPr>
                <w:sz w:val="20"/>
                <w:szCs w:val="20"/>
                <w:color w:val="auto"/>
              </w:rPr>
            </w:pPr>
            <w:r>
              <w:rPr>
                <w:rFonts w:ascii="Arial" w:cs="Arial" w:eastAsia="Arial" w:hAnsi="Arial"/>
                <w:sz w:val="18"/>
                <w:szCs w:val="18"/>
                <w:color w:val="auto"/>
                <w:w w:val="89"/>
              </w:rPr>
              <w:t>Assets Measured at Fair Value on a Nonrecurring Basis at September 30, 2019</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Balance at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September 30, 2019</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FF0FC"/>
          </w:tcPr>
          <w:p>
            <w:pPr>
              <w:spacing w:after="0"/>
              <w:rPr>
                <w:sz w:val="20"/>
                <w:szCs w:val="20"/>
                <w:color w:val="auto"/>
              </w:rPr>
            </w:pPr>
          </w:p>
        </w:tc>
        <w:tc>
          <w:tcPr>
            <w:tcW w:w="1680" w:type="dxa"/>
            <w:vAlign w:val="bottom"/>
            <w:gridSpan w:val="3"/>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r>
      <w:tr>
        <w:trPr>
          <w:trHeight w:val="473"/>
        </w:trPr>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color w:val="auto"/>
                <w:w w:val="89"/>
              </w:rPr>
              <w:t>Assets Measured at Fair Value on a Nonrecurring Basis at December 31, 2018</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 at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 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9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FF0FC"/>
          </w:tcPr>
          <w:p>
            <w:pPr>
              <w:spacing w:after="0"/>
              <w:rPr>
                <w:sz w:val="20"/>
                <w:szCs w:val="20"/>
                <w:color w:val="auto"/>
              </w:rPr>
            </w:pPr>
          </w:p>
        </w:tc>
        <w:tc>
          <w:tcPr>
            <w:tcW w:w="1680" w:type="dxa"/>
            <w:vAlign w:val="bottom"/>
            <w:gridSpan w:val="3"/>
            <w:shd w:val="clear" w:color="auto" w:fill="CFF0FC"/>
          </w:tcPr>
          <w:p>
            <w:pPr>
              <w:jc w:val="right"/>
              <w:ind w:right="12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color w:val="auto"/>
        </w:rPr>
        <w:t>The Company had no Federal Funds purchased as of September 30, 2019 and $6.5 million as of December 31, 2018, respectively. During the same time periods, the company also had $30.1 million and $25.7 million in securities sold under agreement to repurchase.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2019</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2"/>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Overnight &amp;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28,358</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28,358</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2018</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2"/>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Overnight &amp;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780" w:type="dxa"/>
            <w:vAlign w:val="bottom"/>
            <w:shd w:val="clear" w:color="auto" w:fill="D9D9D9"/>
          </w:tcPr>
          <w:p>
            <w:pPr>
              <w:spacing w:after="0"/>
              <w:rPr>
                <w:sz w:val="19"/>
                <w:szCs w:val="19"/>
                <w:color w:val="auto"/>
              </w:rPr>
            </w:pPr>
          </w:p>
        </w:tc>
        <w:tc>
          <w:tcPr>
            <w:tcW w:w="11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560" w:type="dxa"/>
            <w:vAlign w:val="bottom"/>
            <w:shd w:val="clear" w:color="auto" w:fill="D9D9D9"/>
          </w:tcPr>
          <w:p>
            <w:pPr>
              <w:spacing w:after="0"/>
              <w:rPr>
                <w:sz w:val="19"/>
                <w:szCs w:val="19"/>
                <w:color w:val="auto"/>
              </w:rPr>
            </w:pPr>
          </w:p>
        </w:tc>
        <w:tc>
          <w:tcPr>
            <w:tcW w:w="52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92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360" w:type="dxa"/>
            <w:vAlign w:val="bottom"/>
            <w:shd w:val="clear" w:color="auto" w:fill="D9D9D9"/>
          </w:tcPr>
          <w:p>
            <w:pPr>
              <w:spacing w:after="0"/>
              <w:rPr>
                <w:sz w:val="19"/>
                <w:szCs w:val="19"/>
                <w:color w:val="auto"/>
              </w:rPr>
            </w:pPr>
          </w:p>
        </w:tc>
        <w:tc>
          <w:tcPr>
            <w:tcW w:w="76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RECENT ACCOUNTING PRONOUNCEMENTS</w:t>
      </w:r>
    </w:p>
    <w:p>
      <w:pPr>
        <w:spacing w:after="0" w:line="360"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has adopted ASU 2016-02 on January 1, 2019 and recorded a right of use asset and a corresponding liability in the amount of $491.7 thousand. This did not have a significant impact on the company’s financial statements.</w:t>
      </w:r>
    </w:p>
    <w:p>
      <w:pPr>
        <w:spacing w:after="0" w:line="7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In June 2016,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ASU requires the measurement of all expected credit losses for financial assets held at the reporting date based on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0"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The ASU is effective for SEC filers for fiscal years, and interim periods within those fiscal years, beginning after December 15, 2019 (i.e., January 1, 2020, for calendar year entities). FASB recently approved a delay in adoption for Smaller Reporting Companies. The Company has completed an analysis to determine they qualify as a Smaller Reporting Company. Adoption can be postponed until December 15, 2022 (i.e., January 1, 2023, for calendar year entities) . Early application will be permitted for all organizations for fiscal years, and interim periods within those fiscal years, beginning after December 15, 2018. The Company has contracted with an external advisor and has formed a committee to determine the methodology to be used. Most importantly, the Company is gathering as much data as possible to enable review scenarios and determine which calculations will produce the most reliable results. The Company began working with the third party service provider to review parallel reports starting in June 2019. The Company will not adopt in calendar year 2020 and is currently evaluating when or if they would early adopt.</w:t>
      </w:r>
    </w:p>
    <w:p>
      <w:pPr>
        <w:spacing w:after="0" w:line="58"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These amendments eliminate Step 2 from the goodwill impairment test. The amendments also eliminate the requirements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tests performed on testing dates after January 1, 2017. ASU 2017-04 should be adopted on a prospective basis. The Company does not expect ASU 2017-04 to have a material impact on its financial statements, as goodwill testing has been completed annually without any impairment concerns.</w:t>
      </w:r>
    </w:p>
    <w:p>
      <w:pPr>
        <w:spacing w:after="0" w:line="71"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w:t>
      </w:r>
      <w:r>
        <w:rPr>
          <w:rFonts w:ascii="Arial" w:cs="Arial" w:eastAsia="Arial" w:hAnsi="Arial"/>
          <w:sz w:val="18"/>
          <w:szCs w:val="18"/>
          <w:color w:val="auto"/>
        </w:rPr>
        <w:t>t.” ASU 2018-13 modifies the disclosure requirements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remove disclosures that no longer are considered cost beneficial, modify/clarify the specific requirements of certain disclosures, and add disclosure requirements identified as relevant. ASU 2018-13 is effective for years beginning after December 15, 2019, with early adoption permitted. The Company is in the process of evaluating and does not expect ASU 2018-13 to have a material impact on its accounting disclosures.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The Company continued second quarter’s “quarter of execution” to the “quarter on fire” for the third quarter of 2019. The first quarter of 2019 was impacted by a very labor-intensive process as we welcomed new employees, customers and shareholders into the F&amp;M family. This followed our merger with Limberlost Bancshares, Inc. on January 1, 2019 and three weeks later the integration of the Bank of Geneva into The Farmers &amp; Merchants State Bank’s core operating system. Financially, the merger is becoming accretive to earnings during 2019, with a larger legal lending limit enabling the expansion of existing customer’s borrowings, and a wider range of product and services now available to all customers. The second and third quarters have been the time to focus on these new opportunities.</w:t>
      </w:r>
    </w:p>
    <w:p>
      <w:pPr>
        <w:spacing w:after="0" w:line="205"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A Chief People Officer was added in second quarter 2019 to assist with increasing the level of our Company’s talent. The Company has invested in our retail infrastructure and has been conducting extensive training. During the last two quarters, the Company has spent time developing a three year strategic plan. The vision statement was updated to be “Community Vested to Help People Realize Their Best Lives.” An outcome of the strategic planning process included the following five strategic initiatives that will help take the Company to the next level: customer acquisition and retention, talent optimization, actively pursue acquisition opportunities, improve operating efficiency and financial performance, and develop a comprehensive digital strategy for internal and external constituencies.</w:t>
      </w:r>
    </w:p>
    <w:p>
      <w:pPr>
        <w:spacing w:after="0" w:line="205"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The third quarter growing conditions for late planted crops were favorable with the crop outlook better than originally anticipated given the late planting dates. The use of crop insurance and the receipt of government subsidies for many of our farms will result in an acceptable year. The large grain carryover and trade disruptions as a result of tariffs continue to weigh on commodity prices. Agri-businesses will likely feel the largest negative effect of non-planted acreage; although, it is believed most are financially sound and have the ability to withstand the potential negative financial impact. Recent land sales continue to be strong suggesting farmer optimism and an overall solid financial position. Results will continue to be monitored going into fourth quarter and 2020. The overall ag sector remains healthy.</w:t>
      </w:r>
    </w:p>
    <w:p>
      <w:pPr>
        <w:spacing w:after="0" w:line="205" w:lineRule="exact"/>
        <w:rPr>
          <w:sz w:val="20"/>
          <w:szCs w:val="20"/>
          <w:color w:val="auto"/>
        </w:rPr>
      </w:pPr>
    </w:p>
    <w:p>
      <w:pPr>
        <w:jc w:val="both"/>
        <w:ind w:left="700"/>
        <w:spacing w:after="0" w:line="254" w:lineRule="auto"/>
        <w:rPr>
          <w:sz w:val="20"/>
          <w:szCs w:val="20"/>
          <w:color w:val="auto"/>
        </w:rPr>
      </w:pPr>
      <w:r>
        <w:rPr>
          <w:rFonts w:ascii="Arial" w:cs="Arial" w:eastAsia="Arial" w:hAnsi="Arial"/>
          <w:sz w:val="18"/>
          <w:szCs w:val="18"/>
          <w:color w:val="auto"/>
        </w:rPr>
        <w:t>The labor shortage is still impacting our commercial customers; whether it is slowing existing projects or expanding the use of technology. It remains one of the largest concerns for 2019. Performance is strong and competition is fierce. The strong performance is evidenced by the size of paydowns and payoffs that have occurred. Regional banks in our market area are busy with larger projects and the small to midsize business segment is where our community bank excels. Overall, the commercial division is optimistic on growth. Many loans which closed in the second quarter were funded in the third, replacing the accelerated paydowns and payoffs of the first half of the year. Two larger relationships which include construction may not be completely drawn until the fourth quarter. The commercial real estate market remains very active and competition is extending amortization and rate terms. Commercial and industrial markets remain healthy with competition thinly priced creating a high demand for the borrower’s non-credit business.</w:t>
      </w:r>
    </w:p>
    <w:p>
      <w:pPr>
        <w:spacing w:after="0" w:line="219"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Nationally, the automotive demand has fallen below 17 million units for the first time since 2014. The Bank ran an automotive special during second quarter and has been able to maintain the portfolio balances in the retail market. The yield on the new loans being generated is also higher than what last year’s loans were, by about 50 basis points. The Bank has been busy contracting with automotive dealers in the newer markets to expand our opportunities. This should help to maintain the balances in the consumer market.</w:t>
      </w:r>
    </w:p>
    <w:p>
      <w:pPr>
        <w:spacing w:after="0" w:line="198" w:lineRule="exact"/>
        <w:rPr>
          <w:sz w:val="20"/>
          <w:szCs w:val="20"/>
          <w:color w:val="auto"/>
        </w:rPr>
      </w:pPr>
    </w:p>
    <w:p>
      <w:pPr>
        <w:jc w:val="both"/>
        <w:ind w:left="700"/>
        <w:spacing w:after="0" w:line="286" w:lineRule="auto"/>
        <w:rPr>
          <w:sz w:val="20"/>
          <w:szCs w:val="20"/>
          <w:color w:val="auto"/>
        </w:rPr>
      </w:pPr>
      <w:r>
        <w:rPr>
          <w:rFonts w:ascii="Arial" w:cs="Arial" w:eastAsia="Arial" w:hAnsi="Arial"/>
          <w:sz w:val="17"/>
          <w:szCs w:val="17"/>
          <w:color w:val="auto"/>
        </w:rPr>
        <w:t>Home loan origination activity substantially improved in the third quarter and the division was on fire. One of the biggest impediments to continued improvement is the lack of available housing in our markets, specifically at the moderate level. The Bank is experiencing increased activity in purchases and home improvement. Fixed mortgage rates fell in third quarter resulting in an increase in refinance volume.</w:t>
      </w:r>
    </w:p>
    <w:p>
      <w:pPr>
        <w:spacing w:after="0" w:line="193"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Yield on loans is high due to the payoff of two loans in the second quarter, the same relationship, that was a reversal of a fair value adjustment of almost $2 million that was established in the Limberlost acquisition. The payoff totaled approximately $3.8 million as the customer was able to secure financing elsewhere. This enabled the widening of the net interest margin which would have tightened otherwise from the increased cost of funds outpacing the asset yield improvement. Cost of deposits continues to put pressure on the margin.</w:t>
      </w:r>
    </w:p>
    <w:p>
      <w:pPr>
        <w:spacing w:after="0" w:line="19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Profitability from core operations is on track to match the expectations for 2019 with the acquisition factored in. As additional acquisition costs continue to lessen, the negative impact on ROA, and ROE should also lessen. F&amp;M will continue to operate on the foundation of a strong community bank platform in the communities we serve and are a part of.</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5" w:name="page46"/>
    <w:bookmarkEnd w:id="45"/>
    <w:p>
      <w:pPr>
        <w:ind w:right="1860" w:firstLine="50"/>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focus remains on growth for 2019 along with the widening of our footprint from additional offices. Welcoming and developing our newest offices is also important and a priority. The Company is positioned for positive results in 2019 and remains well capitalized.</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NATURE OF ACTIVITIES</w:t>
      </w:r>
    </w:p>
    <w:p>
      <w:pPr>
        <w:spacing w:after="0" w:line="20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located in Nevada. We report our financial condition and net income on a consolidated basis and we have only one segment.</w:t>
      </w:r>
    </w:p>
    <w:p>
      <w:pPr>
        <w:spacing w:after="0" w:line="146"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thirty full service banking offices throughout Northwest Ohio and Northeast Indiana.</w:t>
      </w:r>
    </w:p>
    <w:p>
      <w:pPr>
        <w:spacing w:after="0" w:line="13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On January 1, 2019, six offices of Bank of Geneva, located in the Indiana counties of Adams, Allen and Jay, were merged with and into The Farmers &amp; Merchants State Bank. The Bank has continued its expansion strategy and the new offices are expected to provide new growth opportunities.</w:t>
      </w:r>
    </w:p>
    <w:p>
      <w:pPr>
        <w:spacing w:after="0" w:line="154"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37"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During second quarter 2019, “Smart 25” checking and Business Money Market savings products were launched. Upgrades to our digital products and services continue to occur in both retail and business lines.</w:t>
      </w:r>
    </w:p>
    <w:p>
      <w:pPr>
        <w:spacing w:after="0" w:line="134"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55"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1520" w:hanging="378"/>
        <w:spacing w:after="0"/>
        <w:tabs>
          <w:tab w:leader="none" w:pos="1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Maximum loan to value (LTV) for cars, trucks and light trucks vary from 90% to 110% depending on whether direct or indirect.</w:t>
      </w:r>
    </w:p>
    <w:p>
      <w:pPr>
        <w:spacing w:after="0" w:line="20" w:lineRule="exact"/>
        <w:rPr>
          <w:rFonts w:ascii="Arial" w:cs="Arial" w:eastAsia="Arial" w:hAnsi="Arial"/>
          <w:sz w:val="17"/>
          <w:szCs w:val="17"/>
          <w:color w:val="auto"/>
        </w:rPr>
      </w:pPr>
    </w:p>
    <w:p>
      <w:pPr>
        <w:ind w:left="1520" w:hanging="378"/>
        <w:spacing w:after="0"/>
        <w:tabs>
          <w:tab w:leader="none" w:pos="1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32" w:lineRule="exact"/>
        <w:rPr>
          <w:rFonts w:ascii="Arial" w:cs="Arial" w:eastAsia="Arial" w:hAnsi="Arial"/>
          <w:sz w:val="16"/>
          <w:szCs w:val="16"/>
          <w:color w:val="auto"/>
        </w:rPr>
      </w:pPr>
    </w:p>
    <w:p>
      <w:pPr>
        <w:ind w:left="1520" w:hanging="378"/>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9" w:lineRule="exact"/>
        <w:rPr>
          <w:rFonts w:ascii="Arial" w:cs="Arial" w:eastAsia="Arial" w:hAnsi="Arial"/>
          <w:sz w:val="18"/>
          <w:szCs w:val="18"/>
          <w:color w:val="auto"/>
        </w:rPr>
      </w:pPr>
    </w:p>
    <w:p>
      <w:pPr>
        <w:ind w:left="1520" w:hanging="378"/>
        <w:spacing w:after="0" w:line="250"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ind w:left="1520" w:hanging="378"/>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ind w:left="1520" w:hanging="378"/>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520" w:hanging="378"/>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9" w:lineRule="exact"/>
        <w:rPr>
          <w:rFonts w:ascii="Arial" w:cs="Arial" w:eastAsia="Arial" w:hAnsi="Arial"/>
          <w:sz w:val="18"/>
          <w:szCs w:val="18"/>
          <w:color w:val="auto"/>
        </w:rPr>
      </w:pPr>
    </w:p>
    <w:p>
      <w:pPr>
        <w:ind w:left="1520" w:hanging="378"/>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520" w:hanging="378"/>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11" w:lineRule="exact"/>
        <w:rPr>
          <w:sz w:val="20"/>
          <w:szCs w:val="20"/>
          <w:color w:val="auto"/>
        </w:rPr>
      </w:pPr>
    </w:p>
    <w:p>
      <w:pPr>
        <w:ind w:left="1520" w:hanging="378"/>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25" w:lineRule="exact"/>
        <w:rPr>
          <w:sz w:val="20"/>
          <w:szCs w:val="20"/>
          <w:color w:val="auto"/>
        </w:rPr>
      </w:pPr>
    </w:p>
    <w:p>
      <w:pPr>
        <w:ind w:left="1520" w:hanging="378"/>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7" w:lineRule="exact"/>
        <w:rPr>
          <w:sz w:val="20"/>
          <w:szCs w:val="20"/>
          <w:color w:val="auto"/>
        </w:rPr>
      </w:pPr>
    </w:p>
    <w:p>
      <w:pPr>
        <w:ind w:left="2280" w:hanging="381"/>
        <w:spacing w:after="0"/>
        <w:tabs>
          <w:tab w:leader="none" w:pos="228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2280" w:hanging="381"/>
        <w:spacing w:after="0" w:line="232" w:lineRule="auto"/>
        <w:tabs>
          <w:tab w:leader="none" w:pos="228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520" w:hanging="378"/>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9" w:lineRule="exact"/>
        <w:rPr>
          <w:rFonts w:ascii="Arial" w:cs="Arial" w:eastAsia="Arial" w:hAnsi="Arial"/>
          <w:sz w:val="18"/>
          <w:szCs w:val="18"/>
          <w:color w:val="auto"/>
        </w:rPr>
      </w:pPr>
    </w:p>
    <w:p>
      <w:pPr>
        <w:ind w:left="1520" w:hanging="378"/>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520" w:hanging="378"/>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7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30"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3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Defiance, Fulton, Hancock, Henry, Lucas, Williams, Wood and in the Indiana counties of Adams, Allen, DeKalb, Jay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8"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At September 30, 2019, we had 355 full time equivalent employees. The employees are not represented by a collective bargaining unit. We provide our employees with a comprehensive benefit program, some of which are contributory. We consider our employee relations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REGULATORY DEVELOPMENTS</w:t>
      </w:r>
    </w:p>
    <w:p>
      <w:pPr>
        <w:spacing w:after="0" w:line="20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lack of clarity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Economic Growth Regulatory Relief and Consumer Protection Act (EGRRCPA) was signed into law in May 2018. EGRRCPA was intended to pave the way for banks to lend to creditworthy borrowers and better serve their communities. Rollback of some burdensome requirements resulting from the Dodd-Frank Wall Street Reform and Consumer Protection Act was welcomed by community banks. Regulatory relief has not been immediate, as guidance and new rulemaking remains to be completed to implement various provisions. Sections in the EGRRCPA address access to mortgage credit; consumer access to credit; protections for veterans, consumers, and homeowners; rules for certain bank holding companies, capital access; and protections for student borrowers. Implementation of the rules and guidance for the various provisions of the EGRRCPA will commence as rulemaking occurs.</w:t>
      </w:r>
    </w:p>
    <w:p>
      <w:pPr>
        <w:spacing w:after="0" w:line="137"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The U.S. Department of the Treasury’s final rules on Customer Due Diligence (CDD) and Beneficial Ownership added a fifth core element to the original core elements necessary for an effective Bank Secrecy Act and Anti-Money Laundering compliance program. These rules were effective in May 2018. The CDD Final Rule is a significant step toward greater financial transparency. Prior to these new rules, the ability for individuals to hide financial activity through anonymous ownership of business entities was a weakness in the fight against financial crime. By gaining a more complete profile of entity customers, financial institutions can help further reduce the flow of illicit funds through the US banking system.</w:t>
      </w:r>
    </w:p>
    <w:p>
      <w:pPr>
        <w:spacing w:after="0" w:line="13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4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2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54"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September 30, 2019 OREO property holdings were $351 thousand. OREO totaled $600 thousand and $717 thousand as of December 31, 2018 and September 30, 2018 respectively.</w:t>
      </w:r>
    </w:p>
    <w:p>
      <w:pPr>
        <w:spacing w:after="0" w:line="14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44"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41"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is has sold without recourse but services for others for a fee represent an asset on the Bank’s balance sheet. The valuation is completed by an independent third party.</w:t>
      </w:r>
    </w:p>
    <w:p>
      <w:pPr>
        <w:spacing w:after="0" w:line="14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54" w:lineRule="exact"/>
        <w:rPr>
          <w:sz w:val="20"/>
          <w:szCs w:val="20"/>
          <w:color w:val="auto"/>
        </w:rPr>
      </w:pPr>
    </w:p>
    <w:p>
      <w:pPr>
        <w:jc w:val="both"/>
        <w:ind w:left="760"/>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using the level yield method. The amortization thereof is recorded in non-interest expense.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ind w:right="188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please see Note 4 to the consolidated financial statements provided herewith.</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60" w:right="20"/>
        <w:spacing w:after="0" w:line="276" w:lineRule="auto"/>
        <w:rPr>
          <w:sz w:val="20"/>
          <w:szCs w:val="20"/>
          <w:color w:val="auto"/>
        </w:rPr>
      </w:pPr>
      <w:r>
        <w:rPr>
          <w:rFonts w:ascii="Arial" w:cs="Arial" w:eastAsia="Arial" w:hAnsi="Arial"/>
          <w:sz w:val="17"/>
          <w:szCs w:val="17"/>
          <w:color w:val="auto"/>
        </w:rPr>
        <w:t>The Company plans to continue in its growth mode in 2019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 Competition for deposits is intense with most competitors offering “special” rates for specific terms.</w:t>
      </w:r>
    </w:p>
    <w:p>
      <w:pPr>
        <w:spacing w:after="0" w:line="132"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Liquidity in terms of cash and cash equivalents ended $76.2 million higher as of September 30, 2019 than it was at yearend December 31, 2018. An increase in deposits helped to fund the $312.3 million increase in net loans since yearend 2018. All loan portfolios increased as a result of the Limberlost acquisition with the largest loan growth having occurred in agricultural real estate and commercial real estate portfolios. Consumer real estate and commercial and industrial portfolios also experienced large increases.</w:t>
      </w:r>
    </w:p>
    <w:p>
      <w:pPr>
        <w:spacing w:after="0" w:line="160" w:lineRule="exact"/>
        <w:rPr>
          <w:sz w:val="20"/>
          <w:szCs w:val="20"/>
          <w:color w:val="auto"/>
        </w:rPr>
      </w:pPr>
    </w:p>
    <w:p>
      <w:pPr>
        <w:jc w:val="both"/>
        <w:ind w:left="760" w:right="20"/>
        <w:spacing w:after="0" w:line="273" w:lineRule="auto"/>
        <w:rPr>
          <w:sz w:val="20"/>
          <w:szCs w:val="20"/>
          <w:color w:val="auto"/>
        </w:rPr>
      </w:pPr>
      <w:r>
        <w:rPr>
          <w:rFonts w:ascii="Arial" w:cs="Arial" w:eastAsia="Arial" w:hAnsi="Arial"/>
          <w:sz w:val="17"/>
          <w:szCs w:val="17"/>
          <w:color w:val="auto"/>
        </w:rPr>
        <w:t>In comparing to the same prior year period, the September 30, 2019 (net of deferred fees and cost) loan balances of $1.2 billion accounted for $320.0 million or 38.2% increase when compared to 2018’s $838.7 million. The year over year improvement in all loan categories was made up of a combined increase of 199.2% in agricultural related loans (comprised of 192.8% in agricultural real estate loans and 6.4% in non-real estate agricultural loans). Consumer real estate loans increased by 91.8%, consumer loans by 19.7%, other loans by 36.0% and commercial and industrial related loans by 29.2%. The Company credits the growth not only to the Limberlost acquisition, but also the strong team of lenders focused on providing customers valuable localized services and thereby increasing our market share.</w:t>
      </w:r>
    </w:p>
    <w:p>
      <w:pPr>
        <w:spacing w:after="0" w:line="138" w:lineRule="exact"/>
        <w:rPr>
          <w:sz w:val="20"/>
          <w:szCs w:val="20"/>
          <w:color w:val="auto"/>
        </w:rPr>
      </w:pPr>
    </w:p>
    <w:p>
      <w:pPr>
        <w:ind w:left="8280" w:right="380" w:hanging="7503"/>
        <w:spacing w:after="0" w:line="278" w:lineRule="auto"/>
        <w:rPr>
          <w:sz w:val="20"/>
          <w:szCs w:val="20"/>
          <w:color w:val="auto"/>
        </w:rPr>
      </w:pPr>
      <w:r>
        <w:rPr>
          <w:rFonts w:ascii="Arial" w:cs="Arial" w:eastAsia="Arial" w:hAnsi="Arial"/>
          <w:sz w:val="18"/>
          <w:szCs w:val="18"/>
          <w:color w:val="auto"/>
        </w:rPr>
        <w:t>The chart below shows the breakdown of the loan portfolio category as of September 30, for the last three years, net of deferred fees and costs. (In Thousands)</w:t>
      </w: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20" w:type="dxa"/>
            <w:vAlign w:val="bottom"/>
            <w:tcBorders>
              <w:top w:val="single" w:sz="8" w:color="auto"/>
            </w:tcBorders>
            <w:gridSpan w:val="4"/>
          </w:tcPr>
          <w:p>
            <w:pPr>
              <w:spacing w:after="0" w:line="203" w:lineRule="exact"/>
              <w:rPr>
                <w:sz w:val="20"/>
                <w:szCs w:val="20"/>
                <w:color w:val="auto"/>
              </w:rPr>
            </w:pPr>
            <w:r>
              <w:rPr>
                <w:rFonts w:ascii="Arial" w:cs="Arial" w:eastAsia="Arial" w:hAnsi="Arial"/>
                <w:sz w:val="18"/>
                <w:szCs w:val="18"/>
                <w:color w:val="auto"/>
              </w:rPr>
              <w:t>September 30, 2019</w:t>
            </w:r>
          </w:p>
        </w:tc>
        <w:tc>
          <w:tcPr>
            <w:tcW w:w="1480" w:type="dxa"/>
            <w:vAlign w:val="bottom"/>
            <w:tcBorders>
              <w:top w:val="single" w:sz="8" w:color="auto"/>
            </w:tcBorders>
            <w:gridSpan w:val="2"/>
          </w:tcPr>
          <w:p>
            <w:pPr>
              <w:ind w:left="20"/>
              <w:spacing w:after="0" w:line="203" w:lineRule="exact"/>
              <w:rPr>
                <w:sz w:val="20"/>
                <w:szCs w:val="20"/>
                <w:color w:val="auto"/>
              </w:rPr>
            </w:pPr>
            <w:r>
              <w:rPr>
                <w:rFonts w:ascii="Arial" w:cs="Arial" w:eastAsia="Arial" w:hAnsi="Arial"/>
                <w:sz w:val="18"/>
                <w:szCs w:val="18"/>
                <w:color w:val="auto"/>
                <w:w w:val="88"/>
              </w:rPr>
              <w:t>September 30, 2018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color w:val="auto"/>
                <w:w w:val="89"/>
              </w:rPr>
              <w:t>September 30, 2017</w:t>
            </w:r>
          </w:p>
        </w:tc>
        <w:tc>
          <w:tcPr>
            <w:tcW w:w="120" w:type="dxa"/>
            <w:vAlign w:val="bottom"/>
          </w:tcPr>
          <w:p>
            <w:pPr>
              <w:spacing w:after="0"/>
              <w:rPr>
                <w:sz w:val="17"/>
                <w:szCs w:val="17"/>
                <w:color w:val="auto"/>
              </w:rPr>
            </w:pPr>
          </w:p>
        </w:tc>
      </w:tr>
      <w:tr>
        <w:trPr>
          <w:trHeight w:val="230"/>
        </w:trPr>
        <w:tc>
          <w:tcPr>
            <w:tcW w:w="4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ind w:left="16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Amount</w:t>
            </w: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158,458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82,629</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63,571</w:t>
            </w: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110,405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87,239</w:t>
            </w:r>
          </w:p>
        </w:tc>
        <w:tc>
          <w:tcPr>
            <w:tcW w:w="12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501,095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393,913</w:t>
            </w: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124,165</w:t>
            </w:r>
          </w:p>
        </w:tc>
        <w:tc>
          <w:tcPr>
            <w:tcW w:w="12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Consumer</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35,887</w:t>
            </w: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120" w:type="dxa"/>
            <w:vAlign w:val="bottom"/>
            <w:shd w:val="clear" w:color="auto" w:fill="CFF0FC"/>
          </w:tcPr>
          <w:p>
            <w:pPr>
              <w:spacing w:after="0"/>
              <w:rPr>
                <w:sz w:val="19"/>
                <w:szCs w:val="19"/>
                <w:color w:val="auto"/>
              </w:rPr>
            </w:pPr>
          </w:p>
        </w:tc>
      </w:tr>
      <w:tr>
        <w:trPr>
          <w:trHeight w:val="223"/>
        </w:trPr>
        <w:tc>
          <w:tcPr>
            <w:tcW w:w="4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Loans, net</w:t>
            </w:r>
          </w:p>
        </w:tc>
        <w:tc>
          <w:tcPr>
            <w:tcW w:w="2480" w:type="dxa"/>
            <w:vAlign w:val="bottom"/>
            <w:gridSpan w:val="2"/>
            <w:shd w:val="clear" w:color="auto" w:fill="CFF0FC"/>
          </w:tcPr>
          <w:p>
            <w:pPr>
              <w:ind w:left="2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1,158,696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838,698</w:t>
            </w:r>
          </w:p>
        </w:tc>
        <w:tc>
          <w:tcPr>
            <w:tcW w:w="5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795,205</w:t>
            </w:r>
          </w:p>
        </w:tc>
        <w:tc>
          <w:tcPr>
            <w:tcW w:w="120" w:type="dxa"/>
            <w:vAlign w:val="bottom"/>
            <w:shd w:val="clear" w:color="auto" w:fill="CFF0FC"/>
          </w:tcPr>
          <w:p>
            <w:pPr>
              <w:spacing w:after="0"/>
              <w:rPr>
                <w:sz w:val="19"/>
                <w:szCs w:val="19"/>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8460" w:right="900" w:hanging="7698"/>
        <w:spacing w:after="0" w:line="294" w:lineRule="auto"/>
        <w:rPr>
          <w:sz w:val="20"/>
          <w:szCs w:val="20"/>
          <w:color w:val="auto"/>
        </w:rPr>
      </w:pPr>
      <w:r>
        <w:rPr>
          <w:rFonts w:ascii="Arial" w:cs="Arial" w:eastAsia="Arial" w:hAnsi="Arial"/>
          <w:sz w:val="17"/>
          <w:szCs w:val="17"/>
          <w:color w:val="auto"/>
        </w:rPr>
        <w:t>The following is a contractual maturity schedule by major category of loans excluding fair value adjustments as of September 30, 2019. (In Thousands)</w:t>
      </w: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280"/>
              <w:spacing w:after="0" w:line="203" w:lineRule="exact"/>
              <w:rPr>
                <w:sz w:val="20"/>
                <w:szCs w:val="20"/>
                <w:color w:val="auto"/>
              </w:rPr>
            </w:pPr>
            <w:r>
              <w:rPr>
                <w:rFonts w:ascii="Arial" w:cs="Arial" w:eastAsia="Arial" w:hAnsi="Arial"/>
                <w:sz w:val="18"/>
                <w:szCs w:val="18"/>
                <w:color w:val="auto"/>
                <w:w w:val="95"/>
              </w:rPr>
              <w:t>After One</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Within</w:t>
            </w:r>
          </w:p>
        </w:tc>
        <w:tc>
          <w:tcPr>
            <w:tcW w:w="32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Year Within</w:t>
            </w:r>
          </w:p>
        </w:tc>
        <w:tc>
          <w:tcPr>
            <w:tcW w:w="34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After</w:t>
            </w: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One Year</w:t>
            </w:r>
          </w:p>
        </w:tc>
        <w:tc>
          <w:tcPr>
            <w:tcW w:w="32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Five Years</w:t>
            </w:r>
          </w:p>
        </w:tc>
        <w:tc>
          <w:tcPr>
            <w:tcW w:w="34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Five Years</w:t>
            </w:r>
          </w:p>
        </w:tc>
        <w:tc>
          <w:tcPr>
            <w:tcW w:w="20" w:type="dxa"/>
            <w:vAlign w:val="bottom"/>
          </w:tcPr>
          <w:p>
            <w:pPr>
              <w:spacing w:after="0"/>
              <w:rPr>
                <w:sz w:val="20"/>
                <w:szCs w:val="20"/>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9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136,971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248,828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61,580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Consumer</w:t>
            </w:r>
          </w:p>
        </w:tc>
        <w:tc>
          <w:tcPr>
            <w:tcW w:w="2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3780" w:type="dxa"/>
            <w:vAlign w:val="bottom"/>
          </w:tcPr>
          <w:p>
            <w:pPr>
              <w:spacing w:after="0"/>
              <w:rPr>
                <w:sz w:val="24"/>
                <w:szCs w:val="24"/>
                <w:color w:val="auto"/>
              </w:rPr>
            </w:pPr>
          </w:p>
        </w:tc>
        <w:tc>
          <w:tcPr>
            <w:tcW w:w="2960" w:type="dxa"/>
            <w:vAlign w:val="bottom"/>
          </w:tcPr>
          <w:p>
            <w:pPr>
              <w:jc w:val="right"/>
              <w:ind w:right="85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0" w:name="page51"/>
    <w:bookmarkEnd w:id="50"/>
    <w:p>
      <w:pPr>
        <w:ind w:right="188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jc w:val="both"/>
        <w:ind w:left="760" w:right="20"/>
        <w:spacing w:after="0" w:line="255"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2017, 2018, and 2019. The security portfolio increased $22.0 million in the first nine months 2019 from yearend 2018. The amount of pledged investment securities increased by $7.4 million as compared to yearend and increased $8.0 million as compared to September 30, 2018. The difference in the growth and consequently pledged securities, improves liquidity with the additional option of selling unpledged investment securities if needed to fund loan growth or other initiatives. As of September 30, 2019, pledged investment securities totaled $89.2 million. The current portfolio is in a net unrealized gain position of $1.9 million.</w:t>
      </w:r>
    </w:p>
    <w:p>
      <w:pPr>
        <w:spacing w:after="0" w:line="220"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For the Bank, an additional $17.3 million is also available from the Federal Home Loan Bank based on current collateral pledging with up to $97 million available provided adequate collateral is pledged.</w:t>
      </w:r>
    </w:p>
    <w:p>
      <w:pPr>
        <w:spacing w:after="0" w:line="130"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43"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$123.4 million of unsecured borrowing capacity through its correspondent banks.</w:t>
      </w:r>
    </w:p>
    <w:p>
      <w:pPr>
        <w:spacing w:after="0" w:line="141" w:lineRule="exact"/>
        <w:rPr>
          <w:sz w:val="20"/>
          <w:szCs w:val="20"/>
          <w:color w:val="auto"/>
        </w:rPr>
      </w:pPr>
    </w:p>
    <w:p>
      <w:pPr>
        <w:jc w:val="both"/>
        <w:ind w:left="760" w:right="20"/>
        <w:spacing w:after="0" w:line="308" w:lineRule="auto"/>
        <w:rPr>
          <w:sz w:val="20"/>
          <w:szCs w:val="20"/>
          <w:color w:val="auto"/>
        </w:rPr>
      </w:pPr>
      <w:r>
        <w:rPr>
          <w:rFonts w:ascii="Arial" w:cs="Arial" w:eastAsia="Arial" w:hAnsi="Arial"/>
          <w:sz w:val="17"/>
          <w:szCs w:val="17"/>
          <w:color w:val="auto"/>
        </w:rPr>
        <w:t>Overall total assets increased 41.1% since yearend 2018 and grew 42.1% since September 30, 2018. The largest growth in both periods was in the loan portfolios followed by cash and equivalents. Goodwill also increased with the acquisition of the Bank of Geneva.</w:t>
      </w:r>
    </w:p>
    <w:p>
      <w:pPr>
        <w:spacing w:after="0" w:line="106"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7"/>
          <w:szCs w:val="17"/>
          <w:color w:val="auto"/>
        </w:rPr>
        <w:t>Deposits accounted for the largest growth within liabilities, up 37.6% or $349.2 million over both yearend and September 30, 2018 balances. Core deposits continue to drive the increase which provide the opportunity to generate additional noninterest income. This growth aided the increased liquidity position and funded the loan growth for the periods along with usage of purchased Federal Funds for daily borrowings.</w:t>
      </w:r>
    </w:p>
    <w:p>
      <w:pPr>
        <w:spacing w:after="0" w:line="139" w:lineRule="exact"/>
        <w:rPr>
          <w:sz w:val="20"/>
          <w:szCs w:val="20"/>
          <w:color w:val="auto"/>
        </w:rPr>
      </w:pPr>
    </w:p>
    <w:p>
      <w:pPr>
        <w:jc w:val="both"/>
        <w:ind w:left="760" w:right="20"/>
        <w:spacing w:after="0" w:line="255" w:lineRule="auto"/>
        <w:rPr>
          <w:sz w:val="20"/>
          <w:szCs w:val="20"/>
          <w:color w:val="auto"/>
        </w:rPr>
      </w:pPr>
      <w:r>
        <w:rPr>
          <w:rFonts w:ascii="Arial" w:cs="Arial" w:eastAsia="Arial" w:hAnsi="Arial"/>
          <w:sz w:val="18"/>
          <w:szCs w:val="18"/>
          <w:color w:val="auto"/>
        </w:rPr>
        <w:t>Shareholders’ equity increased by $84.1 million as of the third quarter of 2019 compared to yearend 2018, as the acquisition of Limberlost, which included stock in the transaction, was completed on January 1, 2019 along with earnings exceeding dividend declarations in the first three quarters. Accumulated other comprehensive loss decreased in loss position by $4.5 million from December 2018 to an unrealized gain of $1.5 million at September 30, 2019. Dividends declared were the same as the first two quarters at $0.15 per share. Compared to September 30, 2018, shareholders’ equity increased 63.2% or $88.1 million. Profits are higher year-to-date September 2019 than year-to-date September 2018 by $1.9 million with the Limberlost acquisition.</w:t>
      </w:r>
    </w:p>
    <w:p>
      <w:pPr>
        <w:spacing w:after="0" w:line="153" w:lineRule="exact"/>
        <w:rPr>
          <w:sz w:val="20"/>
          <w:szCs w:val="20"/>
          <w:color w:val="auto"/>
        </w:rPr>
      </w:pPr>
    </w:p>
    <w:p>
      <w:pPr>
        <w:jc w:val="both"/>
        <w:ind w:left="760" w:right="20"/>
        <w:spacing w:after="0" w:line="255"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September 30, 2019, the Company and the Bank are both positioned well above the 2019 requirement.</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continues to be well-capitalized in accordance with Federal regulatory capital requirements as the capital ratios below show: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3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3960" w:type="dxa"/>
            <w:vAlign w:val="bottom"/>
          </w:tcPr>
          <w:p>
            <w:pPr>
              <w:jc w:val="right"/>
              <w:spacing w:after="0"/>
              <w:rPr>
                <w:sz w:val="20"/>
                <w:szCs w:val="20"/>
                <w:color w:val="auto"/>
              </w:rPr>
            </w:pPr>
            <w:r>
              <w:rPr>
                <w:rFonts w:ascii="Arial" w:cs="Arial" w:eastAsia="Arial" w:hAnsi="Arial"/>
                <w:sz w:val="18"/>
                <w:szCs w:val="18"/>
                <w:color w:val="auto"/>
              </w:rPr>
              <w:t>12.45%</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3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3960" w:type="dxa"/>
            <w:vAlign w:val="bottom"/>
          </w:tcPr>
          <w:p>
            <w:pPr>
              <w:jc w:val="right"/>
              <w:spacing w:after="0"/>
              <w:rPr>
                <w:sz w:val="20"/>
                <w:szCs w:val="20"/>
                <w:color w:val="auto"/>
              </w:rPr>
            </w:pPr>
            <w:r>
              <w:rPr>
                <w:rFonts w:ascii="Arial" w:cs="Arial" w:eastAsia="Arial" w:hAnsi="Arial"/>
                <w:sz w:val="18"/>
                <w:szCs w:val="18"/>
                <w:color w:val="auto"/>
              </w:rPr>
              <w:t>13.11%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3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300" w:type="dxa"/>
            <w:vAlign w:val="bottom"/>
          </w:tcPr>
          <w:p>
            <w:pPr>
              <w:spacing w:after="0"/>
              <w:rPr>
                <w:sz w:val="19"/>
                <w:szCs w:val="19"/>
                <w:color w:val="auto"/>
              </w:rPr>
            </w:pPr>
          </w:p>
        </w:tc>
      </w:tr>
      <w:tr>
        <w:trPr>
          <w:trHeight w:val="675"/>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960" w:type="dxa"/>
            <w:vAlign w:val="bottom"/>
          </w:tcPr>
          <w:p>
            <w:pPr>
              <w:jc w:val="right"/>
              <w:ind w:right="3250"/>
              <w:spacing w:after="0"/>
              <w:rPr>
                <w:sz w:val="20"/>
                <w:szCs w:val="20"/>
                <w:color w:val="auto"/>
              </w:rPr>
            </w:pPr>
            <w:r>
              <w:rPr>
                <w:rFonts w:ascii="Arial" w:cs="Arial" w:eastAsia="Arial" w:hAnsi="Arial"/>
                <w:sz w:val="18"/>
                <w:szCs w:val="18"/>
                <w:color w:val="auto"/>
              </w:rPr>
              <w:t>51</w:t>
            </w: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1" w:name="page52"/>
    <w:bookmarkEnd w:id="51"/>
    <w:p>
      <w:pPr>
        <w:ind w:right="188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Comparison of Results of Interest Earnings and Expenses for three month periods ended September 30, 2019 and 2018</w:t>
      </w:r>
    </w:p>
    <w:p>
      <w:pPr>
        <w:spacing w:after="0" w:line="202"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When comparing third quarter 2019 to third quarter 2018, average loan balances with the acquisition of Limberlost grew $294.9 million. This represented a 35.5% increase in a one-year time period. Interest income on loan balances also experienced an increase of $4.5 million as compared to the quarter ended September 30, 2018.</w:t>
      </w:r>
    </w:p>
    <w:p>
      <w:pPr>
        <w:spacing w:after="0" w:line="141"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7"/>
          <w:szCs w:val="17"/>
          <w:color w:val="auto"/>
        </w:rPr>
        <w:t>The available-for-sale securities portfolio increased in average balances by $6.3 million when comparing to the previous year while the income increased $287 thousand over third quarter. Fed Funds sold and interest bearing deposits increased in average balances by $93.3 million as compared to the same quarter in 2018 which resulted in increased income of $495 thousand for the current quarter.</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Overall total interest income for the quarter comparisons was higher for third quarter 2019 by 44.7% or $5.3 million as to third quarter 2018.</w:t>
      </w:r>
    </w:p>
    <w:p>
      <w:pPr>
        <w:spacing w:after="0" w:line="210"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In terms of annualized yield, for the quarter ended September 30, 2019, it was 4.74% which compares to a year ago third quarter ended September 30, 2018 of 4.52%. The following chart demonstrates the value of increased loan balances in the balance sheet mix. The yields on tax-exempt securities and the portion of the tax-exempt IDB loans included in loans have been tax adjusted based on a 21% tax rate in the charts to follow.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6"/>
          </w:tcPr>
          <w:p>
            <w:pPr>
              <w:jc w:val="right"/>
              <w:ind w:right="474"/>
              <w:spacing w:after="0"/>
              <w:rPr>
                <w:sz w:val="20"/>
                <w:szCs w:val="20"/>
                <w:color w:val="auto"/>
              </w:rPr>
            </w:pPr>
            <w:r>
              <w:rPr>
                <w:rFonts w:ascii="Arial" w:cs="Arial" w:eastAsia="Arial" w:hAnsi="Arial"/>
                <w:sz w:val="18"/>
                <w:szCs w:val="18"/>
                <w:color w:val="auto"/>
                <w:w w:val="95"/>
              </w:rPr>
              <w:t>Quarter to Date Ended September 30, 2019</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8"/>
                <w:szCs w:val="18"/>
                <w:color w:val="auto"/>
                <w:w w:val="98"/>
              </w:rPr>
              <w:t>Annualized Yield/Rate</w:t>
            </w:r>
          </w:p>
        </w:tc>
        <w:tc>
          <w:tcPr>
            <w:tcW w:w="20" w:type="dxa"/>
            <w:vAlign w:val="bottom"/>
          </w:tcPr>
          <w:p>
            <w:pPr>
              <w:spacing w:after="0"/>
              <w:rPr>
                <w:sz w:val="19"/>
                <w:szCs w:val="19"/>
                <w:color w:val="auto"/>
              </w:rPr>
            </w:pPr>
          </w:p>
        </w:tc>
      </w:tr>
      <w:tr>
        <w:trPr>
          <w:trHeight w:val="223"/>
        </w:trPr>
        <w:tc>
          <w:tcPr>
            <w:tcW w:w="36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365"/>
              <w:spacing w:after="0"/>
              <w:rPr>
                <w:sz w:val="20"/>
                <w:szCs w:val="20"/>
                <w:color w:val="auto"/>
              </w:rPr>
            </w:pPr>
            <w:r>
              <w:rPr>
                <w:rFonts w:ascii="Arial" w:cs="Arial" w:eastAsia="Arial" w:hAnsi="Arial"/>
                <w:sz w:val="18"/>
                <w:szCs w:val="18"/>
                <w:color w:val="auto"/>
                <w:w w:val="96"/>
              </w:rPr>
              <w:t>Average Balance</w:t>
            </w: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Interest/Dividends</w:t>
            </w: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September 30, 2019</w:t>
            </w:r>
          </w:p>
        </w:tc>
        <w:tc>
          <w:tcPr>
            <w:tcW w:w="1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89"/>
              </w:rPr>
              <w:t>September 30, 2018</w:t>
            </w:r>
          </w:p>
        </w:tc>
        <w:tc>
          <w:tcPr>
            <w:tcW w:w="20" w:type="dxa"/>
            <w:vAlign w:val="bottom"/>
          </w:tcPr>
          <w:p>
            <w:pPr>
              <w:spacing w:after="0"/>
              <w:rPr>
                <w:sz w:val="19"/>
                <w:szCs w:val="19"/>
                <w:color w:val="auto"/>
              </w:rPr>
            </w:pPr>
          </w:p>
        </w:tc>
      </w:tr>
      <w:tr>
        <w:trPr>
          <w:trHeight w:val="223"/>
        </w:trPr>
        <w:tc>
          <w:tcPr>
            <w:tcW w:w="3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1,126,173</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15,202</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9"/>
                <w:szCs w:val="19"/>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167,654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gridSpan w:val="2"/>
          </w:tcPr>
          <w:p>
            <w:pPr>
              <w:jc w:val="right"/>
              <w:ind w:right="34"/>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r>
      <w:tr>
        <w:trPr>
          <w:trHeight w:val="230"/>
        </w:trPr>
        <w:tc>
          <w:tcPr>
            <w:tcW w:w="3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r>
      <w:tr>
        <w:trPr>
          <w:trHeight w:val="230"/>
        </w:trPr>
        <w:tc>
          <w:tcPr>
            <w:tcW w:w="36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Fed funds sold &amp; other</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8"/>
                <w:szCs w:val="18"/>
                <w:color w:val="auto"/>
              </w:rPr>
              <w:t>579</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r>
      <w:tr>
        <w:trPr>
          <w:trHeight w:val="223"/>
        </w:trPr>
        <w:tc>
          <w:tcPr>
            <w:tcW w:w="36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1,439,318</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ind w:right="34"/>
              <w:spacing w:after="0"/>
              <w:rPr>
                <w:sz w:val="20"/>
                <w:szCs w:val="20"/>
                <w:color w:val="auto"/>
              </w:rPr>
            </w:pPr>
            <w:r>
              <w:rPr>
                <w:rFonts w:ascii="Arial" w:cs="Arial" w:eastAsia="Arial" w:hAnsi="Arial"/>
                <w:sz w:val="18"/>
                <w:szCs w:val="18"/>
                <w:color w:val="auto"/>
              </w:rPr>
              <w:t>17,012</w:t>
            </w: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160" w:type="dxa"/>
            <w:vAlign w:val="bottom"/>
            <w:gridSpan w:val="14"/>
          </w:tcPr>
          <w:p>
            <w:pPr>
              <w:spacing w:after="0"/>
              <w:rPr>
                <w:sz w:val="20"/>
                <w:szCs w:val="20"/>
                <w:color w:val="auto"/>
              </w:rPr>
            </w:pPr>
            <w:r>
              <w:rPr>
                <w:rFonts w:ascii="Arial" w:cs="Arial" w:eastAsia="Arial" w:hAnsi="Arial"/>
                <w:sz w:val="18"/>
                <w:szCs w:val="18"/>
                <w:color w:val="auto"/>
                <w:w w:val="90"/>
              </w:rPr>
              <w:t>Change in Interest Income Quarter to Date September 30, 2019 Compared to September 30, 2018</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Change Due</w:t>
            </w:r>
          </w:p>
        </w:tc>
        <w:tc>
          <w:tcPr>
            <w:tcW w:w="160" w:type="dxa"/>
            <w:vAlign w:val="bottom"/>
          </w:tcPr>
          <w:p>
            <w:pPr>
              <w:spacing w:after="0"/>
              <w:rPr>
                <w:sz w:val="18"/>
                <w:szCs w:val="18"/>
                <w:color w:val="auto"/>
              </w:rPr>
            </w:pPr>
          </w:p>
        </w:tc>
        <w:tc>
          <w:tcPr>
            <w:tcW w:w="1480" w:type="dxa"/>
            <w:vAlign w:val="bottom"/>
            <w:gridSpan w:val="4"/>
          </w:tcPr>
          <w:p>
            <w:pPr>
              <w:jc w:val="center"/>
              <w:ind w:right="30"/>
              <w:spacing w:after="0"/>
              <w:rPr>
                <w:sz w:val="20"/>
                <w:szCs w:val="20"/>
                <w:color w:val="auto"/>
              </w:rPr>
            </w:pPr>
            <w:r>
              <w:rPr>
                <w:rFonts w:ascii="Arial" w:cs="Arial" w:eastAsia="Arial" w:hAnsi="Arial"/>
                <w:sz w:val="18"/>
                <w:szCs w:val="18"/>
                <w:color w:val="auto"/>
                <w:w w:val="87"/>
              </w:rPr>
              <w:t>Change Due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660" w:type="dxa"/>
            <w:vAlign w:val="bottom"/>
            <w:gridSpan w:val="3"/>
          </w:tcPr>
          <w:p>
            <w:pPr>
              <w:ind w:left="1140"/>
              <w:spacing w:after="0"/>
              <w:rPr>
                <w:sz w:val="20"/>
                <w:szCs w:val="20"/>
                <w:color w:val="auto"/>
              </w:rPr>
            </w:pPr>
            <w:r>
              <w:rPr>
                <w:rFonts w:ascii="Arial" w:cs="Arial" w:eastAsia="Arial" w:hAnsi="Arial"/>
                <w:sz w:val="18"/>
                <w:szCs w:val="18"/>
                <w:color w:val="auto"/>
              </w:rPr>
              <w:t>Interest Earning Assets:</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w w:val="96"/>
              </w:rPr>
              <w:t>Total Change</w:t>
            </w:r>
          </w:p>
        </w:tc>
        <w:tc>
          <w:tcPr>
            <w:tcW w:w="160" w:type="dxa"/>
            <w:vAlign w:val="bottom"/>
          </w:tcPr>
          <w:p>
            <w:pPr>
              <w:spacing w:after="0"/>
              <w:rPr>
                <w:sz w:val="20"/>
                <w:szCs w:val="20"/>
                <w:color w:val="auto"/>
              </w:rPr>
            </w:pPr>
          </w:p>
        </w:tc>
        <w:tc>
          <w:tcPr>
            <w:tcW w:w="146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to Volume</w:t>
            </w:r>
          </w:p>
        </w:tc>
        <w:tc>
          <w:tcPr>
            <w:tcW w:w="160" w:type="dxa"/>
            <w:vAlign w:val="bottom"/>
          </w:tcPr>
          <w:p>
            <w:pPr>
              <w:spacing w:after="0"/>
              <w:rPr>
                <w:sz w:val="20"/>
                <w:szCs w:val="20"/>
                <w:color w:val="auto"/>
              </w:rPr>
            </w:pPr>
          </w:p>
        </w:tc>
        <w:tc>
          <w:tcPr>
            <w:tcW w:w="940" w:type="dxa"/>
            <w:vAlign w:val="bottom"/>
            <w:gridSpan w:val="3"/>
          </w:tcPr>
          <w:p>
            <w:pPr>
              <w:jc w:val="center"/>
              <w:ind w:left="335"/>
              <w:spacing w:after="0"/>
              <w:rPr>
                <w:sz w:val="20"/>
                <w:szCs w:val="20"/>
                <w:color w:val="auto"/>
              </w:rPr>
            </w:pPr>
            <w:r>
              <w:rPr>
                <w:rFonts w:ascii="Arial" w:cs="Arial" w:eastAsia="Arial" w:hAnsi="Arial"/>
                <w:sz w:val="18"/>
                <w:szCs w:val="18"/>
                <w:color w:val="auto"/>
                <w:w w:val="89"/>
              </w:rPr>
              <w:t>to Rate</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2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22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4,477</w:t>
            </w:r>
          </w:p>
        </w:tc>
        <w:tc>
          <w:tcPr>
            <w:tcW w:w="780" w:type="dxa"/>
            <w:vAlign w:val="bottom"/>
            <w:tcBorders>
              <w:top w:val="single" w:sz="8" w:color="auto"/>
            </w:tcBorders>
            <w:gridSpan w:val="2"/>
            <w:shd w:val="clear" w:color="auto" w:fill="CFF0FC"/>
          </w:tcPr>
          <w:p>
            <w:pPr>
              <w:jc w:val="right"/>
              <w:ind w:right="454"/>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3,982</w:t>
            </w:r>
          </w:p>
        </w:tc>
        <w:tc>
          <w:tcPr>
            <w:tcW w:w="960" w:type="dxa"/>
            <w:vAlign w:val="bottom"/>
            <w:tcBorders>
              <w:top w:val="single" w:sz="8" w:color="auto"/>
            </w:tcBorders>
            <w:gridSpan w:val="2"/>
            <w:shd w:val="clear" w:color="auto" w:fill="CFF0FC"/>
          </w:tcPr>
          <w:p>
            <w:pPr>
              <w:jc w:val="right"/>
              <w:ind w:right="635"/>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495</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Tax-exempt investment securities</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Fed funds sold &amp; other</w:t>
            </w:r>
          </w:p>
        </w:tc>
        <w:tc>
          <w:tcPr>
            <w:tcW w:w="22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495</w:t>
            </w: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2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5,259</w:t>
            </w: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4"/>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4,511</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748</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4"/>
          </w:tcPr>
          <w:p>
            <w:pPr>
              <w:jc w:val="right"/>
              <w:ind w:right="113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2" w:name="page53"/>
    <w:bookmarkEnd w:id="52"/>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41" w:lineRule="exact"/>
        <w:rPr>
          <w:sz w:val="20"/>
          <w:szCs w:val="20"/>
          <w:color w:val="auto"/>
        </w:rPr>
      </w:pPr>
    </w:p>
    <w:p>
      <w:pPr>
        <w:jc w:val="both"/>
        <w:ind w:left="760"/>
        <w:spacing w:after="0" w:line="276" w:lineRule="auto"/>
        <w:rPr>
          <w:sz w:val="20"/>
          <w:szCs w:val="20"/>
          <w:color w:val="auto"/>
        </w:rPr>
      </w:pPr>
      <w:r>
        <w:rPr>
          <w:rFonts w:ascii="Arial" w:cs="Arial" w:eastAsia="Arial" w:hAnsi="Arial"/>
          <w:sz w:val="17"/>
          <w:szCs w:val="17"/>
          <w:color w:val="auto"/>
        </w:rPr>
        <w:t>Offsetting some of the increase in interest income for the quarter was the increase in cost of funds in 2019. Third quarter 2019 was higher by $2.3 million than third quarter 2018. Since 2018 with the Limberlost acquisition, average interest-bearing deposit balances have increased $278.1 million and resulted in approximately $2.0 million more in interest expense for the most recent quarter. Additionally, interest expense on FHLB borrowings was up $237 thousand in the third quarter 2019 over the same time frame in 2018 due to borrowings taken on from the acquisition. During the quarter, the prime rate has dropped 50 basis points. Management has adjusted deposit rates accordingly.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917"/>
              <w:spacing w:after="0"/>
              <w:rPr>
                <w:sz w:val="20"/>
                <w:szCs w:val="20"/>
                <w:color w:val="auto"/>
              </w:rPr>
            </w:pPr>
            <w:r>
              <w:rPr>
                <w:rFonts w:ascii="Arial" w:cs="Arial" w:eastAsia="Arial" w:hAnsi="Arial"/>
                <w:sz w:val="18"/>
                <w:szCs w:val="18"/>
                <w:color w:val="auto"/>
              </w:rPr>
              <w:t>(In Thousands)</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3"/>
        </w:trPr>
        <w:tc>
          <w:tcPr>
            <w:tcW w:w="3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Quarter to Date Ended September 30, 2019</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color w:val="auto"/>
              </w:rPr>
              <w:t>Annualized Yield/Rate</w:t>
            </w: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September 30,</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w w:val="99"/>
              </w:rPr>
              <w:t>September 30,</w:t>
            </w:r>
          </w:p>
        </w:tc>
      </w:tr>
      <w:tr>
        <w:trPr>
          <w:trHeight w:val="230"/>
        </w:trPr>
        <w:tc>
          <w:tcPr>
            <w:tcW w:w="3400" w:type="dxa"/>
            <w:vAlign w:val="bottom"/>
            <w:tcBorders>
              <w:bottom w:val="single" w:sz="8" w:color="CFF0FC"/>
            </w:tcBorders>
          </w:tcPr>
          <w:p>
            <w:pPr>
              <w:spacing w:after="0"/>
              <w:rPr>
                <w:sz w:val="20"/>
                <w:szCs w:val="20"/>
                <w:color w:val="auto"/>
              </w:rPr>
            </w:pPr>
          </w:p>
        </w:tc>
        <w:tc>
          <w:tcPr>
            <w:tcW w:w="6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Average Balance</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Interest</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734,075</w:t>
            </w:r>
          </w:p>
        </w:tc>
        <w:tc>
          <w:tcPr>
            <w:tcW w:w="1560" w:type="dxa"/>
            <w:vAlign w:val="bottom"/>
            <w:gridSpan w:val="2"/>
            <w:shd w:val="clear" w:color="auto" w:fill="CFF0FC"/>
          </w:tcPr>
          <w:p>
            <w:pPr>
              <w:jc w:val="right"/>
              <w:ind w:right="125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2,044</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Other time deposits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276,793</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1,610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24,582</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28,947</w:t>
            </w:r>
          </w:p>
        </w:tc>
        <w:tc>
          <w:tcPr>
            <w:tcW w:w="14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1,064,397</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125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4,112</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r>
      <w:tr>
        <w:trPr>
          <w:trHeight w:val="20"/>
        </w:trPr>
        <w:tc>
          <w:tcPr>
            <w:tcW w:w="3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540"/>
        <w:spacing w:after="0"/>
        <w:rPr>
          <w:sz w:val="20"/>
          <w:szCs w:val="20"/>
          <w:color w:val="auto"/>
        </w:rPr>
      </w:pPr>
      <w:r>
        <w:rPr>
          <w:rFonts w:ascii="Arial" w:cs="Arial" w:eastAsia="Arial" w:hAnsi="Arial"/>
          <w:sz w:val="18"/>
          <w:szCs w:val="18"/>
          <w:u w:val="single" w:color="auto"/>
          <w:color w:val="auto"/>
        </w:rPr>
        <w:t>Change in Interest Expense Quarter to Date September 30, 2019 Compared to September 30, 2018</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Change Due</w:t>
            </w:r>
          </w:p>
        </w:tc>
        <w:tc>
          <w:tcPr>
            <w:tcW w:w="2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w w:val="92"/>
              </w:rPr>
              <w:t>Change Due</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Interest Bearing Liabilities:</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Total 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to Volume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w w:val="99"/>
              </w:rPr>
              <w:t>to Rate</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360" w:type="dxa"/>
            <w:vAlign w:val="bottom"/>
            <w:tcBorders>
              <w:top w:val="single" w:sz="8" w:color="auto"/>
            </w:tcBorders>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1,123</w:t>
            </w:r>
          </w:p>
        </w:tc>
        <w:tc>
          <w:tcPr>
            <w:tcW w:w="24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507</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616</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time deposits</w:t>
            </w: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Interest Bearing Liabilities</w:t>
            </w:r>
          </w:p>
        </w:tc>
        <w:tc>
          <w:tcPr>
            <w:tcW w:w="36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1,055</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Overall, net interest spread for the third quarter 2019 is 41 basis points lower than last year. As the following chart illustrates, higher yields on interest and dividend income did not offset the higher interest expense in the most recent quarter when comparing to the same period a year ago.</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740" w:type="dxa"/>
            <w:vAlign w:val="bottom"/>
            <w:gridSpan w:val="3"/>
          </w:tcPr>
          <w:p>
            <w:pPr>
              <w:jc w:val="center"/>
              <w:ind w:left="1130"/>
              <w:spacing w:after="0"/>
              <w:rPr>
                <w:sz w:val="20"/>
                <w:szCs w:val="20"/>
                <w:color w:val="auto"/>
              </w:rPr>
            </w:pPr>
            <w:r>
              <w:rPr>
                <w:rFonts w:ascii="Arial" w:cs="Arial" w:eastAsia="Arial" w:hAnsi="Arial"/>
                <w:sz w:val="18"/>
                <w:szCs w:val="18"/>
                <w:color w:val="auto"/>
                <w:w w:val="88"/>
              </w:rPr>
              <w:t>September 30,</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Expense/cost</w:t>
            </w:r>
          </w:p>
        </w:tc>
        <w:tc>
          <w:tcPr>
            <w:tcW w:w="14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0.92%</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46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vMerge w:val="continue"/>
            <w:shd w:val="clear" w:color="auto" w:fill="CFF0FC"/>
          </w:tcPr>
          <w:p>
            <w:pPr>
              <w:spacing w:after="0"/>
              <w:rPr>
                <w:sz w:val="19"/>
                <w:szCs w:val="19"/>
                <w:color w:val="auto"/>
              </w:rPr>
            </w:pPr>
          </w:p>
        </w:tc>
        <w:tc>
          <w:tcPr>
            <w:tcW w:w="1460" w:type="dxa"/>
            <w:vAlign w:val="bottom"/>
            <w:vMerge w:val="continue"/>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3.19%</w:t>
            </w:r>
          </w:p>
        </w:tc>
        <w:tc>
          <w:tcPr>
            <w:tcW w:w="10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3.60%</w:t>
            </w:r>
          </w:p>
        </w:tc>
        <w:tc>
          <w:tcPr>
            <w:tcW w:w="10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Net interest income was up $2.9 million for the third quarter 2019 over the same time frame in 2018 due to the increase in loan interest income and partially offset by higher interest expense, as previously mentioned. As the new loans added in 2018 and 2019 generate more income, management expects the benefits of the Company’s strategy of repositioning the balance sheet to continue to widen this margin as measured in dollars. In terms of net interest margin rate, the Bank recognizes competition for deposits have and will continue to put pressure on the margin which may lead to a tightening.</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Comparison of Noninterest Results of Operations - Third Quarter 2019 to Third Quarter 2018</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Provision Expense</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ALLL has a direct impact on the provision expense. The increase in the ALLL is funded through recoveries and provision expense. The following tables both deal with the allowance for credit losses. The first table breaks down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portfolios accounted for the largest component of charge-offs and recoveries for third quarter of 2019 as compared to the consumer and consumer real estate portfolios which comprised the majority of the charge-offs and recoveries for third quarter 2018. The commercial real estate portfolio is currently creating a large impact on the ALLL due to the loan growth.</w:t>
      </w:r>
    </w:p>
    <w:p>
      <w:pPr>
        <w:spacing w:after="0" w:line="151"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Total provision for loan losses was $200 thousand higher for the third quarter 2019 as compared to the same quarter 2018. Management continues to monitor asset quality, making adjustments to the provision as necessary. Loan charge-offs were $96 thousand higher in third quarter 2019 than the same quarter 2018. Recoveries were $6 thousand higher in third quarter 2019 as compared to third quarter 2018. Combined net charge-offs were $90 thousand higher in third quarter 2019 than the same time period 2018. Past due loans increased $1.7 million from September 30, 2018 as compared to September 30, 2019. The majority of the change is attributed to the increase of past due balances in the agricultural, agricultural real estate and commercial portfolios.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September 30, 2019, 2018, and 2017.</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2"/>
              </w:rPr>
              <w:t>(In Thousands)</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1"/>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270"/>
              <w:spacing w:after="0"/>
              <w:rPr>
                <w:sz w:val="20"/>
                <w:szCs w:val="20"/>
                <w:color w:val="auto"/>
              </w:rPr>
            </w:pPr>
            <w:r>
              <w:rPr>
                <w:rFonts w:ascii="Arial" w:cs="Arial" w:eastAsia="Arial" w:hAnsi="Arial"/>
                <w:sz w:val="18"/>
                <w:szCs w:val="18"/>
                <w:color w:val="auto"/>
                <w:w w:val="91"/>
              </w:rPr>
              <w:t>Three Months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1"/>
              </w:rPr>
              <w:t>Three Months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270"/>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88"/>
              </w:rPr>
              <w:t>Ended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September 30, 2019</w:t>
            </w: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8"/>
              </w:rPr>
              <w:t>September 30, 2018</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1,158,696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838,698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795,205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2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1,126,173</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831,246</w:t>
            </w:r>
          </w:p>
        </w:tc>
        <w:tc>
          <w:tcPr>
            <w:tcW w:w="2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790,397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Allowance for Loan Losses - July 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6,683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6,789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4"/>
              </w:rPr>
              <w:t>Acquisition provision for loan loss</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60" w:type="dxa"/>
            <w:vAlign w:val="bottom"/>
            <w:gridSpan w:val="3"/>
          </w:tcPr>
          <w:p>
            <w:pPr>
              <w:spacing w:after="0"/>
              <w:rPr>
                <w:sz w:val="20"/>
                <w:szCs w:val="20"/>
                <w:color w:val="auto"/>
              </w:rPr>
            </w:pPr>
            <w:r>
              <w:rPr>
                <w:rFonts w:ascii="Arial" w:cs="Arial" w:eastAsia="Arial" w:hAnsi="Arial"/>
                <w:sz w:val="18"/>
                <w:szCs w:val="18"/>
                <w:color w:val="auto"/>
              </w:rPr>
              <w:t>Allowance  for  Loan  &amp;  Lease  Losses  -</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6,759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6,755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w w:val="99"/>
              </w:rPr>
              <w:t>Allowance for Unfunded Loan Commitments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 - September 30,</w:t>
            </w:r>
          </w:p>
        </w:tc>
        <w:tc>
          <w:tcPr>
            <w:tcW w:w="1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9"/>
        </w:trPr>
        <w:tc>
          <w:tcPr>
            <w:tcW w:w="3540" w:type="dxa"/>
            <w:vAlign w:val="bottom"/>
            <w:gridSpan w:val="2"/>
          </w:tcPr>
          <w:p>
            <w:pPr>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7,189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7,088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7,098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Ratio of net charge-offs to average</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Loans outstanding</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1,399.98%</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198"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notification of bankruptcy, unsecured debt is charged off. Additional charge-offs may be realized as further unsecured positions are recognized.</w:t>
      </w:r>
    </w:p>
    <w:p>
      <w:pPr>
        <w:spacing w:after="0" w:line="221"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Loans classified as nonaccrual were higher as of September 30, 2019 at $3.3 million as compared to $483 thousand as of September 30, 2018. The majority of the increase is in the agricultural, consumer real estate and commercial portfolios.</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66"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 presents the balances for allowance for loan losses by loan type for nine months ended September 30, 2019 and September 30, 2018.</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480" w:type="dxa"/>
            <w:vAlign w:val="bottom"/>
          </w:tcPr>
          <w:p>
            <w:pPr>
              <w:spacing w:after="0"/>
              <w:rPr>
                <w:sz w:val="19"/>
                <w:szCs w:val="19"/>
                <w:color w:val="auto"/>
              </w:rPr>
            </w:pPr>
          </w:p>
        </w:tc>
      </w:tr>
      <w:tr>
        <w:trPr>
          <w:trHeight w:val="216"/>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September 30,</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September 30,</w:t>
            </w:r>
          </w:p>
        </w:tc>
        <w:tc>
          <w:tcPr>
            <w:tcW w:w="1480" w:type="dxa"/>
            <w:vAlign w:val="bottom"/>
          </w:tcPr>
          <w:p>
            <w:pPr>
              <w:spacing w:after="0"/>
              <w:rPr>
                <w:sz w:val="18"/>
                <w:szCs w:val="18"/>
                <w:color w:val="auto"/>
              </w:rPr>
            </w:pPr>
          </w:p>
        </w:tc>
      </w:tr>
      <w:tr>
        <w:trPr>
          <w:trHeight w:val="230"/>
        </w:trPr>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2019</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2018</w:t>
            </w:r>
          </w:p>
        </w:tc>
        <w:tc>
          <w:tcPr>
            <w:tcW w:w="148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 Applicable To:</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32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13.68%</w:t>
            </w:r>
          </w:p>
        </w:tc>
        <w:tc>
          <w:tcPr>
            <w:tcW w:w="2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17.31%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48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733</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9.53%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3,305</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43.25%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3,272</w:t>
            </w:r>
          </w:p>
        </w:tc>
        <w:tc>
          <w:tcPr>
            <w:tcW w:w="1480" w:type="dxa"/>
            <w:vAlign w:val="bottom"/>
          </w:tcPr>
          <w:p>
            <w:pPr>
              <w:jc w:val="right"/>
              <w:spacing w:after="0"/>
              <w:rPr>
                <w:sz w:val="20"/>
                <w:szCs w:val="20"/>
                <w:color w:val="auto"/>
              </w:rPr>
            </w:pPr>
            <w:r>
              <w:rPr>
                <w:rFonts w:ascii="Arial" w:cs="Arial" w:eastAsia="Arial" w:hAnsi="Arial"/>
                <w:sz w:val="18"/>
                <w:szCs w:val="18"/>
                <w:color w:val="auto"/>
              </w:rPr>
              <w:t>49.68%</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1,550</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11.94%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48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384</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Allowance for Loan &amp; Lease Losses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6,759</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6,755</w:t>
            </w:r>
          </w:p>
        </w:tc>
        <w:tc>
          <w:tcPr>
            <w:tcW w:w="1480" w:type="dxa"/>
            <w:vAlign w:val="bottom"/>
          </w:tcPr>
          <w:p>
            <w:pPr>
              <w:spacing w:after="0"/>
              <w:rPr>
                <w:sz w:val="19"/>
                <w:szCs w:val="19"/>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430</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333</w:t>
            </w:r>
          </w:p>
        </w:tc>
        <w:tc>
          <w:tcPr>
            <w:tcW w:w="1480" w:type="dxa"/>
            <w:vAlign w:val="bottom"/>
            <w:shd w:val="clear" w:color="auto" w:fill="CFF0FC"/>
          </w:tcPr>
          <w:p>
            <w:pPr>
              <w:spacing w:after="0"/>
              <w:rPr>
                <w:sz w:val="19"/>
                <w:szCs w:val="19"/>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7,189</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7,088</w:t>
            </w:r>
          </w:p>
        </w:tc>
        <w:tc>
          <w:tcPr>
            <w:tcW w:w="14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Noninterest Income</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Noninterest income was up $478 thousand for the third quarter 2019 over the same time frame in 2018. The Company has seen an increase in its mortgage production volume and the gain on the sale of these loans was $76 thousand higher for the third quarter 2019 over the same period in 2018. Loan originations on loans held for sale for the third quarter 2019 were $24.7 million with proceeds from sale at $24.8 million for 2019 compared to 2018’s third quarter activity of $13.6 million in originations and $11.8 million in sales. The mortgages sold were both 1-4 family and agricultural real estate loans originated for sale.</w:t>
      </w:r>
    </w:p>
    <w:p>
      <w:pPr>
        <w:spacing w:after="0" w:line="148"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largest fluctuation in noninterest income was in the combined service fee lines, which was $412 thousand higher than the same quarter last year. The increase was largely due to an increase in servicing rights income of $150 thousand and debit card income of $127 thousand.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373"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third quarter of 2019, mortgage servicing rights caused a net $91 thousand in income, in comparison to a net $17 thousand income for the third quarter of 2018. The higher capitalized additions for 2019 are attributed to a higher loan origination level of 1-4 families combined with a higher mortgage servicing rights value being applied to originations of 1-4 families in 2019 as compared to 2018. For loans of 15 years and less, the value was 1.055% in the third quarter 2019 versus 1.008% in third quarter 2018. For loans over 15 years, the value was 1.259% versus 1.218% for the same periods respectively. The carrying value is well below the market value of $3.0 million which indicates any large expense to fund the valuation allowance to be unlikely in 2019.</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January 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Capitalized Additions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Ending Balance, September 30,</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Mortgage Servicing Rights net, September 30,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Noninterest Expense</w:t>
      </w:r>
    </w:p>
    <w:p>
      <w:pPr>
        <w:spacing w:after="0" w:line="198"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For the third quarter 2019, noninterest expenses were $2.5 million higher than for the same quarter in 2018. Salaries, wages, and employee benefits increased $1.1 million, with the addition of the acquired offices, normal merit increases, increased medical costs and restricted stock expense. Furniture and equipment expenses increased $132 thousand from the prior year primarily due to an increase in depreciation of $83 thousand and maintenance contracts of $48 thousand. Data processing charges increased $118 thousand for third quarter 2019 while advertising increased $351 thousand for the quarter. Other general and administrative expenses were up $542 thousand compared to third quarter 2018. Core deposit intangible increased $140 thousand, loan and collection expense increased $88 thousand and audit and exam fees increased $72 thousand. Miscellaneous NSF checks and other losses decreased $72 thousand from third quarter 2018.</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Income</w:t>
      </w:r>
    </w:p>
    <w:p>
      <w:pPr>
        <w:spacing w:after="0" w:line="185"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Results overall, net income in the third quarter of 2019 was up $400 thousand as compared to the same quarter last year. The Company has done an exceptional job of growing loans while keeping past dues low. The Company remains strong, stable, and well capitalized and has the capacity to continue to cover the increased costs of expansion.</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Comparison of Results of Interest Earnings and Expenses for nine month periods ended September 30, 2019 and 2018</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Income</w:t>
      </w:r>
    </w:p>
    <w:p>
      <w:pPr>
        <w:spacing w:after="0" w:line="252"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Higher loan balances created the improvement in the interest income for the first nine months of 2019 as compared to the first nine months of 2018. Interest income rose 48.6% or $16.7 million while interest income from loans accounted for the majority of the increase. Contributing to the improvement was an increase in securities income of $489 thousand and an increase in income from Fed Funds sold and interest bearing deposits of $985 thousand over 2018. The change in the balance sheet mix along with the loan growth caused the asset yield to improve by 63 basis points to 5.04% for the first nine months of 2019 compared to first nine months of 2018’s 4.41%. The improvement of the yield was favorably impacted by the $2.0 million reversal of the fair value adjustment from the payoff of the purchased credit-impaired loans as discussed in Note 2.</w:t>
      </w:r>
    </w:p>
    <w:p>
      <w:pPr>
        <w:spacing w:after="0" w:line="19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With each quarter of 2019, the loan growth contributed to the continued improvement in asset yield. The growth factor contribution is shown in the charts which follow.</w:t>
      </w:r>
    </w:p>
    <w:p>
      <w:pPr>
        <w:spacing w:after="0" w:line="19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average interest earning asset base was $308.1 million higher in first nine months 2019 than the first nine months of 2018, an increase of approximately 29.4%.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right="188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21% tax rate in the charts to follow.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8"/>
          </w:tcPr>
          <w:p>
            <w:pPr>
              <w:jc w:val="right"/>
              <w:ind w:right="94"/>
              <w:spacing w:after="0"/>
              <w:rPr>
                <w:sz w:val="20"/>
                <w:szCs w:val="20"/>
                <w:color w:val="auto"/>
              </w:rPr>
            </w:pPr>
            <w:r>
              <w:rPr>
                <w:rFonts w:ascii="Arial" w:cs="Arial" w:eastAsia="Arial" w:hAnsi="Arial"/>
                <w:sz w:val="18"/>
                <w:szCs w:val="18"/>
                <w:color w:val="auto"/>
                <w:w w:val="90"/>
              </w:rPr>
              <w:t>Year to Date Ended September 30, 2019</w:t>
            </w:r>
          </w:p>
        </w:tc>
        <w:tc>
          <w:tcPr>
            <w:tcW w:w="24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9"/>
          </w:tcPr>
          <w:p>
            <w:pPr>
              <w:jc w:val="right"/>
              <w:ind w:right="1020"/>
              <w:spacing w:after="0"/>
              <w:rPr>
                <w:sz w:val="20"/>
                <w:szCs w:val="20"/>
                <w:color w:val="auto"/>
              </w:rPr>
            </w:pPr>
            <w:r>
              <w:rPr>
                <w:rFonts w:ascii="Arial" w:cs="Arial" w:eastAsia="Arial" w:hAnsi="Arial"/>
                <w:sz w:val="18"/>
                <w:szCs w:val="18"/>
                <w:color w:val="auto"/>
                <w:w w:val="98"/>
              </w:rPr>
              <w:t>Annualized Yield/Rate</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4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8"/>
              </w:rPr>
              <w:t>Average Balance</w:t>
            </w:r>
          </w:p>
        </w:tc>
        <w:tc>
          <w:tcPr>
            <w:tcW w:w="1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4"/>
          </w:tcPr>
          <w:p>
            <w:pPr>
              <w:jc w:val="right"/>
              <w:ind w:right="14"/>
              <w:spacing w:after="0"/>
              <w:rPr>
                <w:sz w:val="20"/>
                <w:szCs w:val="20"/>
                <w:color w:val="auto"/>
              </w:rPr>
            </w:pPr>
            <w:r>
              <w:rPr>
                <w:rFonts w:ascii="Arial" w:cs="Arial" w:eastAsia="Arial" w:hAnsi="Arial"/>
                <w:sz w:val="18"/>
                <w:szCs w:val="18"/>
                <w:color w:val="auto"/>
                <w:w w:val="95"/>
              </w:rPr>
              <w:t>Interest/Dividends</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18"/>
                <w:szCs w:val="18"/>
                <w:color w:val="auto"/>
                <w:w w:val="89"/>
              </w:rPr>
              <w:t>September 30, 2019</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September 30, 2018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1,113,892</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7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46,605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146,085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20,784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Fed funds sold &amp; other</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00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gridSpan w:val="3"/>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1,356,149</w:t>
            </w:r>
          </w:p>
        </w:tc>
        <w:tc>
          <w:tcPr>
            <w:tcW w:w="1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ind w:right="57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51,157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11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40" w:type="dxa"/>
            <w:vAlign w:val="bottom"/>
            <w:gridSpan w:val="20"/>
          </w:tcPr>
          <w:p>
            <w:pPr>
              <w:spacing w:after="0"/>
              <w:rPr>
                <w:sz w:val="20"/>
                <w:szCs w:val="20"/>
                <w:color w:val="auto"/>
              </w:rPr>
            </w:pPr>
            <w:r>
              <w:rPr>
                <w:rFonts w:ascii="Arial" w:cs="Arial" w:eastAsia="Arial" w:hAnsi="Arial"/>
                <w:sz w:val="18"/>
                <w:szCs w:val="18"/>
                <w:color w:val="auto"/>
                <w:w w:val="97"/>
              </w:rPr>
              <w:t>Change in Interest Income Year to Date September 30, 2019 Compared to September 30, 2018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Change Due</w:t>
            </w:r>
          </w:p>
        </w:tc>
        <w:tc>
          <w:tcPr>
            <w:tcW w:w="160" w:type="dxa"/>
            <w:vAlign w:val="bottom"/>
          </w:tcPr>
          <w:p>
            <w:pPr>
              <w:spacing w:after="0"/>
              <w:rPr>
                <w:sz w:val="18"/>
                <w:szCs w:val="18"/>
                <w:color w:val="auto"/>
              </w:rPr>
            </w:pPr>
          </w:p>
        </w:tc>
        <w:tc>
          <w:tcPr>
            <w:tcW w:w="1400" w:type="dxa"/>
            <w:vAlign w:val="bottom"/>
            <w:gridSpan w:val="5"/>
          </w:tcPr>
          <w:p>
            <w:pPr>
              <w:jc w:val="center"/>
              <w:spacing w:after="0"/>
              <w:rPr>
                <w:sz w:val="20"/>
                <w:szCs w:val="20"/>
                <w:color w:val="auto"/>
              </w:rPr>
            </w:pPr>
            <w:r>
              <w:rPr>
                <w:rFonts w:ascii="Arial" w:cs="Arial" w:eastAsia="Arial" w:hAnsi="Arial"/>
                <w:sz w:val="18"/>
                <w:szCs w:val="18"/>
                <w:color w:val="auto"/>
                <w:w w:val="87"/>
              </w:rPr>
              <w:t>Change Due</w:t>
            </w:r>
          </w:p>
        </w:tc>
        <w:tc>
          <w:tcPr>
            <w:tcW w:w="12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1140"/>
              <w:spacing w:after="0"/>
              <w:rPr>
                <w:sz w:val="20"/>
                <w:szCs w:val="20"/>
                <w:color w:val="auto"/>
              </w:rPr>
            </w:pPr>
            <w:r>
              <w:rPr>
                <w:rFonts w:ascii="Arial" w:cs="Arial" w:eastAsia="Arial" w:hAnsi="Arial"/>
                <w:sz w:val="18"/>
                <w:szCs w:val="18"/>
                <w:color w:val="auto"/>
              </w:rPr>
              <w:t>Interest Earning Assets: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5"/>
          </w:tcPr>
          <w:p>
            <w:pPr>
              <w:jc w:val="right"/>
              <w:ind w:right="300"/>
              <w:spacing w:after="0"/>
              <w:rPr>
                <w:sz w:val="20"/>
                <w:szCs w:val="20"/>
                <w:color w:val="auto"/>
              </w:rPr>
            </w:pPr>
            <w:r>
              <w:rPr>
                <w:rFonts w:ascii="Arial" w:cs="Arial" w:eastAsia="Arial" w:hAnsi="Arial"/>
                <w:sz w:val="18"/>
                <w:szCs w:val="18"/>
                <w:color w:val="auto"/>
              </w:rPr>
              <w:t>Total Change</w:t>
            </w:r>
          </w:p>
        </w:tc>
        <w:tc>
          <w:tcPr>
            <w:tcW w:w="160" w:type="dxa"/>
            <w:vAlign w:val="bottom"/>
          </w:tcPr>
          <w:p>
            <w:pPr>
              <w:spacing w:after="0"/>
              <w:rPr>
                <w:sz w:val="20"/>
                <w:szCs w:val="20"/>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to Volume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to Rate</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ind w:right="35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11,882</w:t>
            </w: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3,375</w:t>
            </w: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Fed funds sold &amp; other</w:t>
            </w:r>
          </w:p>
        </w:tc>
        <w:tc>
          <w:tcPr>
            <w:tcW w:w="4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985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16,731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4"/>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4,867</w:t>
            </w:r>
          </w:p>
        </w:tc>
        <w:tc>
          <w:tcPr>
            <w:tcW w:w="80" w:type="dxa"/>
            <w:vAlign w:val="bottom"/>
            <w:tcBorders>
              <w:bottom w:val="single" w:sz="8" w:color="CFF0FC"/>
            </w:tcBorders>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Expense</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Interest expense was also higher for the first nine months of 2019 compared to the first nine months of 2018. At $10.9 million, the first nine months of 2019 was up $6.2 million as compared to same time period 2018 or 130.2%.</w:t>
      </w:r>
    </w:p>
    <w:p>
      <w:pPr>
        <w:spacing w:after="0" w:line="197"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The average balance of interest-bearing liabilities was higher by $257.4 million in 2019 than the first nine months of 2018. Interest bearing deposits increased $233.1 million while Fed Funds purchased and securities sold under agreement to repurchase increased by $3.3 million. The higher balance coupled with the slight variation of the balance sheet mix, resulted in a 59 basis points increase in the cost of funds at 1.42% for the first nine months of 2019 as compared to 2018’s 0.83%.</w:t>
      </w:r>
    </w:p>
    <w:p>
      <w:pPr>
        <w:spacing w:after="0" w:line="214"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Competition has caused deposits to price higher. The change chart on the following page shows the increased cost is only slightly driven more by volume than rate.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80" w:type="dxa"/>
            <w:vAlign w:val="bottom"/>
            <w:gridSpan w:val="5"/>
          </w:tcPr>
          <w:p>
            <w:pPr>
              <w:jc w:val="right"/>
              <w:ind w:right="350"/>
              <w:spacing w:after="0"/>
              <w:rPr>
                <w:sz w:val="20"/>
                <w:szCs w:val="20"/>
                <w:color w:val="auto"/>
              </w:rPr>
            </w:pPr>
            <w:r>
              <w:rPr>
                <w:rFonts w:ascii="Arial" w:cs="Arial" w:eastAsia="Arial" w:hAnsi="Arial"/>
                <w:sz w:val="18"/>
                <w:szCs w:val="18"/>
                <w:color w:val="auto"/>
                <w:w w:val="95"/>
              </w:rPr>
              <w:t>Year to Date Ended September 30, 2019</w:t>
            </w:r>
          </w:p>
        </w:tc>
        <w:tc>
          <w:tcPr>
            <w:tcW w:w="220" w:type="dxa"/>
            <w:vAlign w:val="bottom"/>
            <w:gridSpan w:val="2"/>
          </w:tcPr>
          <w:p>
            <w:pPr>
              <w:spacing w:after="0"/>
              <w:rPr>
                <w:sz w:val="19"/>
                <w:szCs w:val="19"/>
                <w:color w:val="auto"/>
              </w:rPr>
            </w:pPr>
          </w:p>
        </w:tc>
        <w:tc>
          <w:tcPr>
            <w:tcW w:w="3260" w:type="dxa"/>
            <w:vAlign w:val="bottom"/>
            <w:gridSpan w:val="5"/>
          </w:tcPr>
          <w:p>
            <w:pPr>
              <w:jc w:val="right"/>
              <w:ind w:right="900"/>
              <w:spacing w:after="0"/>
              <w:rPr>
                <w:sz w:val="20"/>
                <w:szCs w:val="20"/>
                <w:color w:val="auto"/>
              </w:rPr>
            </w:pPr>
            <w:r>
              <w:rPr>
                <w:rFonts w:ascii="Arial" w:cs="Arial" w:eastAsia="Arial" w:hAnsi="Arial"/>
                <w:sz w:val="18"/>
                <w:szCs w:val="18"/>
                <w:color w:val="auto"/>
              </w:rPr>
              <w:t>Annualized Yield/Rate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September 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Average Balance</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Interest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708,280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Other time deposits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261,729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7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1,025,701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8" w:name="page59"/>
    <w:bookmarkEnd w:id="58"/>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 in Interest Expense Year to Date September 30, 2019 Compared to September 30, 2018</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color w:val="auto"/>
                <w:w w:val="89"/>
              </w:rPr>
              <w:t>(In Thousands)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Change Due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7"/>
              </w:rPr>
              <w:t>Change Due</w:t>
            </w:r>
          </w:p>
        </w:tc>
        <w:tc>
          <w:tcPr>
            <w:tcW w:w="8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Interest Bearing Liabilities:</w:t>
            </w:r>
          </w:p>
        </w:tc>
        <w:tc>
          <w:tcPr>
            <w:tcW w:w="1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w w:val="92"/>
              </w:rPr>
              <w:t>Total Change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to Volume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 Rate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time deposits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9"/>
                <w:szCs w:val="19"/>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 Interest Bearing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Interest Income</w:t>
      </w:r>
    </w:p>
    <w:p>
      <w:pPr>
        <w:spacing w:after="0" w:line="18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Overall, net interest spread figures for the first nine months of 2019 are up from 2018 by 4 basis points and up 18 basis points from 2017. Net interest margin for the first nine months of 2019 is higher than the same period 2018 and 2017. As the chart below illustrates, both higher yields on interest and dividend income, were offset by higher interest expense resulting in total net interest margin up 17 basis points since the first nine months of 2018 and over the first nine months of 2017 by 36 basis points.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Expense/cost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0.83%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3.62%</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3.58%</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Net interest income was up $10.5 million in the first nine months of 2019 over the same time frame in 2018 due to the increase in loan income even with higher interest expense, as previously mentioned. New loans added in 2018 and 2019 will continue to generate more income, while deposit pressure is expected to continue to increase on the expense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Comparison of Results of Noninterest Earnings and Expenses for nine month periods ended September 30, 2019 and 2018</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Provision Expense</w:t>
      </w:r>
    </w:p>
    <w:p>
      <w:pPr>
        <w:spacing w:after="0" w:line="25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Total provision for loan losses was $191 thousand higher for the first nine months 2019 than for the first nine months 2018. While loan growth continued in the first nine months, strong asset quality continued also. The strong asset quality along with only $94 thousand higher net charge-offs offset any need for additional provision above the $410 thousand that was expensed.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Nine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4"/>
          </w:tcPr>
          <w:p>
            <w:pPr>
              <w:ind w:left="6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w w:val="92"/>
              </w:rPr>
              <w:t>Nine Months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September 30, 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4"/>
          </w:tcPr>
          <w:p>
            <w:pPr>
              <w:ind w:left="60"/>
              <w:spacing w:after="0"/>
              <w:rPr>
                <w:sz w:val="20"/>
                <w:szCs w:val="20"/>
                <w:color w:val="auto"/>
              </w:rPr>
            </w:pPr>
            <w:r>
              <w:rPr>
                <w:rFonts w:ascii="Arial" w:cs="Arial" w:eastAsia="Arial" w:hAnsi="Arial"/>
                <w:sz w:val="18"/>
                <w:szCs w:val="18"/>
                <w:color w:val="auto"/>
              </w:rPr>
              <w:t>September 30, 2018</w:t>
            </w:r>
          </w:p>
        </w:tc>
        <w:tc>
          <w:tcPr>
            <w:tcW w:w="10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September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1,158,696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838,698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795,205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5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1,113,892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830,118</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776,828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6,775</w:t>
            </w:r>
          </w:p>
        </w:tc>
        <w:tc>
          <w:tcPr>
            <w:tcW w:w="180" w:type="dxa"/>
            <w:vAlign w:val="bottom"/>
          </w:tcPr>
          <w:p>
            <w:pPr>
              <w:spacing w:after="0"/>
              <w:rPr>
                <w:sz w:val="19"/>
                <w:szCs w:val="19"/>
                <w:color w:val="auto"/>
              </w:rPr>
            </w:pPr>
          </w:p>
        </w:tc>
        <w:tc>
          <w:tcPr>
            <w:tcW w:w="4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6,868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Allowance for Loan &amp; Lease Losses - September 30,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6,759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&amp; Letters of Credit - September 30,</w:t>
            </w:r>
          </w:p>
        </w:tc>
        <w:tc>
          <w:tcPr>
            <w:tcW w:w="4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260" w:type="dxa"/>
            <w:vAlign w:val="bottom"/>
            <w:gridSpan w:val="2"/>
          </w:tcPr>
          <w:p>
            <w:pPr>
              <w:spacing w:after="0"/>
              <w:rPr>
                <w:sz w:val="20"/>
                <w:szCs w:val="20"/>
                <w:color w:val="auto"/>
              </w:rPr>
            </w:pPr>
            <w:r>
              <w:rPr>
                <w:rFonts w:ascii="Arial" w:cs="Arial" w:eastAsia="Arial" w:hAnsi="Arial"/>
                <w:sz w:val="18"/>
                <w:szCs w:val="18"/>
                <w:color w:val="auto"/>
              </w:rPr>
              <w:t>Total Allowance for Credit Losses - September 30,</w:t>
            </w:r>
          </w:p>
        </w:tc>
        <w:tc>
          <w:tcPr>
            <w:tcW w:w="4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4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 outstanding</w:t>
            </w: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173.25%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1,399.98%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397.35%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25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In comparing past due balances of loans 30+ days, September 30, 2019 balances were $2.5 million as compared to September 30, 2018 balances of $777 thousand. Net charge-offs were also slightly higher at $426 thousand for the first nine months of 2019 compared to the first nine months of 2018’s $332 thousand.</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Noninterest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4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Noninterest income for the first nine months 2019 increased over the first nine months of 2018 by $738 thousand. Combined service fees increased by $833 thousand with increased debit card income of $336 thousand and servicing rights income of $163 thousand. Overdraft and returned check income increased $119 thousand while miscellaneous service fees increased $108 thousand. Gain on sale of loans showed a $59 thousand decrease over the first nine months of 2018. The Company did sell some of its available-for-sale securities in first quarter 2019 and recognized a loss of $26 thousand.</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Noninterest Expense</w:t>
      </w:r>
    </w:p>
    <w:p>
      <w:pPr>
        <w:spacing w:after="0" w:line="25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Through the first nine months of 2019, noninterest expenses were $8.4 million higher than in the first nine months of 2018. Of this increase, $1.3 million was third party acquisition related costs incurred with the Limberlost transaction. The effect of an increase of $2.4 million in salaries and wages was combined with an increase of $1.1 million in employee benefits. The addition of the acquired offices, normal merit increases, increased restricted stock expense, increased medical costs and increased employer taxes related to the vesting of restricted stock awards have impacted 2019. Acquisition costs included in these categories were $157 thousand.</w:t>
      </w:r>
    </w:p>
    <w:p>
      <w:pPr>
        <w:spacing w:after="0" w:line="215" w:lineRule="exact"/>
        <w:rPr>
          <w:sz w:val="20"/>
          <w:szCs w:val="20"/>
          <w:color w:val="auto"/>
        </w:rPr>
      </w:pPr>
    </w:p>
    <w:p>
      <w:pPr>
        <w:jc w:val="both"/>
        <w:ind w:left="760"/>
        <w:spacing w:after="0" w:line="276" w:lineRule="auto"/>
        <w:rPr>
          <w:sz w:val="20"/>
          <w:szCs w:val="20"/>
          <w:color w:val="auto"/>
        </w:rPr>
      </w:pPr>
      <w:r>
        <w:rPr>
          <w:rFonts w:ascii="Arial" w:cs="Arial" w:eastAsia="Arial" w:hAnsi="Arial"/>
          <w:sz w:val="17"/>
          <w:szCs w:val="17"/>
          <w:color w:val="auto"/>
        </w:rPr>
        <w:t>Data processing fees were $1.2 million higher than last year with $868 thousand of the increase acquisition related. A seven year contract extension was signed in the third quarter of 2016 which has helped reduce the expense while adding new products and services to better align with our customers’ expectations in the coming years. We have already added additional products in 2019, mainly focused on mobile services and business deposit accounts. Furniture and equipment was $519 thousand higher than 2018. Increased depreciation for new offices and office transformations, along with maintenance costs have led to this expense to increase over 2018.</w:t>
      </w:r>
    </w:p>
    <w:p>
      <w:pPr>
        <w:spacing w:after="0" w:line="20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General and administrative expenses were up $1.7 million over the first nine months of 2018 with $195 thousand incurred from the acquisition. The largest increase was $420 thousand for core deposit intangible. Miscellaneous expenses were $225 thousand more than 2018 with acquisition expenses totaling $37 thousand. Loan and collection expenses were up $116 thousand as compared to 2018. The next largest increase for 2019 was in legal expenses. These two line items on the income statement were up by $154 thousand over the first nine months of 2018 with acquisition expenses accounting for $96 thousand of the increase.</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Overall, net income through the first nine months of 2019 was up $1.9 million as compared to the first nine months of 2018. Excluding tax adjusted acquisition costs, net income would have been approximately $14.7 million, an increase of $1.0 million as shown below in the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47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Non-GAAP Reconciliation of Net Income</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September 30, 2019</w:t>
            </w:r>
          </w:p>
        </w:tc>
        <w:tc>
          <w:tcPr>
            <w:tcW w:w="340" w:type="dxa"/>
            <w:vAlign w:val="bottom"/>
          </w:tcPr>
          <w:p>
            <w:pPr>
              <w:spacing w:after="0"/>
              <w:rPr>
                <w:sz w:val="20"/>
                <w:szCs w:val="20"/>
                <w:color w:val="auto"/>
              </w:rPr>
            </w:pP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September 30, 2018</w:t>
            </w:r>
          </w:p>
        </w:tc>
      </w:tr>
      <w:tr>
        <w:trPr>
          <w:trHeight w:val="223"/>
        </w:trPr>
        <w:tc>
          <w:tcPr>
            <w:tcW w:w="47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3"/>
          </w:tcPr>
          <w:p>
            <w:pPr>
              <w:jc w:val="center"/>
              <w:ind w:left="1610"/>
              <w:spacing w:after="0"/>
              <w:rPr>
                <w:sz w:val="20"/>
                <w:szCs w:val="20"/>
                <w:color w:val="auto"/>
              </w:rPr>
            </w:pPr>
            <w:r>
              <w:rPr>
                <w:rFonts w:ascii="Arial" w:cs="Arial" w:eastAsia="Arial" w:hAnsi="Arial"/>
                <w:sz w:val="18"/>
                <w:szCs w:val="18"/>
                <w:color w:val="auto"/>
                <w:w w:val="93"/>
              </w:rPr>
              <w:t>(Unaudited)</w:t>
            </w:r>
          </w:p>
        </w:tc>
        <w:tc>
          <w:tcPr>
            <w:tcW w:w="1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 as reported</w:t>
            </w:r>
          </w:p>
        </w:tc>
        <w:tc>
          <w:tcPr>
            <w:tcW w:w="1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13,679</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11,756</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Acquisition expenses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1,270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Tax effect</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Net income excluding acquisition expenses</w:t>
            </w:r>
          </w:p>
        </w:tc>
        <w:tc>
          <w:tcPr>
            <w:tcW w:w="16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14,699</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11,926</w:t>
            </w:r>
          </w:p>
        </w:tc>
        <w:tc>
          <w:tcPr>
            <w:tcW w:w="12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color w:val="auto"/>
        </w:rPr>
        <w:t>The Company continues to grow loans while keeping past dues low. The growth in loans has spurred the increase in net interest income that has flowed through to the bottom line. The asset quality has kept loan provision down as the allowance for loan loss remains adequate for the level of credit risk. The opening of the new offices has hampered earnings in the short term; however, the Company remains focused on the long term.</w:t>
      </w:r>
    </w:p>
    <w:p>
      <w:pPr>
        <w:spacing w:after="0" w:line="174"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ind w:right="1860" w:firstLine="51"/>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FORWARD LOOKING STATEMENTS</w:t>
      </w:r>
    </w:p>
    <w:p>
      <w:pPr>
        <w:spacing w:after="0" w:line="198"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1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shocks presented below assume an immediate change of rate in the percentages and directions shown covering a twelve month period: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6"/>
          </w:tcPr>
          <w:p>
            <w:pPr>
              <w:jc w:val="center"/>
              <w:ind w:right="1540"/>
              <w:spacing w:after="0"/>
              <w:rPr>
                <w:sz w:val="20"/>
                <w:szCs w:val="20"/>
                <w:color w:val="auto"/>
              </w:rPr>
            </w:pPr>
            <w:r>
              <w:rPr>
                <w:rFonts w:ascii="Arial" w:cs="Arial" w:eastAsia="Arial" w:hAnsi="Arial"/>
                <w:sz w:val="18"/>
                <w:szCs w:val="18"/>
                <w:color w:val="auto"/>
                <w:w w:val="88"/>
              </w:rPr>
              <w:t>Interest Rate Shock</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6"/>
          </w:tcPr>
          <w:p>
            <w:pPr>
              <w:jc w:val="center"/>
              <w:ind w:right="1340"/>
              <w:spacing w:after="0"/>
              <w:rPr>
                <w:sz w:val="20"/>
                <w:szCs w:val="20"/>
                <w:color w:val="auto"/>
              </w:rPr>
            </w:pPr>
            <w:r>
              <w:rPr>
                <w:rFonts w:ascii="Arial" w:cs="Arial" w:eastAsia="Arial" w:hAnsi="Arial"/>
                <w:sz w:val="18"/>
                <w:szCs w:val="18"/>
                <w:color w:val="auto"/>
                <w:w w:val="89"/>
              </w:rPr>
              <w:t>Interest Rate Shock</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92"/>
              </w:rPr>
              <w:t>on Net Interest Margin</w:t>
            </w:r>
          </w:p>
        </w:tc>
        <w:tc>
          <w:tcPr>
            <w:tcW w:w="142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6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91"/>
              </w:rPr>
              <w:t>on Net Interest Income</w:t>
            </w:r>
          </w:p>
        </w:tc>
        <w:tc>
          <w:tcPr>
            <w:tcW w:w="1220" w:type="dxa"/>
            <w:vAlign w:val="bottom"/>
            <w:gridSpan w:val="2"/>
          </w:tcPr>
          <w:p>
            <w:pPr>
              <w:spacing w:after="0"/>
              <w:rPr>
                <w:sz w:val="17"/>
                <w:szCs w:val="17"/>
                <w:color w:val="auto"/>
              </w:rPr>
            </w:pPr>
          </w:p>
        </w:tc>
      </w:tr>
      <w:tr>
        <w:trPr>
          <w:trHeight w:val="249"/>
        </w:trPr>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Net Interest</w:t>
            </w:r>
          </w:p>
        </w:tc>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 Change to</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Rate</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Rate</w:t>
            </w:r>
          </w:p>
        </w:tc>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Cumulative</w:t>
            </w:r>
          </w:p>
        </w:tc>
        <w:tc>
          <w:tcPr>
            <w:tcW w:w="19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 Change to</w:t>
            </w:r>
          </w:p>
        </w:tc>
      </w:tr>
      <w:tr>
        <w:trPr>
          <w:trHeight w:val="230"/>
        </w:trPr>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Margin (Ratio)</w:t>
            </w:r>
          </w:p>
        </w:tc>
        <w:tc>
          <w:tcPr>
            <w:tcW w:w="540" w:type="dxa"/>
            <w:vAlign w:val="bottom"/>
          </w:tcPr>
          <w:p>
            <w:pPr>
              <w:spacing w:after="0"/>
              <w:rPr>
                <w:sz w:val="20"/>
                <w:szCs w:val="20"/>
                <w:color w:val="auto"/>
              </w:rPr>
            </w:pPr>
          </w:p>
        </w:tc>
        <w:tc>
          <w:tcPr>
            <w:tcW w:w="1540" w:type="dxa"/>
            <w:vAlign w:val="bottom"/>
            <w:gridSpan w:val="3"/>
          </w:tcPr>
          <w:p>
            <w:pPr>
              <w:jc w:val="center"/>
              <w:ind w:right="860"/>
              <w:spacing w:after="0"/>
              <w:rPr>
                <w:sz w:val="20"/>
                <w:szCs w:val="20"/>
                <w:color w:val="auto"/>
              </w:rPr>
            </w:pPr>
            <w:r>
              <w:rPr>
                <w:rFonts w:ascii="Arial" w:cs="Arial" w:eastAsia="Arial" w:hAnsi="Arial"/>
                <w:sz w:val="18"/>
                <w:szCs w:val="18"/>
                <w:color w:val="auto"/>
                <w:w w:val="87"/>
              </w:rPr>
              <w:t>Flat Rate</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Direction</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Changes by</w:t>
            </w:r>
          </w:p>
        </w:tc>
        <w:tc>
          <w:tcPr>
            <w:tcW w:w="208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Total ($000)</w:t>
            </w:r>
          </w:p>
        </w:tc>
        <w:tc>
          <w:tcPr>
            <w:tcW w:w="560" w:type="dxa"/>
            <w:vAlign w:val="bottom"/>
          </w:tcPr>
          <w:p>
            <w:pPr>
              <w:spacing w:after="0"/>
              <w:rPr>
                <w:sz w:val="20"/>
                <w:szCs w:val="20"/>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Flat Rate</w:t>
            </w:r>
          </w:p>
        </w:tc>
      </w:tr>
      <w:tr>
        <w:trPr>
          <w:trHeight w:val="223"/>
        </w:trPr>
        <w:tc>
          <w:tcPr>
            <w:tcW w:w="1220" w:type="dxa"/>
            <w:vAlign w:val="bottom"/>
            <w:tcBorders>
              <w:top w:val="single" w:sz="8" w:color="auto"/>
            </w:tcBorders>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4.23%</w:t>
            </w: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1"/>
              </w:rPr>
              <w:t>20.16%</w:t>
            </w:r>
          </w:p>
        </w:tc>
        <w:tc>
          <w:tcPr>
            <w:tcW w:w="3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2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3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60,436</w:t>
            </w:r>
          </w:p>
        </w:tc>
        <w:tc>
          <w:tcPr>
            <w:tcW w:w="5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18.70%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2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4.01%</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14.03%</w:t>
            </w:r>
          </w:p>
        </w:tc>
        <w:tc>
          <w:tcPr>
            <w:tcW w:w="3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Rising</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57,439</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12.81%</w:t>
            </w:r>
          </w:p>
        </w:tc>
        <w:tc>
          <w:tcPr>
            <w:tcW w:w="100" w:type="dxa"/>
            <w:vAlign w:val="bottom"/>
          </w:tcPr>
          <w:p>
            <w:pPr>
              <w:spacing w:after="0"/>
              <w:rPr>
                <w:sz w:val="19"/>
                <w:szCs w:val="19"/>
                <w:color w:val="auto"/>
              </w:rPr>
            </w:pPr>
          </w:p>
        </w:tc>
      </w:tr>
      <w:tr>
        <w:trPr>
          <w:trHeight w:val="230"/>
        </w:trPr>
        <w:tc>
          <w:tcPr>
            <w:tcW w:w="122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3.80%</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3"/>
              </w:rPr>
              <w:t>8.00%</w:t>
            </w:r>
          </w:p>
        </w:tc>
        <w:tc>
          <w:tcPr>
            <w:tcW w:w="3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1"/>
              </w:rPr>
              <w:t>Rising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54,497</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7.03%</w:t>
            </w:r>
          </w:p>
        </w:tc>
        <w:tc>
          <w:tcPr>
            <w:tcW w:w="100" w:type="dxa"/>
            <w:vAlign w:val="bottom"/>
            <w:shd w:val="clear" w:color="auto" w:fill="CFF0FC"/>
          </w:tcPr>
          <w:p>
            <w:pPr>
              <w:spacing w:after="0"/>
              <w:rPr>
                <w:sz w:val="19"/>
                <w:szCs w:val="19"/>
                <w:color w:val="auto"/>
              </w:rPr>
            </w:pPr>
          </w:p>
        </w:tc>
      </w:tr>
      <w:tr>
        <w:trPr>
          <w:trHeight w:val="230"/>
        </w:trPr>
        <w:tc>
          <w:tcPr>
            <w:tcW w:w="12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3.52%</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19"/>
                <w:szCs w:val="19"/>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Flat</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50,916</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19"/>
                <w:szCs w:val="19"/>
                <w:color w:val="auto"/>
              </w:rPr>
            </w:pPr>
          </w:p>
        </w:tc>
      </w:tr>
      <w:tr>
        <w:trPr>
          <w:trHeight w:val="230"/>
        </w:trPr>
        <w:tc>
          <w:tcPr>
            <w:tcW w:w="122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3.49%</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-0.78%</w:t>
            </w:r>
          </w:p>
        </w:tc>
        <w:tc>
          <w:tcPr>
            <w:tcW w:w="3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4"/>
              </w:rPr>
              <w:t>Falling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49,947</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-1.90%</w:t>
            </w:r>
          </w:p>
        </w:tc>
        <w:tc>
          <w:tcPr>
            <w:tcW w:w="100" w:type="dxa"/>
            <w:vAlign w:val="bottom"/>
            <w:shd w:val="clear" w:color="auto" w:fill="CFF0FC"/>
          </w:tcPr>
          <w:p>
            <w:pPr>
              <w:spacing w:after="0"/>
              <w:rPr>
                <w:sz w:val="19"/>
                <w:szCs w:val="19"/>
                <w:color w:val="auto"/>
              </w:rPr>
            </w:pPr>
          </w:p>
        </w:tc>
      </w:tr>
      <w:tr>
        <w:trPr>
          <w:trHeight w:val="230"/>
        </w:trPr>
        <w:tc>
          <w:tcPr>
            <w:tcW w:w="12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3.29%</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-6.56%</w:t>
            </w:r>
          </w:p>
        </w:tc>
        <w:tc>
          <w:tcPr>
            <w:tcW w:w="3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Falling</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47,307</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-7.09%</w:t>
            </w:r>
          </w:p>
        </w:tc>
        <w:tc>
          <w:tcPr>
            <w:tcW w:w="100" w:type="dxa"/>
            <w:vAlign w:val="bottom"/>
          </w:tcPr>
          <w:p>
            <w:pPr>
              <w:spacing w:after="0"/>
              <w:rPr>
                <w:sz w:val="19"/>
                <w:szCs w:val="19"/>
                <w:color w:val="auto"/>
              </w:rPr>
            </w:pPr>
          </w:p>
        </w:tc>
      </w:tr>
      <w:tr>
        <w:trPr>
          <w:trHeight w:val="230"/>
        </w:trPr>
        <w:tc>
          <w:tcPr>
            <w:tcW w:w="122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3.10%</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89"/>
              </w:rPr>
              <w:t>-11.98%</w:t>
            </w:r>
          </w:p>
        </w:tc>
        <w:tc>
          <w:tcPr>
            <w:tcW w:w="3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4"/>
              </w:rPr>
              <w:t>Falling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44,984</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-11.65%</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five year period, the Bank has experienced a decrease in the time balances of our deposit portfolio, and therefore, a loss of term funding. Over the past two years, the Bank has also paid off term borrowings with the last $5 million maturing last year; however, additional borrowings were a part of the Limberlost acquisition in 2019.</w:t>
      </w:r>
    </w:p>
    <w:p>
      <w:pPr>
        <w:spacing w:after="0" w:line="137" w:lineRule="exact"/>
        <w:rPr>
          <w:sz w:val="20"/>
          <w:szCs w:val="20"/>
          <w:color w:val="auto"/>
        </w:rPr>
      </w:pPr>
    </w:p>
    <w:p>
      <w:pPr>
        <w:jc w:val="both"/>
        <w:ind w:left="760"/>
        <w:spacing w:after="0" w:line="289" w:lineRule="auto"/>
        <w:rPr>
          <w:sz w:val="20"/>
          <w:szCs w:val="20"/>
          <w:color w:val="auto"/>
        </w:rPr>
      </w:pPr>
      <w:r>
        <w:rPr>
          <w:rFonts w:ascii="Arial" w:cs="Arial" w:eastAsia="Arial" w:hAnsi="Arial"/>
          <w:sz w:val="16"/>
          <w:szCs w:val="16"/>
          <w:color w:val="auto"/>
        </w:rPr>
        <w:t>The shock chart currently shows a widening net interest margin over the next twelve months in an increasing rate environment with a tightening in a falling rate environment. Cost of funds are at 1.55% for the quarter and 1.42% year to date so the lowest shock of 100 basis points is where the Bank can take full advantage and reprice funds to match the level of shock. Once the shocks are falling over 100 basis points, the cost of funds cannot lower to match and the loss on net interest income continues to build. Since the average duration of the majority of the assets is outside the 12 month shock period, the rising rate environment only shows improvement.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As of September 30, 2019,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September 30, 2019 . There have been no changes in the Company's internal control over financial reporting that occurred during the quarter ended September 30, 2019 that have materially affected, or are reasonably likely to materially affect, the registrant's internal control over financial reporting.</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There have been no material changes in the risk factors disclosed by Registrant in its Report on Form 10-K for the fiscal year ended December 31, 2018.</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September 30, 2019.</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1"/>
              </w:rPr>
              <w:t>(c) Total Number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90"/>
              <w:spacing w:after="0"/>
              <w:rPr>
                <w:sz w:val="20"/>
                <w:szCs w:val="20"/>
                <w:color w:val="auto"/>
              </w:rPr>
            </w:pPr>
            <w:r>
              <w:rPr>
                <w:rFonts w:ascii="Arial" w:cs="Arial" w:eastAsia="Arial" w:hAnsi="Arial"/>
                <w:sz w:val="18"/>
                <w:szCs w:val="18"/>
                <w:color w:val="auto"/>
                <w:w w:val="86"/>
              </w:rPr>
              <w:t>of Shares Purchased</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84"/>
              </w:rPr>
              <w:t>as Part</w:t>
            </w:r>
          </w:p>
        </w:tc>
        <w:tc>
          <w:tcPr>
            <w:tcW w:w="1780" w:type="dxa"/>
            <w:vAlign w:val="bottom"/>
          </w:tcPr>
          <w:p>
            <w:pPr>
              <w:jc w:val="center"/>
              <w:spacing w:after="0"/>
              <w:rPr>
                <w:sz w:val="20"/>
                <w:szCs w:val="20"/>
                <w:color w:val="auto"/>
              </w:rPr>
            </w:pPr>
            <w:r>
              <w:rPr>
                <w:rFonts w:ascii="Arial" w:cs="Arial" w:eastAsia="Arial" w:hAnsi="Arial"/>
                <w:sz w:val="18"/>
                <w:szCs w:val="18"/>
                <w:color w:val="auto"/>
                <w:w w:val="85"/>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7"/>
              </w:rPr>
              <w:t>of Publicly</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60" w:type="dxa"/>
            <w:vAlign w:val="bottom"/>
          </w:tcPr>
          <w:p>
            <w:pPr>
              <w:jc w:val="right"/>
              <w:ind w:right="290"/>
              <w:spacing w:after="0"/>
              <w:rPr>
                <w:sz w:val="20"/>
                <w:szCs w:val="20"/>
                <w:color w:val="auto"/>
              </w:rPr>
            </w:pPr>
            <w:r>
              <w:rPr>
                <w:rFonts w:ascii="Arial" w:cs="Arial" w:eastAsia="Arial" w:hAnsi="Arial"/>
                <w:sz w:val="18"/>
                <w:szCs w:val="18"/>
                <w:color w:val="auto"/>
              </w:rPr>
              <w:t>(a) Total Number of</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94"/>
              </w:rPr>
              <w:t>(b) Average Price</w:t>
            </w:r>
          </w:p>
        </w:tc>
        <w:tc>
          <w:tcPr>
            <w:tcW w:w="2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0"/>
              </w:rPr>
              <w:t>Announced Plan</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Period</w:t>
            </w:r>
          </w:p>
        </w:tc>
        <w:tc>
          <w:tcPr>
            <w:tcW w:w="2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Shares Purchased</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Paid per Share</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 xml:space="preserve">or Programs </w:t>
            </w:r>
            <w:r>
              <w:rPr>
                <w:rFonts w:ascii="Arial" w:cs="Arial" w:eastAsia="Arial" w:hAnsi="Arial"/>
                <w:sz w:val="15"/>
                <w:szCs w:val="15"/>
                <w:color w:val="auto"/>
                <w:w w:val="91"/>
              </w:rPr>
              <w:t>(1)</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7/1/2019 to 7/31/2019</w:t>
            </w:r>
          </w:p>
        </w:tc>
        <w:tc>
          <w:tcPr>
            <w:tcW w:w="2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8/1/2019 to 8/31/2019</w:t>
            </w:r>
          </w:p>
        </w:tc>
        <w:tc>
          <w:tcPr>
            <w:tcW w:w="2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xml:space="preserve">6,569 </w:t>
            </w:r>
            <w:r>
              <w:rPr>
                <w:rFonts w:ascii="Arial" w:cs="Arial" w:eastAsia="Arial" w:hAnsi="Arial"/>
                <w:sz w:val="15"/>
                <w:szCs w:val="15"/>
                <w:color w:val="auto"/>
              </w:rPr>
              <w:t>(2)</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680" w:type="dxa"/>
            <w:vAlign w:val="bottom"/>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9/1/2019 to 9/30/2019</w:t>
            </w:r>
          </w:p>
        </w:tc>
        <w:tc>
          <w:tcPr>
            <w:tcW w:w="2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6,569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140" w:hanging="376"/>
        <w:spacing w:after="0" w:line="256"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18, 2019. On that date, the Board of Directors authorized the repurchase of 500,000 common shares between January 18, 2019 and December 31, 2019.</w:t>
      </w:r>
    </w:p>
    <w:p>
      <w:pPr>
        <w:ind w:left="1140" w:hanging="376"/>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which were repurchased for taxes on vested stock awards are outside of this program.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720" w:type="dxa"/>
            <w:vAlign w:val="bottom"/>
            <w:gridSpan w:val="10"/>
          </w:tcPr>
          <w:p>
            <w:pPr>
              <w:ind w:left="40"/>
              <w:spacing w:after="0"/>
              <w:rPr>
                <w:sz w:val="20"/>
                <w:szCs w:val="20"/>
                <w:color w:val="auto"/>
              </w:rPr>
            </w:pPr>
            <w:r>
              <w:rPr>
                <w:rFonts w:ascii="Arial" w:cs="Arial" w:eastAsia="Arial" w:hAnsi="Arial"/>
                <w:sz w:val="18"/>
                <w:szCs w:val="18"/>
                <w:color w:val="auto"/>
              </w:rPr>
              <w:t>ITEM 6 EXHIBITS</w:t>
            </w:r>
          </w:p>
        </w:tc>
      </w:tr>
      <w:tr>
        <w:trPr>
          <w:trHeight w:val="41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80" w:type="dxa"/>
            <w:vAlign w:val="bottom"/>
            <w:gridSpan w:val="9"/>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Amended Articles of Incorporation of the Registrant (incorporated by reference to Exhibit 3.1 to Registrant’s Quarterly Report on Form 10-Q</w:t>
              </w:r>
            </w:hyperlink>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filed with the Commission on October 25, 2017).</w:t>
              </w:r>
            </w:hyperlink>
          </w:p>
        </w:tc>
        <w:tc>
          <w:tcPr>
            <w:tcW w:w="4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7"/>
                <w:szCs w:val="17"/>
                <w:color w:val="auto"/>
              </w:rPr>
            </w:pPr>
          </w:p>
        </w:tc>
        <w:tc>
          <w:tcPr>
            <w:tcW w:w="102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Amended and Restated Code of Regulations of the Registrant (incorporated by reference to Exhibit 3.2 to Registrant's Quarterly Report on</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Form 10-Q filed with the Commission on July 26, 2017).</w:t>
              </w:r>
            </w:hyperlink>
          </w:p>
        </w:tc>
        <w:tc>
          <w:tcPr>
            <w:tcW w:w="6160" w:type="dxa"/>
            <w:vAlign w:val="bottom"/>
            <w:gridSpan w:val="3"/>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Rule 13-a-14(a) Certification - CEO</w:t>
            </w:r>
          </w:p>
        </w:tc>
        <w:tc>
          <w:tcPr>
            <w:tcW w:w="7660" w:type="dxa"/>
            <w:vAlign w:val="bottom"/>
            <w:gridSpan w:val="5"/>
          </w:tcPr>
          <w:p>
            <w:pPr>
              <w:spacing w:after="0"/>
              <w:rPr>
                <w:sz w:val="17"/>
                <w:szCs w:val="17"/>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Rule 13-a-14(a) Certification - CFO</w:t>
            </w:r>
          </w:p>
        </w:tc>
        <w:tc>
          <w:tcPr>
            <w:tcW w:w="7680" w:type="dxa"/>
            <w:vAlign w:val="bottom"/>
            <w:gridSpan w:val="6"/>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9"/>
                <w:szCs w:val="19"/>
                <w:color w:val="auto"/>
              </w:rPr>
            </w:pPr>
          </w:p>
        </w:tc>
        <w:tc>
          <w:tcPr>
            <w:tcW w:w="24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Section 1350 Certification - CEO</w:t>
            </w:r>
          </w:p>
        </w:tc>
        <w:tc>
          <w:tcPr>
            <w:tcW w:w="7860" w:type="dxa"/>
            <w:vAlign w:val="bottom"/>
            <w:gridSpan w:val="7"/>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24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Section 1350 Certification - CFO</w:t>
            </w:r>
          </w:p>
        </w:tc>
        <w:tc>
          <w:tcPr>
            <w:tcW w:w="7880" w:type="dxa"/>
            <w:vAlign w:val="bottom"/>
            <w:gridSpan w:val="8"/>
          </w:tcPr>
          <w:p>
            <w:pPr>
              <w:spacing w:after="0"/>
              <w:rPr>
                <w:sz w:val="19"/>
                <w:szCs w:val="19"/>
                <w:color w:val="auto"/>
              </w:rPr>
            </w:pPr>
          </w:p>
        </w:tc>
      </w:tr>
      <w:tr>
        <w:trPr>
          <w:trHeight w:val="507"/>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Instance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440" w:type="dxa"/>
            <w:vAlign w:val="bottom"/>
          </w:tcPr>
          <w:p>
            <w:pPr>
              <w:spacing w:after="0"/>
              <w:rPr>
                <w:sz w:val="21"/>
                <w:szCs w:val="21"/>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945"/>
        </w:trPr>
        <w:tc>
          <w:tcPr>
            <w:tcW w:w="720" w:type="dxa"/>
            <w:vAlign w:val="bottom"/>
          </w:tcPr>
          <w:p>
            <w:pPr>
              <w:spacing w:after="0"/>
              <w:rPr>
                <w:sz w:val="24"/>
                <w:szCs w:val="24"/>
                <w:color w:val="auto"/>
              </w:rPr>
            </w:pPr>
          </w:p>
        </w:tc>
        <w:tc>
          <w:tcPr>
            <w:tcW w:w="10680" w:type="dxa"/>
            <w:vAlign w:val="bottom"/>
            <w:gridSpan w:val="8"/>
          </w:tcPr>
          <w:p>
            <w:pPr>
              <w:jc w:val="right"/>
              <w:ind w:right="560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ind w:left="200"/>
              <w:spacing w:after="0"/>
              <w:rPr>
                <w:sz w:val="20"/>
                <w:szCs w:val="20"/>
                <w:color w:val="auto"/>
              </w:rPr>
            </w:pPr>
            <w:r>
              <w:rPr>
                <w:rFonts w:ascii="Arial" w:cs="Arial" w:eastAsia="Arial" w:hAnsi="Arial"/>
                <w:sz w:val="18"/>
                <w:szCs w:val="18"/>
                <w:color w:val="auto"/>
              </w:rPr>
              <w:t>October 30, 2019</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Lars B. Eller</w:t>
            </w:r>
          </w:p>
        </w:tc>
      </w:tr>
      <w:tr>
        <w:trPr>
          <w:trHeight w:val="222"/>
        </w:trPr>
        <w:tc>
          <w:tcPr>
            <w:tcW w:w="6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Lars B. Eller</w:t>
            </w:r>
          </w:p>
        </w:tc>
      </w:t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ind w:left="200"/>
              <w:spacing w:after="0"/>
              <w:rPr>
                <w:sz w:val="20"/>
                <w:szCs w:val="20"/>
                <w:color w:val="auto"/>
              </w:rPr>
            </w:pPr>
            <w:r>
              <w:rPr>
                <w:rFonts w:ascii="Arial" w:cs="Arial" w:eastAsia="Arial" w:hAnsi="Arial"/>
                <w:sz w:val="18"/>
                <w:szCs w:val="18"/>
                <w:color w:val="auto"/>
              </w:rPr>
              <w:t>October 30, 2019</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Barbara J. Britenriker</w:t>
            </w:r>
          </w:p>
        </w:tc>
      </w:tr>
      <w:tr>
        <w:trPr>
          <w:trHeight w:val="222"/>
        </w:trPr>
        <w:tc>
          <w:tcPr>
            <w:tcW w:w="6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Barbara J. Britenriker</w:t>
            </w:r>
          </w:p>
        </w:tc>
      </w:t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6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October 30,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40"/>
        <w:spacing w:after="0" w:line="342"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October 30,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2019, as filed with the Securities and Exchange Commission ("the report"), I, Lars B. Eller, President and Chief Executive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October 30,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2019,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October 30,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3"/>
    </w:lvl>
    <w:lvl w:ilvl="1">
      <w:lvlJc w:val="left"/>
      <w:lvlText w:val="%2."/>
      <w:numFmt w:val="lowerLetter"/>
      <w:start w:val="1"/>
    </w:lvl>
  </w:abstractNum>
  <w:abstractNum w:abstractNumId="10">
    <w:nsid w:val="62BBD95A"/>
    <w:multiLevelType w:val="hybridMultilevel"/>
    <w:lvl w:ilvl="0">
      <w:lvlJc w:val="left"/>
      <w:lvlText w:val="%1."/>
      <w:numFmt w:val="decimal"/>
      <w:start w:val="8"/>
    </w:lvl>
    <w:lvl w:ilvl="1">
      <w:lvlJc w:val="left"/>
      <w:lvlText w:val="%2."/>
      <w:numFmt w:val="lowerLetter"/>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o"/>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2" Type="http://schemas.openxmlformats.org/officeDocument/2006/relationships/hyperlink" Target="http://www.sec.gov/Archives/edgar/data/792966/000119312517318709/d447990d10q.htm" TargetMode="External"/><Relationship Id="rId113" Type="http://schemas.openxmlformats.org/officeDocument/2006/relationships/hyperlink" Target="http://www.sec.gov/Archives/edgar/data/792966/000119312517235925/d422994d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2020-01-09T05:34:24Z</dcterms:created>
  <dcterms:modified xsi:type="dcterms:W3CDTF">2020-01-09T05:34:24Z</dcterms:modified>
</cp:coreProperties>
</file>