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117475</wp:posOffset>
            </wp:positionV>
            <wp:extent cx="1903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7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June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4146550</wp:posOffset>
            </wp:positionH>
            <wp:positionV relativeFrom="paragraph">
              <wp:posOffset>-7620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8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4980" w:type="dxa"/>
            <w:vAlign w:val="bottom"/>
          </w:tcPr>
          <w:p>
            <w:pPr>
              <w:jc w:val="center"/>
              <w:ind w:right="1621"/>
              <w:spacing w:after="0"/>
              <w:rPr>
                <w:sz w:val="20"/>
                <w:szCs w:val="20"/>
                <w:color w:val="auto"/>
              </w:rPr>
            </w:pPr>
            <w:r>
              <w:rPr>
                <w:rFonts w:ascii="Arial" w:cs="Arial" w:eastAsia="Arial" w:hAnsi="Arial"/>
                <w:sz w:val="18"/>
                <w:szCs w:val="18"/>
                <w:b w:val="1"/>
                <w:bCs w:val="1"/>
                <w:color w:val="auto"/>
              </w:rPr>
              <w:t>OHIO</w:t>
            </w:r>
          </w:p>
        </w:tc>
        <w:tc>
          <w:tcPr>
            <w:tcW w:w="2840" w:type="dxa"/>
            <w:vAlign w:val="bottom"/>
          </w:tcPr>
          <w:p>
            <w:pPr>
              <w:jc w:val="right"/>
              <w:ind w:right="61"/>
              <w:spacing w:after="0"/>
              <w:rPr>
                <w:sz w:val="20"/>
                <w:szCs w:val="20"/>
                <w:color w:val="auto"/>
              </w:rPr>
            </w:pPr>
            <w:r>
              <w:rPr>
                <w:rFonts w:ascii="Arial" w:cs="Arial" w:eastAsia="Arial" w:hAnsi="Arial"/>
                <w:sz w:val="18"/>
                <w:szCs w:val="18"/>
                <w:b w:val="1"/>
                <w:bCs w:val="1"/>
                <w:color w:val="auto"/>
              </w:rPr>
              <w:t>34-1469491</w:t>
            </w:r>
          </w:p>
        </w:tc>
      </w:tr>
      <w:tr>
        <w:trPr>
          <w:trHeight w:val="153"/>
        </w:trPr>
        <w:tc>
          <w:tcPr>
            <w:tcW w:w="4980" w:type="dxa"/>
            <w:vAlign w:val="bottom"/>
          </w:tcPr>
          <w:p>
            <w:pPr>
              <w:jc w:val="center"/>
              <w:ind w:right="1621"/>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jc w:val="center"/>
              <w:ind w:left="162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980" w:type="dxa"/>
            <w:vAlign w:val="bottom"/>
          </w:tcPr>
          <w:p>
            <w:pPr>
              <w:jc w:val="center"/>
              <w:ind w:right="1621"/>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4980" w:type="dxa"/>
            <w:vAlign w:val="bottom"/>
          </w:tcPr>
          <w:p>
            <w:pPr>
              <w:jc w:val="center"/>
              <w:ind w:right="1641"/>
              <w:spacing w:after="0"/>
              <w:rPr>
                <w:sz w:val="20"/>
                <w:szCs w:val="20"/>
                <w:color w:val="auto"/>
              </w:rPr>
            </w:pPr>
            <w:r>
              <w:rPr>
                <w:rFonts w:ascii="Arial" w:cs="Arial" w:eastAsia="Arial" w:hAnsi="Arial"/>
                <w:sz w:val="18"/>
                <w:szCs w:val="18"/>
                <w:b w:val="1"/>
                <w:bCs w:val="1"/>
                <w:color w:val="auto"/>
                <w:w w:val="90"/>
              </w:rPr>
              <w:t>307 North Defiance Street, Archbold, Ohio</w:t>
            </w:r>
          </w:p>
        </w:tc>
        <w:tc>
          <w:tcPr>
            <w:tcW w:w="284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90"/>
        </w:trPr>
        <w:tc>
          <w:tcPr>
            <w:tcW w:w="4980" w:type="dxa"/>
            <w:vAlign w:val="bottom"/>
          </w:tcPr>
          <w:p>
            <w:pPr>
              <w:jc w:val="center"/>
              <w:ind w:right="1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(419) 446-2501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99060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2" w:lineRule="exact"/>
        <w:rPr>
          <w:sz w:val="24"/>
          <w:szCs w:val="24"/>
          <w:color w:val="auto"/>
        </w:rPr>
      </w:pPr>
    </w:p>
    <w:tbl>
      <w:tblPr>
        <w:tblLayout w:type="fixed"/>
        <w:tblInd w:w="1910" w:type="dxa"/>
        <w:tblCellMar>
          <w:top w:w="0" w:type="dxa"/>
          <w:left w:w="0" w:type="dxa"/>
          <w:bottom w:w="0" w:type="dxa"/>
          <w:right w:w="0" w:type="dxa"/>
        </w:tblCellMar>
      </w:tblPr>
      <w:tr>
        <w:trPr>
          <w:trHeight w:val="260"/>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Name of Each Exchange</w:t>
            </w:r>
          </w:p>
        </w:tc>
      </w:tr>
      <w:tr>
        <w:trPr>
          <w:trHeight w:val="20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No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NASDAQ Capital Market</w:t>
            </w:r>
          </w:p>
        </w:tc>
      </w:tr>
    </w:tbl>
    <w:p>
      <w:pPr>
        <w:spacing w:after="0" w:line="193"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5"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32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44"/>
        </w:trPr>
        <w:tc>
          <w:tcPr>
            <w:tcW w:w="7320" w:type="dxa"/>
            <w:vAlign w:val="bottom"/>
            <w:gridSpan w:val="3"/>
          </w:tcPr>
          <w:p>
            <w:pPr>
              <w:spacing w:after="0"/>
              <w:rPr>
                <w:sz w:val="20"/>
                <w:szCs w:val="20"/>
                <w:color w:val="auto"/>
              </w:rPr>
            </w:pPr>
            <w:r>
              <w:rPr>
                <w:rFonts w:ascii="Arial" w:cs="Arial" w:eastAsia="Arial" w:hAnsi="Arial"/>
                <w:sz w:val="16"/>
                <w:szCs w:val="16"/>
                <w:color w:val="auto"/>
                <w:w w:val="92"/>
              </w:rPr>
              <w:t>Indicate the number of shares of each of the issuers’ classes of common stock, as of the latest practicable date:</w:t>
            </w: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90"/>
        </w:trPr>
        <w:tc>
          <w:tcPr>
            <w:tcW w:w="7320" w:type="dxa"/>
            <w:vAlign w:val="bottom"/>
            <w:gridSpan w:val="3"/>
          </w:tcPr>
          <w:p>
            <w:pPr>
              <w:jc w:val="center"/>
              <w:ind w:right="1540"/>
              <w:spacing w:after="0"/>
              <w:rPr>
                <w:sz w:val="20"/>
                <w:szCs w:val="20"/>
                <w:color w:val="auto"/>
              </w:rPr>
            </w:pPr>
            <w:r>
              <w:rPr>
                <w:rFonts w:ascii="Arial" w:cs="Arial" w:eastAsia="Arial" w:hAnsi="Arial"/>
                <w:sz w:val="16"/>
                <w:szCs w:val="16"/>
                <w:color w:val="auto"/>
                <w:w w:val="90"/>
              </w:rPr>
              <w:t>Common Stock, No Par Value</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13,634,555</w:t>
            </w:r>
          </w:p>
        </w:tc>
        <w:tc>
          <w:tcPr>
            <w:tcW w:w="680" w:type="dxa"/>
            <w:vAlign w:val="bottom"/>
          </w:tcPr>
          <w:p>
            <w:pPr>
              <w:spacing w:after="0"/>
              <w:rPr>
                <w:sz w:val="24"/>
                <w:szCs w:val="24"/>
                <w:color w:val="auto"/>
              </w:rPr>
            </w:pPr>
          </w:p>
        </w:tc>
      </w:tr>
      <w:tr>
        <w:trPr>
          <w:trHeight w:val="20"/>
        </w:trPr>
        <w:tc>
          <w:tcPr>
            <w:tcW w:w="19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4"/>
        </w:trPr>
        <w:tc>
          <w:tcPr>
            <w:tcW w:w="19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4"/>
              </w:rPr>
              <w:t>Class</w:t>
            </w:r>
          </w:p>
        </w:tc>
        <w:tc>
          <w:tcPr>
            <w:tcW w:w="3460" w:type="dxa"/>
            <w:vAlign w:val="bottom"/>
          </w:tcPr>
          <w:p>
            <w:pPr>
              <w:spacing w:after="0"/>
              <w:rPr>
                <w:sz w:val="21"/>
                <w:szCs w:val="21"/>
                <w:color w:val="auto"/>
              </w:rPr>
            </w:pPr>
          </w:p>
        </w:tc>
        <w:tc>
          <w:tcPr>
            <w:tcW w:w="2220" w:type="dxa"/>
            <w:vAlign w:val="bottom"/>
            <w:gridSpan w:val="3"/>
          </w:tcPr>
          <w:p>
            <w:pPr>
              <w:jc w:val="center"/>
              <w:ind w:left="79"/>
              <w:spacing w:after="0"/>
              <w:rPr>
                <w:sz w:val="20"/>
                <w:szCs w:val="20"/>
                <w:color w:val="auto"/>
              </w:rPr>
            </w:pPr>
            <w:r>
              <w:rPr>
                <w:rFonts w:ascii="Arial" w:cs="Arial" w:eastAsia="Arial" w:hAnsi="Arial"/>
                <w:sz w:val="16"/>
                <w:szCs w:val="16"/>
                <w:color w:val="auto"/>
                <w:w w:val="91"/>
              </w:rPr>
              <w:t>Outstanding as of July 31, 2023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18"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Form 10-Q Items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0"/>
              </w:rPr>
              <w:t>Page</w:t>
            </w:r>
          </w:p>
        </w:tc>
      </w:tr>
      <w:tr>
        <w:trPr>
          <w:trHeight w:val="223"/>
        </w:trPr>
        <w:tc>
          <w:tcPr>
            <w:tcW w:w="12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340" w:type="dxa"/>
            <w:vAlign w:val="bottom"/>
          </w:tcPr>
          <w:p>
            <w:pPr>
              <w:spacing w:after="0"/>
              <w:rPr>
                <w:sz w:val="19"/>
                <w:szCs w:val="19"/>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FINANCIAL INFORMATION</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1"/>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Financial Statements (Unaudited)</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w:t>
            </w:r>
          </w:p>
        </w:tc>
        <w:tc>
          <w:tcPr>
            <w:tcW w:w="5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76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87"/>
              </w:rPr>
              <w:t>June 30, 2023 and December 31, 2022</w:t>
            </w:r>
          </w:p>
        </w:tc>
        <w:tc>
          <w:tcPr>
            <w:tcW w:w="5120" w:type="dxa"/>
            <w:vAlign w:val="bottom"/>
            <w:gridSpan w:val="10"/>
          </w:tcPr>
          <w:p>
            <w:pPr>
              <w:spacing w:after="0"/>
              <w:rPr>
                <w:sz w:val="17"/>
                <w:szCs w:val="17"/>
                <w:color w:val="auto"/>
              </w:rPr>
            </w:pP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Income -</w:t>
            </w:r>
          </w:p>
        </w:tc>
        <w:tc>
          <w:tcPr>
            <w:tcW w:w="5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80" w:type="dxa"/>
            <w:vAlign w:val="bottom"/>
            <w:gridSpan w:val="21"/>
          </w:tcPr>
          <w:p>
            <w:pPr>
              <w:spacing w:after="0" w:line="196" w:lineRule="exact"/>
              <w:rPr>
                <w:sz w:val="20"/>
                <w:szCs w:val="20"/>
                <w:color w:val="auto"/>
              </w:rPr>
            </w:pPr>
            <w:r>
              <w:rPr>
                <w:rFonts w:ascii="Arial" w:cs="Arial" w:eastAsia="Arial" w:hAnsi="Arial"/>
                <w:sz w:val="18"/>
                <w:szCs w:val="18"/>
                <w:color w:val="0000FF"/>
              </w:rPr>
              <w:t>Three and Six Months Ended June 30, 2023 and June 30, 2022</w:t>
            </w: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Comprehensive Income (Loss) -</w:t>
            </w:r>
          </w:p>
        </w:tc>
        <w:tc>
          <w:tcPr>
            <w:tcW w:w="5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540" w:type="dxa"/>
            <w:vAlign w:val="bottom"/>
            <w:tcBorders>
              <w:top w:val="single" w:sz="8" w:color="0000FF"/>
              <w:bottom w:val="single" w:sz="8" w:color="0000FF"/>
            </w:tcBorders>
            <w:gridSpan w:val="18"/>
          </w:tcPr>
          <w:p>
            <w:pPr>
              <w:ind w:left="20"/>
              <w:spacing w:after="0" w:line="196" w:lineRule="exact"/>
              <w:rPr>
                <w:sz w:val="20"/>
                <w:szCs w:val="20"/>
                <w:color w:val="auto"/>
              </w:rPr>
            </w:pPr>
            <w:r>
              <w:rPr>
                <w:rFonts w:ascii="Arial" w:cs="Arial" w:eastAsia="Arial" w:hAnsi="Arial"/>
                <w:sz w:val="18"/>
                <w:szCs w:val="18"/>
                <w:color w:val="0000FF"/>
                <w:w w:val="88"/>
              </w:rPr>
              <w:t>Three and Six Months Ended June 30, 2023 and June 30, 2022</w:t>
            </w:r>
          </w:p>
        </w:tc>
        <w:tc>
          <w:tcPr>
            <w:tcW w:w="420" w:type="dxa"/>
            <w:vAlign w:val="bottom"/>
            <w:tcBorders>
              <w:top w:val="single" w:sz="8" w:color="0000FF"/>
            </w:tcBorders>
          </w:tcPr>
          <w:p>
            <w:pPr>
              <w:spacing w:after="0"/>
              <w:rPr>
                <w:sz w:val="17"/>
                <w:szCs w:val="17"/>
                <w:color w:val="auto"/>
              </w:rPr>
            </w:pPr>
          </w:p>
        </w:tc>
        <w:tc>
          <w:tcPr>
            <w:tcW w:w="2920" w:type="dxa"/>
            <w:vAlign w:val="bottom"/>
            <w:gridSpan w:val="2"/>
          </w:tcPr>
          <w:p>
            <w:pPr>
              <w:spacing w:after="0"/>
              <w:rPr>
                <w:sz w:val="17"/>
                <w:szCs w:val="17"/>
                <w:color w:val="auto"/>
              </w:rPr>
            </w:pP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5</w:t>
            </w:r>
          </w:p>
        </w:tc>
      </w:tr>
      <w:tr>
        <w:trPr>
          <w:trHeight w:val="35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Changes to Stockholders’ Equity -</w:t>
            </w:r>
          </w:p>
        </w:tc>
        <w:tc>
          <w:tcPr>
            <w:tcW w:w="5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540" w:type="dxa"/>
            <w:vAlign w:val="bottom"/>
            <w:tcBorders>
              <w:top w:val="single" w:sz="8" w:color="0000FF"/>
              <w:bottom w:val="single" w:sz="8" w:color="0000FF"/>
            </w:tcBorders>
            <w:gridSpan w:val="18"/>
          </w:tcPr>
          <w:p>
            <w:pPr>
              <w:ind w:left="20"/>
              <w:spacing w:after="0" w:line="196" w:lineRule="exact"/>
              <w:rPr>
                <w:sz w:val="20"/>
                <w:szCs w:val="20"/>
                <w:color w:val="auto"/>
              </w:rPr>
            </w:pPr>
            <w:r>
              <w:rPr>
                <w:rFonts w:ascii="Arial" w:cs="Arial" w:eastAsia="Arial" w:hAnsi="Arial"/>
                <w:sz w:val="18"/>
                <w:szCs w:val="18"/>
                <w:color w:val="0000FF"/>
                <w:w w:val="88"/>
              </w:rPr>
              <w:t>Three and Six Months Ended June 30, 2023 and June 30, 2022</w:t>
            </w:r>
          </w:p>
        </w:tc>
        <w:tc>
          <w:tcPr>
            <w:tcW w:w="560" w:type="dxa"/>
            <w:vAlign w:val="bottom"/>
            <w:tcBorders>
              <w:top w:val="single" w:sz="8" w:color="0000FF"/>
            </w:tcBorders>
            <w:gridSpan w:val="2"/>
          </w:tcPr>
          <w:p>
            <w:pPr>
              <w:spacing w:after="0"/>
              <w:rPr>
                <w:sz w:val="17"/>
                <w:szCs w:val="17"/>
                <w:color w:val="auto"/>
              </w:rPr>
            </w:pPr>
          </w:p>
        </w:tc>
        <w:tc>
          <w:tcPr>
            <w:tcW w:w="2780" w:type="dxa"/>
            <w:vAlign w:val="bottom"/>
          </w:tcPr>
          <w:p>
            <w:pPr>
              <w:spacing w:after="0"/>
              <w:rPr>
                <w:sz w:val="17"/>
                <w:szCs w:val="17"/>
                <w:color w:val="auto"/>
              </w:rPr>
            </w:pPr>
          </w:p>
        </w:tc>
        <w:tc>
          <w:tcPr>
            <w:tcW w:w="5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2"/>
              </w:rPr>
              <w:t>6-7</w:t>
            </w:r>
          </w:p>
        </w:tc>
      </w:tr>
      <w:tr>
        <w:trPr>
          <w:trHeight w:val="466"/>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w:t>
            </w:r>
          </w:p>
        </w:tc>
        <w:tc>
          <w:tcPr>
            <w:tcW w:w="5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80" w:type="dxa"/>
            <w:vAlign w:val="bottom"/>
            <w:gridSpan w:val="21"/>
          </w:tcPr>
          <w:p>
            <w:pPr>
              <w:spacing w:after="0" w:line="196" w:lineRule="exact"/>
              <w:rPr>
                <w:sz w:val="20"/>
                <w:szCs w:val="20"/>
                <w:color w:val="auto"/>
              </w:rPr>
            </w:pPr>
            <w:r>
              <w:rPr>
                <w:rFonts w:ascii="Arial" w:cs="Arial" w:eastAsia="Arial" w:hAnsi="Arial"/>
                <w:sz w:val="18"/>
                <w:szCs w:val="18"/>
                <w:color w:val="0000FF"/>
              </w:rPr>
              <w:t>Six Months Ended June 30, 2023 and June 30, 2022</w:t>
            </w:r>
          </w:p>
        </w:tc>
        <w:tc>
          <w:tcPr>
            <w:tcW w:w="5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92"/>
              </w:rPr>
              <w:t>8-9</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w:t>
            </w:r>
          </w:p>
        </w:tc>
        <w:tc>
          <w:tcPr>
            <w:tcW w:w="560" w:type="dxa"/>
            <w:vAlign w:val="bottom"/>
          </w:tcPr>
          <w:p>
            <w:pPr>
              <w:spacing w:after="0"/>
              <w:rPr>
                <w:sz w:val="24"/>
                <w:szCs w:val="24"/>
                <w:color w:val="auto"/>
              </w:rPr>
            </w:pPr>
          </w:p>
        </w:tc>
      </w:tr>
      <w:tr>
        <w:trPr>
          <w:trHeight w:val="196"/>
        </w:trPr>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30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and Results of Operations</w:t>
            </w:r>
          </w:p>
        </w:tc>
        <w:tc>
          <w:tcPr>
            <w:tcW w:w="3580" w:type="dxa"/>
            <w:vAlign w:val="bottom"/>
            <w:gridSpan w:val="5"/>
          </w:tcPr>
          <w:p>
            <w:pPr>
              <w:spacing w:after="0"/>
              <w:rPr>
                <w:sz w:val="17"/>
                <w:szCs w:val="17"/>
                <w:color w:val="auto"/>
              </w:rPr>
            </w:pPr>
          </w:p>
        </w:tc>
        <w:tc>
          <w:tcPr>
            <w:tcW w:w="5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1"/>
              </w:rPr>
              <w:t>53-78</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Qualitative and Quantitative Disclosures About Market Risk</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79</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380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1"/>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1"/>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80</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1"/>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Defaults Upon Senior Securities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58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3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1"/>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4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83</w:t>
            </w:r>
          </w:p>
        </w:tc>
      </w:tr>
      <w:tr>
        <w:trPr>
          <w:trHeight w:val="371"/>
        </w:trPr>
        <w:tc>
          <w:tcPr>
            <w:tcW w:w="126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34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0" w:type="dxa"/>
            <w:vAlign w:val="bottom"/>
          </w:tcPr>
          <w:p>
            <w:pPr>
              <w:jc w:val="center"/>
              <w:ind w:left="50"/>
              <w:spacing w:after="0"/>
              <w:rPr>
                <w:sz w:val="20"/>
                <w:szCs w:val="20"/>
                <w:color w:val="auto"/>
              </w:rPr>
            </w:pPr>
            <w:r>
              <w:rPr>
                <w:rFonts w:ascii="Arial" w:cs="Arial" w:eastAsia="Arial" w:hAnsi="Arial"/>
                <w:sz w:val="18"/>
                <w:szCs w:val="18"/>
                <w:color w:val="auto"/>
                <w:w w:val="89"/>
              </w:rPr>
              <w:t>84</w:t>
            </w:r>
          </w:p>
        </w:tc>
      </w:tr>
      <w:tr>
        <w:trPr>
          <w:trHeight w:val="376"/>
        </w:trPr>
        <w:tc>
          <w:tcPr>
            <w:tcW w:w="7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w:t>
            </w:r>
          </w:p>
        </w:tc>
        <w:tc>
          <w:tcPr>
            <w:tcW w:w="560" w:type="dxa"/>
            <w:vAlign w:val="bottom"/>
          </w:tcPr>
          <w:p>
            <w:pPr>
              <w:spacing w:after="0"/>
              <w:rPr>
                <w:sz w:val="24"/>
                <w:szCs w:val="24"/>
                <w:color w:val="auto"/>
              </w:rPr>
            </w:pPr>
          </w:p>
        </w:tc>
      </w:tr>
      <w:tr>
        <w:trPr>
          <w:trHeight w:val="243"/>
        </w:trPr>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140" w:type="dxa"/>
            <w:vAlign w:val="bottom"/>
            <w:gridSpan w:val="22"/>
          </w:tcPr>
          <w:p>
            <w:pPr>
              <w:spacing w:after="0" w:line="243" w:lineRule="exact"/>
              <w:rPr>
                <w:sz w:val="20"/>
                <w:szCs w:val="20"/>
                <w:color w:val="auto"/>
              </w:rPr>
            </w:pPr>
            <w:r>
              <w:rPr>
                <w:rFonts w:ascii="Arial" w:cs="Arial" w:eastAsia="Arial" w:hAnsi="Arial"/>
                <w:sz w:val="18"/>
                <w:szCs w:val="18"/>
                <w:color w:val="auto"/>
              </w:rPr>
              <w:t xml:space="preserve">its XBRL tags are embedded within the Inline XBRL document. </w:t>
            </w:r>
            <w:r>
              <w:rPr>
                <w:rFonts w:ascii="Arial" w:cs="Arial" w:eastAsia="Arial" w:hAnsi="Arial"/>
                <w:sz w:val="24"/>
                <w:szCs w:val="24"/>
                <w:color w:val="auto"/>
                <w:vertAlign w:val="superscript"/>
              </w:rPr>
              <w:t>(1)</w:t>
            </w:r>
          </w:p>
        </w:tc>
        <w:tc>
          <w:tcPr>
            <w:tcW w:w="560" w:type="dxa"/>
            <w:vAlign w:val="bottom"/>
          </w:tcPr>
          <w:p>
            <w:pPr>
              <w:spacing w:after="0"/>
              <w:rPr>
                <w:sz w:val="21"/>
                <w:szCs w:val="2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1"/>
                <w:szCs w:val="21"/>
                <w:color w:val="auto"/>
              </w:rPr>
            </w:pPr>
          </w:p>
        </w:tc>
        <w:tc>
          <w:tcPr>
            <w:tcW w:w="8140" w:type="dxa"/>
            <w:vAlign w:val="bottom"/>
            <w:gridSpan w:val="22"/>
          </w:tcPr>
          <w:p>
            <w:pPr>
              <w:spacing w:after="0" w:line="243" w:lineRule="exact"/>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24"/>
                <w:szCs w:val="24"/>
                <w:color w:val="auto"/>
                <w:vertAlign w:val="superscript"/>
              </w:rPr>
              <w:t>(1)</w:t>
            </w:r>
          </w:p>
        </w:tc>
        <w:tc>
          <w:tcPr>
            <w:tcW w:w="560" w:type="dxa"/>
            <w:vAlign w:val="bottom"/>
          </w:tcPr>
          <w:p>
            <w:pPr>
              <w:spacing w:after="0"/>
              <w:rPr>
                <w:sz w:val="21"/>
                <w:szCs w:val="2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1"/>
                <w:szCs w:val="21"/>
                <w:color w:val="auto"/>
              </w:rPr>
            </w:pPr>
          </w:p>
        </w:tc>
        <w:tc>
          <w:tcPr>
            <w:tcW w:w="8140" w:type="dxa"/>
            <w:vAlign w:val="bottom"/>
            <w:gridSpan w:val="22"/>
          </w:tcPr>
          <w:p>
            <w:pPr>
              <w:spacing w:after="0" w:line="243" w:lineRule="exact"/>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24"/>
                <w:szCs w:val="24"/>
                <w:color w:val="auto"/>
                <w:vertAlign w:val="superscript"/>
              </w:rPr>
              <w:t>(1)</w:t>
            </w:r>
          </w:p>
        </w:tc>
        <w:tc>
          <w:tcPr>
            <w:tcW w:w="560" w:type="dxa"/>
            <w:vAlign w:val="bottom"/>
          </w:tcPr>
          <w:p>
            <w:pPr>
              <w:spacing w:after="0"/>
              <w:rPr>
                <w:sz w:val="21"/>
                <w:szCs w:val="2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1"/>
                <w:szCs w:val="21"/>
                <w:color w:val="auto"/>
              </w:rPr>
            </w:pPr>
          </w:p>
        </w:tc>
        <w:tc>
          <w:tcPr>
            <w:tcW w:w="8140" w:type="dxa"/>
            <w:vAlign w:val="bottom"/>
            <w:gridSpan w:val="22"/>
          </w:tcPr>
          <w:p>
            <w:pPr>
              <w:spacing w:after="0" w:line="243" w:lineRule="exact"/>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24"/>
                <w:szCs w:val="24"/>
                <w:color w:val="auto"/>
                <w:vertAlign w:val="superscript"/>
              </w:rPr>
              <w:t>(1)</w:t>
            </w:r>
          </w:p>
        </w:tc>
        <w:tc>
          <w:tcPr>
            <w:tcW w:w="560" w:type="dxa"/>
            <w:vAlign w:val="bottom"/>
          </w:tcPr>
          <w:p>
            <w:pPr>
              <w:spacing w:after="0"/>
              <w:rPr>
                <w:sz w:val="21"/>
                <w:szCs w:val="2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40" w:type="dxa"/>
            <w:vAlign w:val="bottom"/>
          </w:tcPr>
          <w:p>
            <w:pPr>
              <w:spacing w:after="0"/>
              <w:rPr>
                <w:sz w:val="21"/>
                <w:szCs w:val="21"/>
                <w:color w:val="auto"/>
              </w:rPr>
            </w:pPr>
          </w:p>
        </w:tc>
        <w:tc>
          <w:tcPr>
            <w:tcW w:w="8140" w:type="dxa"/>
            <w:vAlign w:val="bottom"/>
            <w:gridSpan w:val="22"/>
          </w:tcPr>
          <w:p>
            <w:pPr>
              <w:spacing w:after="0" w:line="243" w:lineRule="exact"/>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24"/>
                <w:szCs w:val="24"/>
                <w:color w:val="auto"/>
                <w:vertAlign w:val="superscript"/>
              </w:rPr>
              <w:t>(1)</w:t>
            </w:r>
          </w:p>
        </w:tc>
        <w:tc>
          <w:tcPr>
            <w:tcW w:w="560" w:type="dxa"/>
            <w:vAlign w:val="bottom"/>
          </w:tcPr>
          <w:p>
            <w:pPr>
              <w:spacing w:after="0"/>
              <w:rPr>
                <w:sz w:val="21"/>
                <w:szCs w:val="21"/>
                <w:color w:val="auto"/>
              </w:rPr>
            </w:pPr>
          </w:p>
        </w:tc>
      </w:tr>
      <w:tr>
        <w:trPr>
          <w:trHeight w:val="315"/>
        </w:trPr>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8140" w:type="dxa"/>
            <w:vAlign w:val="bottom"/>
            <w:gridSpan w:val="22"/>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24"/>
                <w:szCs w:val="24"/>
                <w:color w:val="auto"/>
                <w:vertAlign w:val="superscript"/>
              </w:rPr>
              <w:t>(1)</w:t>
            </w:r>
          </w:p>
        </w:tc>
        <w:tc>
          <w:tcPr>
            <w:tcW w:w="560" w:type="dxa"/>
            <w:vAlign w:val="bottom"/>
          </w:tcPr>
          <w:p>
            <w:pPr>
              <w:spacing w:after="0"/>
              <w:rPr>
                <w:sz w:val="24"/>
                <w:szCs w:val="24"/>
                <w:color w:val="auto"/>
              </w:rPr>
            </w:pPr>
          </w:p>
        </w:tc>
      </w:tr>
    </w:tbl>
    <w:p>
      <w:pPr>
        <w:spacing w:after="0" w:line="32" w:lineRule="exact"/>
        <w:rPr>
          <w:sz w:val="20"/>
          <w:szCs w:val="20"/>
          <w:color w:val="auto"/>
        </w:rPr>
      </w:pPr>
    </w:p>
    <w:p>
      <w:pPr>
        <w:jc w:val="both"/>
        <w:ind w:left="380" w:hanging="372"/>
        <w:spacing w:after="0" w:line="230" w:lineRule="auto"/>
        <w:tabs>
          <w:tab w:leader="none" w:pos="380"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PART 1 - FINANCIAL INFORMATION</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7"/>
        </w:trPr>
        <w:tc>
          <w:tcPr>
            <w:tcW w:w="6940" w:type="dxa"/>
            <w:vAlign w:val="bottom"/>
          </w:tcPr>
          <w:p>
            <w:pPr>
              <w:spacing w:after="0"/>
              <w:rPr>
                <w:sz w:val="20"/>
                <w:szCs w:val="20"/>
                <w:color w:val="auto"/>
              </w:rPr>
            </w:pPr>
            <w:r>
              <w:rPr>
                <w:rFonts w:ascii="Arial" w:cs="Arial" w:eastAsia="Arial" w:hAnsi="Arial"/>
                <w:sz w:val="18"/>
                <w:szCs w:val="18"/>
                <w:color w:val="auto"/>
              </w:rPr>
              <w:t>ITEM 1 FINANCIAL STATEMENTS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83"/>
        </w:trPr>
        <w:tc>
          <w:tcPr>
            <w:tcW w:w="6940" w:type="dxa"/>
            <w:vAlign w:val="bottom"/>
          </w:tcPr>
          <w:p>
            <w:pPr>
              <w:spacing w:after="0"/>
              <w:rPr>
                <w:sz w:val="20"/>
                <w:szCs w:val="20"/>
                <w:color w:val="auto"/>
              </w:rPr>
            </w:pPr>
            <w:r>
              <w:rPr>
                <w:rFonts w:ascii="Arial" w:cs="Arial" w:eastAsia="Arial" w:hAnsi="Arial"/>
                <w:sz w:val="18"/>
                <w:szCs w:val="18"/>
                <w:color w:val="auto"/>
              </w:rPr>
              <w:t>FARMERS &amp; MERCHANTS BANCORP, INC. AND SUBSIDIARIES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CONDENSED CONSOLIDATED BALANCE SHEETS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7"/>
        </w:trPr>
        <w:tc>
          <w:tcPr>
            <w:tcW w:w="6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20" w:type="dxa"/>
            <w:vAlign w:val="bottom"/>
            <w:gridSpan w:val="4"/>
          </w:tcPr>
          <w:p>
            <w:pPr>
              <w:jc w:val="right"/>
              <w:ind w:right="1250"/>
              <w:spacing w:after="0"/>
              <w:rPr>
                <w:sz w:val="20"/>
                <w:szCs w:val="20"/>
                <w:color w:val="auto"/>
              </w:rPr>
            </w:pPr>
            <w:r>
              <w:rPr>
                <w:rFonts w:ascii="Arial" w:cs="Arial" w:eastAsia="Arial" w:hAnsi="Arial"/>
                <w:sz w:val="18"/>
                <w:szCs w:val="18"/>
                <w:color w:val="auto"/>
              </w:rPr>
              <w:t>(in thousands of dollars)</w:t>
            </w:r>
          </w:p>
        </w:tc>
      </w:tr>
      <w:tr>
        <w:trPr>
          <w:trHeight w:val="250"/>
        </w:trPr>
        <w:tc>
          <w:tcPr>
            <w:tcW w:w="6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June 30, 2023</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December 31, 2022</w:t>
            </w:r>
          </w:p>
        </w:tc>
      </w:tr>
      <w:tr>
        <w:trPr>
          <w:trHeight w:val="237"/>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55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Cash and due from banks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69,760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83,085</w:t>
            </w:r>
          </w:p>
        </w:tc>
      </w:tr>
      <w:tr>
        <w:trPr>
          <w:trHeight w:val="243"/>
        </w:trPr>
        <w:tc>
          <w:tcPr>
            <w:tcW w:w="6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Federal funds sold</w:t>
            </w:r>
          </w:p>
        </w:tc>
        <w:tc>
          <w:tcPr>
            <w:tcW w:w="2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1,324</w:t>
            </w:r>
          </w:p>
        </w:tc>
      </w:tr>
      <w:tr>
        <w:trPr>
          <w:trHeight w:val="237"/>
        </w:trPr>
        <w:tc>
          <w:tcPr>
            <w:tcW w:w="6940" w:type="dxa"/>
            <w:vAlign w:val="bottom"/>
          </w:tcPr>
          <w:p>
            <w:pPr>
              <w:ind w:left="560"/>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71,193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84,409</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Interest-bearing time deposits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3,485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4,442</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Securities - available-for-sale</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363,225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390,789</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securities, at cost</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17,535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9,799</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Loans held for sale</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827</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net</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2,490,883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2,336,074</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Premises and equipment</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30,398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28,381</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278</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86,358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86,358</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 servicing rights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5,635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3,549</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Bank owned life insurance</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33,470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33,073</w:t>
            </w:r>
          </w:p>
        </w:tc>
      </w:tr>
      <w:tr>
        <w:trPr>
          <w:trHeight w:val="243"/>
        </w:trPr>
        <w:tc>
          <w:tcPr>
            <w:tcW w:w="6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41,512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37,372</w:t>
            </w: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3,147,443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3,015,351</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r>
      <w:tr>
        <w:trPr>
          <w:trHeight w:val="47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r>
      <w:tr>
        <w:trPr>
          <w:trHeight w:val="237"/>
        </w:trPr>
        <w:tc>
          <w:tcPr>
            <w:tcW w:w="6940" w:type="dxa"/>
            <w:vAlign w:val="bottom"/>
          </w:tcPr>
          <w:p>
            <w:pPr>
              <w:ind w:left="560"/>
              <w:spacing w:after="0"/>
              <w:rPr>
                <w:sz w:val="20"/>
                <w:szCs w:val="20"/>
                <w:color w:val="auto"/>
              </w:rPr>
            </w:pPr>
            <w:r>
              <w:rPr>
                <w:rFonts w:ascii="Arial" w:cs="Arial" w:eastAsia="Arial" w:hAnsi="Arial"/>
                <w:sz w:val="18"/>
                <w:szCs w:val="18"/>
                <w:color w:val="auto"/>
              </w:rPr>
              <w:t>Noninterest-bearing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488,678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532,794</w:t>
            </w:r>
          </w:p>
        </w:tc>
      </w:tr>
      <w:tr>
        <w:trPr>
          <w:trHeight w:val="249"/>
        </w:trPr>
        <w:tc>
          <w:tcPr>
            <w:tcW w:w="69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Interest-bearing</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r>
      <w:tr>
        <w:trPr>
          <w:trHeight w:val="237"/>
        </w:trPr>
        <w:tc>
          <w:tcPr>
            <w:tcW w:w="6940" w:type="dxa"/>
            <w:vAlign w:val="bottom"/>
          </w:tcPr>
          <w:p>
            <w:pPr>
              <w:ind w:left="740"/>
              <w:spacing w:after="0"/>
              <w:rPr>
                <w:sz w:val="20"/>
                <w:szCs w:val="20"/>
                <w:color w:val="auto"/>
              </w:rPr>
            </w:pPr>
            <w:r>
              <w:rPr>
                <w:rFonts w:ascii="Arial" w:cs="Arial" w:eastAsia="Arial" w:hAnsi="Arial"/>
                <w:sz w:val="18"/>
                <w:szCs w:val="18"/>
                <w:color w:val="auto"/>
              </w:rPr>
              <w:t>NOW accounts</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770,113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750,887</w:t>
            </w:r>
          </w:p>
        </w:tc>
      </w:tr>
      <w:tr>
        <w:trPr>
          <w:trHeight w:val="24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Savings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581,192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627,203</w:t>
            </w:r>
          </w:p>
        </w:tc>
      </w:tr>
      <w:tr>
        <w:trPr>
          <w:trHeight w:val="237"/>
        </w:trPr>
        <w:tc>
          <w:tcPr>
            <w:tcW w:w="6940" w:type="dxa"/>
            <w:vAlign w:val="bottom"/>
          </w:tcPr>
          <w:p>
            <w:pPr>
              <w:ind w:left="740"/>
              <w:spacing w:after="0"/>
              <w:rPr>
                <w:sz w:val="20"/>
                <w:szCs w:val="20"/>
                <w:color w:val="auto"/>
              </w:rPr>
            </w:pPr>
            <w:r>
              <w:rPr>
                <w:rFonts w:ascii="Arial" w:cs="Arial" w:eastAsia="Arial" w:hAnsi="Arial"/>
                <w:sz w:val="18"/>
                <w:szCs w:val="18"/>
                <w:color w:val="auto"/>
              </w:rPr>
              <w:t>Time</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628,757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557,980</w:t>
            </w:r>
          </w:p>
        </w:tc>
      </w:tr>
      <w:tr>
        <w:trPr>
          <w:trHeight w:val="243"/>
        </w:trPr>
        <w:tc>
          <w:tcPr>
            <w:tcW w:w="694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2,468,740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2,468,864</w:t>
            </w:r>
          </w:p>
        </w:tc>
      </w:tr>
      <w:tr>
        <w:trPr>
          <w:trHeight w:val="215"/>
        </w:trPr>
        <w:tc>
          <w:tcPr>
            <w:tcW w:w="6940" w:type="dxa"/>
            <w:vAlign w:val="bottom"/>
          </w:tcPr>
          <w:p>
            <w:pPr>
              <w:ind w:left="380"/>
              <w:spacing w:after="0"/>
              <w:rPr>
                <w:sz w:val="20"/>
                <w:szCs w:val="20"/>
                <w:color w:val="auto"/>
              </w:rPr>
            </w:pPr>
            <w:r>
              <w:rPr>
                <w:rFonts w:ascii="Arial" w:cs="Arial" w:eastAsia="Arial" w:hAnsi="Arial"/>
                <w:sz w:val="18"/>
                <w:szCs w:val="18"/>
                <w:color w:val="auto"/>
              </w:rPr>
              <w:t>Federal funds purchased and securities sold under agreements to</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7"/>
        </w:trPr>
        <w:tc>
          <w:tcPr>
            <w:tcW w:w="6940" w:type="dxa"/>
            <w:vAlign w:val="bottom"/>
          </w:tcPr>
          <w:p>
            <w:pPr>
              <w:ind w:left="520"/>
              <w:spacing w:after="0"/>
              <w:rPr>
                <w:sz w:val="20"/>
                <w:szCs w:val="20"/>
                <w:color w:val="auto"/>
              </w:rPr>
            </w:pPr>
            <w:r>
              <w:rPr>
                <w:rFonts w:ascii="Arial" w:cs="Arial" w:eastAsia="Arial" w:hAnsi="Arial"/>
                <w:sz w:val="18"/>
                <w:szCs w:val="18"/>
                <w:color w:val="auto"/>
              </w:rPr>
              <w:t>repurchase</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51,567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54,206</w:t>
            </w:r>
          </w:p>
        </w:tc>
      </w:tr>
      <w:tr>
        <w:trPr>
          <w:trHeight w:val="250"/>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Federal Home Loan Bank (FHLB) advances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266,818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127,485</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Other borrowings</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10,000</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Subordinated notes, net of unamortized issuance costs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34,644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34,586</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Dividend payable</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2,834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2,832</w:t>
            </w:r>
          </w:p>
        </w:tc>
      </w:tr>
      <w:tr>
        <w:trPr>
          <w:trHeight w:val="243"/>
        </w:trPr>
        <w:tc>
          <w:tcPr>
            <w:tcW w:w="6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18,177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19,238</w:t>
            </w:r>
          </w:p>
        </w:tc>
      </w:tr>
      <w:tr>
        <w:trPr>
          <w:trHeight w:val="236"/>
        </w:trPr>
        <w:tc>
          <w:tcPr>
            <w:tcW w:w="6940" w:type="dxa"/>
            <w:vAlign w:val="bottom"/>
          </w:tcPr>
          <w:p>
            <w:pPr>
              <w:ind w:left="11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2,842,780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2,717,211</w:t>
            </w:r>
          </w:p>
        </w:tc>
      </w:tr>
      <w:tr>
        <w:trPr>
          <w:trHeight w:val="243"/>
        </w:trPr>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r>
      <w:tr>
        <w:trPr>
          <w:trHeight w:val="47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44"/>
        </w:trPr>
        <w:tc>
          <w:tcPr>
            <w:tcW w:w="6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outstanding 14,564,425 shares 6/30/23 and 12/31/22</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135,647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135,497</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Treasury stock - 929,513 shares 6/30/23, 956,003 shares 12/31/22</w:t>
            </w: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(11,298 )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(11,573 )</w:t>
            </w:r>
          </w:p>
        </w:tc>
      </w:tr>
      <w:tr>
        <w:trPr>
          <w:trHeight w:val="249"/>
        </w:trPr>
        <w:tc>
          <w:tcPr>
            <w:tcW w:w="6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216,236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212,449</w:t>
            </w:r>
          </w:p>
        </w:tc>
      </w:tr>
      <w:tr>
        <w:trPr>
          <w:trHeight w:val="237"/>
        </w:trPr>
        <w:tc>
          <w:tcPr>
            <w:tcW w:w="69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(35,922 )</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(38,233 )</w:t>
            </w:r>
          </w:p>
        </w:tc>
      </w:tr>
      <w:tr>
        <w:trPr>
          <w:trHeight w:val="236"/>
        </w:trPr>
        <w:tc>
          <w:tcPr>
            <w:tcW w:w="6940" w:type="dxa"/>
            <w:vAlign w:val="bottom"/>
            <w:tcBorders>
              <w:bottom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304,663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298,140</w:t>
            </w: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3,147,443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3,015,351</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-6711315</wp:posOffset>
            </wp:positionV>
            <wp:extent cx="12890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-4851400</wp:posOffset>
            </wp:positionV>
            <wp:extent cx="12890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34290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-1894205</wp:posOffset>
            </wp:positionV>
            <wp:extent cx="12890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3257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12890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The December 31, 2022, Condensed Consolidated Balance Sheet has been derived from the audited Condensed Consolidated Balance Sheet as of that date.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5"/>
          </w:tcPr>
          <w:p>
            <w:pPr>
              <w:ind w:left="20"/>
              <w:spacing w:after="0"/>
              <w:rPr>
                <w:sz w:val="20"/>
                <w:szCs w:val="20"/>
                <w:color w:val="auto"/>
              </w:rPr>
            </w:pPr>
            <w:r>
              <w:rPr>
                <w:rFonts w:ascii="Arial" w:cs="Arial" w:eastAsia="Arial" w:hAnsi="Arial"/>
                <w:sz w:val="18"/>
                <w:szCs w:val="18"/>
                <w:color w:val="auto"/>
              </w:rPr>
              <w:t>(in thousands of dollars, except per</w:t>
            </w:r>
          </w:p>
        </w:tc>
        <w:tc>
          <w:tcPr>
            <w:tcW w:w="140" w:type="dxa"/>
            <w:vAlign w:val="bottom"/>
          </w:tcPr>
          <w:p>
            <w:pPr>
              <w:spacing w:after="0"/>
              <w:rPr>
                <w:sz w:val="18"/>
                <w:szCs w:val="18"/>
                <w:color w:val="auto"/>
              </w:rPr>
            </w:pPr>
          </w:p>
        </w:tc>
        <w:tc>
          <w:tcPr>
            <w:tcW w:w="2880" w:type="dxa"/>
            <w:vAlign w:val="bottom"/>
            <w:gridSpan w:val="5"/>
          </w:tcPr>
          <w:p>
            <w:pPr>
              <w:ind w:left="20"/>
              <w:spacing w:after="0"/>
              <w:rPr>
                <w:sz w:val="20"/>
                <w:szCs w:val="20"/>
                <w:color w:val="auto"/>
              </w:rPr>
            </w:pPr>
            <w:r>
              <w:rPr>
                <w:rFonts w:ascii="Arial" w:cs="Arial" w:eastAsia="Arial" w:hAnsi="Arial"/>
                <w:sz w:val="18"/>
                <w:szCs w:val="18"/>
                <w:color w:val="auto"/>
              </w:rPr>
              <w:t>(in thousands of dollars, except per</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center"/>
              <w:ind w:right="480"/>
              <w:spacing w:after="0"/>
              <w:rPr>
                <w:sz w:val="20"/>
                <w:szCs w:val="20"/>
                <w:color w:val="auto"/>
              </w:rPr>
            </w:pPr>
            <w:r>
              <w:rPr>
                <w:rFonts w:ascii="Arial" w:cs="Arial" w:eastAsia="Arial" w:hAnsi="Arial"/>
                <w:sz w:val="18"/>
                <w:szCs w:val="18"/>
                <w:color w:val="auto"/>
                <w:w w:val="85"/>
              </w:rPr>
              <w:t>share data)</w:t>
            </w:r>
          </w:p>
        </w:tc>
        <w:tc>
          <w:tcPr>
            <w:tcW w:w="140" w:type="dxa"/>
            <w:vAlign w:val="bottom"/>
          </w:tcPr>
          <w:p>
            <w:pPr>
              <w:spacing w:after="0"/>
              <w:rPr>
                <w:sz w:val="20"/>
                <w:szCs w:val="20"/>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0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1"/>
                <w:szCs w:val="21"/>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30, 2023</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7"/>
              </w:rPr>
              <w:t>June 30, 2022</w:t>
            </w:r>
          </w:p>
        </w:tc>
        <w:tc>
          <w:tcPr>
            <w:tcW w:w="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30, 2023</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7"/>
              </w:rPr>
              <w:t>June 30, 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Interest Income</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Loans, including fees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31,365</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22,388</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61,068</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U.S. Treasury and government agencies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Municipalities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funds sold</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interest income</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65,179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00"/>
              <w:spacing w:after="0"/>
              <w:rPr>
                <w:sz w:val="20"/>
                <w:szCs w:val="20"/>
                <w:color w:val="auto"/>
              </w:rPr>
            </w:pPr>
            <w:r>
              <w:rPr>
                <w:rFonts w:ascii="Arial" w:cs="Arial" w:eastAsia="Arial" w:hAnsi="Arial"/>
                <w:sz w:val="18"/>
                <w:szCs w:val="18"/>
                <w:color w:val="auto"/>
              </w:rPr>
              <w:t>Federal funds purchased and securities sold under</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340"/>
              <w:spacing w:after="0"/>
              <w:rPr>
                <w:sz w:val="20"/>
                <w:szCs w:val="20"/>
                <w:color w:val="auto"/>
              </w:rPr>
            </w:pPr>
            <w:r>
              <w:rPr>
                <w:rFonts w:ascii="Arial" w:cs="Arial" w:eastAsia="Arial" w:hAnsi="Arial"/>
                <w:sz w:val="18"/>
                <w:szCs w:val="18"/>
                <w:color w:val="auto"/>
              </w:rPr>
              <w:t>agreements to repurchase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Borrowed funds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Subordinated notes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13,259</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23,379</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Interest Income - Before Provision for Credit Losses*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20,118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21,864</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Provision for Credit Losses - Loans*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Provision for Credit Losses - Off Balance Sheet Credit</w:t>
            </w:r>
          </w:p>
        </w:tc>
        <w:tc>
          <w:tcPr>
            <w:tcW w:w="140" w:type="dxa"/>
            <w:vAlign w:val="bottom"/>
          </w:tcPr>
          <w:p>
            <w:pPr>
              <w:spacing w:after="0"/>
              <w:rPr>
                <w:sz w:val="18"/>
                <w:szCs w:val="18"/>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(129 )</w:t>
            </w: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(67 )</w:t>
            </w: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Exposures*</w:t>
            </w: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20,236</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39,439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Noninterest Income</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service fees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Other service charges and fees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gain on sale of loans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Net loss on sale of available-for-sale securities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(891 )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3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and wages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occupancy expense</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Furniture and equipment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Data processing</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Franchise taxes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ATM expense</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gain on sale of other assets owned</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(266 )</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FDIC assessment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Servicing rights amortization - net</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Consulting fees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Total noninterest expense</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13,235</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12,467</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16,373</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Dividends Declared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0.2025</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0.4200</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-5065395</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-5065395</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-5065395</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-5065395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-1207770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-1207770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-1207770</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-1207770</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-565150</wp:posOffset>
            </wp:positionV>
            <wp:extent cx="314642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6425" cy="20574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-205105</wp:posOffset>
            </wp:positionV>
            <wp:extent cx="314642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46425" cy="20574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Unaudited Financial Statements</w:t>
      </w:r>
    </w:p>
    <w:p>
      <w:pPr>
        <w:spacing w:after="0"/>
        <w:rPr>
          <w:sz w:val="20"/>
          <w:szCs w:val="20"/>
          <w:color w:val="auto"/>
        </w:rPr>
      </w:pPr>
      <w:r>
        <w:rPr>
          <w:rFonts w:ascii="Arial" w:cs="Arial" w:eastAsia="Arial" w:hAnsi="Arial"/>
          <w:sz w:val="14"/>
          <w:szCs w:val="14"/>
          <w:color w:val="auto"/>
        </w:rPr>
        <w:t>*ASU 2016-13 adopted during the first quarter of 2023; therefore, June 30, 2022 provision amount reflects the incurred loss method.</w:t>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 of dollars)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right"/>
              <w:ind w:right="57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June 30, 2023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June 30, 2022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June 30, 2023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7"/>
              </w:rPr>
              <w:t>June 30, 2022</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6,001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8,271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12,467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16,373</w:t>
            </w:r>
          </w:p>
        </w:tc>
        <w:tc>
          <w:tcPr>
            <w:tcW w:w="0" w:type="dxa"/>
            <w:vAlign w:val="bottom"/>
          </w:tcPr>
          <w:p>
            <w:pPr>
              <w:spacing w:after="0"/>
              <w:rPr>
                <w:sz w:val="1"/>
                <w:szCs w:val="1"/>
                <w:color w:val="auto"/>
              </w:rPr>
            </w:pPr>
          </w:p>
        </w:tc>
      </w:tr>
      <w:tr>
        <w:trPr>
          <w:trHeight w:val="23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gain (loss) on available-for-sale</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(35,541 )</w:t>
            </w:r>
          </w:p>
        </w:tc>
        <w:tc>
          <w:tcPr>
            <w:tcW w:w="0" w:type="dxa"/>
            <w:vAlign w:val="bottom"/>
          </w:tcPr>
          <w:p>
            <w:pPr>
              <w:spacing w:after="0"/>
              <w:rPr>
                <w:sz w:val="1"/>
                <w:szCs w:val="1"/>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8"/>
                <w:szCs w:val="18"/>
                <w:color w:val="auto"/>
              </w:rPr>
              <w:t>Reclassification adjustment for realized loss on sale</w:t>
            </w:r>
          </w:p>
        </w:tc>
        <w:tc>
          <w:tcPr>
            <w:tcW w:w="120" w:type="dxa"/>
            <w:vAlign w:val="bottom"/>
          </w:tcPr>
          <w:p>
            <w:pPr>
              <w:spacing w:after="0"/>
              <w:rPr>
                <w:sz w:val="18"/>
                <w:szCs w:val="18"/>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340"/>
              <w:spacing w:after="0"/>
              <w:rPr>
                <w:sz w:val="20"/>
                <w:szCs w:val="20"/>
                <w:color w:val="auto"/>
              </w:rPr>
            </w:pPr>
            <w:r>
              <w:rPr>
                <w:rFonts w:ascii="Arial" w:cs="Arial" w:eastAsia="Arial" w:hAnsi="Arial"/>
                <w:sz w:val="18"/>
                <w:szCs w:val="18"/>
                <w:color w:val="auto"/>
              </w:rPr>
              <w:t>of available-for-sale securities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unrealized gain (loss) on available-for-sale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(14,602 )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2,925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(35,541 )</w:t>
            </w:r>
          </w:p>
        </w:tc>
        <w:tc>
          <w:tcPr>
            <w:tcW w:w="0" w:type="dxa"/>
            <w:vAlign w:val="bottom"/>
          </w:tcPr>
          <w:p>
            <w:pPr>
              <w:spacing w:after="0"/>
              <w:rPr>
                <w:sz w:val="1"/>
                <w:szCs w:val="1"/>
                <w:color w:val="auto"/>
              </w:rPr>
            </w:pPr>
          </w:p>
        </w:tc>
      </w:tr>
      <w:tr>
        <w:trPr>
          <w:trHeight w:val="243"/>
        </w:trPr>
        <w:tc>
          <w:tcPr>
            <w:tcW w:w="5180" w:type="dxa"/>
            <w:vAlign w:val="bottom"/>
          </w:tcPr>
          <w:p>
            <w:pPr>
              <w:ind w:left="20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(1,260 )</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(3,067 )</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(7,464 )</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(11,535 )</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2,311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(28,077 )</w:t>
            </w: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(3,264 )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14,778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(11,704 )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-187960</wp:posOffset>
            </wp:positionV>
            <wp:extent cx="939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9461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9461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8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2023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21"/>
                <w:szCs w:val="21"/>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Comprehensiv</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Stockholder</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Treasury</w:t>
            </w: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Retained</w:t>
            </w:r>
          </w:p>
        </w:tc>
        <w:tc>
          <w:tcPr>
            <w:tcW w:w="22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79"/>
              </w:rPr>
              <w:t>e</w:t>
            </w:r>
          </w:p>
        </w:tc>
        <w:tc>
          <w:tcPr>
            <w:tcW w:w="1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s'</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21"/>
                <w:szCs w:val="21"/>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Earnings</w:t>
            </w:r>
          </w:p>
        </w:tc>
        <w:tc>
          <w:tcPr>
            <w:tcW w:w="220" w:type="dxa"/>
            <w:vAlign w:val="bottom"/>
          </w:tcPr>
          <w:p>
            <w:pPr>
              <w:spacing w:after="0"/>
              <w:rPr>
                <w:sz w:val="21"/>
                <w:szCs w:val="21"/>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Loss</w:t>
            </w:r>
          </w:p>
        </w:tc>
        <w:tc>
          <w:tcPr>
            <w:tcW w:w="180" w:type="dxa"/>
            <w:vAlign w:val="bottom"/>
          </w:tcPr>
          <w:p>
            <w:pPr>
              <w:spacing w:after="0"/>
              <w:rPr>
                <w:sz w:val="21"/>
                <w:szCs w:val="21"/>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 January 1, 2023</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13,608,42</w:t>
            </w: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135,497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(11,573 )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212,449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(38,233 )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298,140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Cumulative effect of change in accounting</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principle (ASU</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(3,371 )</w:t>
            </w: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(3,371 )</w:t>
            </w:r>
          </w:p>
        </w:tc>
        <w:tc>
          <w:tcPr>
            <w:tcW w:w="0" w:type="dxa"/>
            <w:vAlign w:val="bottom"/>
          </w:tcPr>
          <w:p>
            <w:pPr>
              <w:spacing w:after="0"/>
              <w:rPr>
                <w:sz w:val="1"/>
                <w:szCs w:val="1"/>
                <w:color w:val="auto"/>
              </w:rPr>
            </w:pPr>
          </w:p>
        </w:tc>
      </w:tr>
      <w:tr>
        <w:trPr>
          <w:trHeight w:val="234"/>
        </w:trPr>
        <w:tc>
          <w:tcPr>
            <w:tcW w:w="4040" w:type="dxa"/>
            <w:vAlign w:val="bottom"/>
          </w:tcPr>
          <w:p>
            <w:pPr>
              <w:ind w:left="160"/>
              <w:spacing w:after="0"/>
              <w:rPr>
                <w:sz w:val="20"/>
                <w:szCs w:val="20"/>
                <w:color w:val="auto"/>
              </w:rPr>
            </w:pPr>
            <w:r>
              <w:rPr>
                <w:rFonts w:ascii="Arial" w:cs="Arial" w:eastAsia="Arial" w:hAnsi="Arial"/>
                <w:sz w:val="18"/>
                <w:szCs w:val="18"/>
                <w:b w:val="1"/>
                <w:bCs w:val="1"/>
                <w:color w:val="auto"/>
              </w:rPr>
              <w:t>2016-13)</w:t>
            </w:r>
          </w:p>
        </w:tc>
        <w:tc>
          <w:tcPr>
            <w:tcW w:w="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b w:val="1"/>
                <w:bCs w:val="1"/>
                <w:color w:val="auto"/>
                <w:w w:val="95"/>
              </w:rPr>
              <w:t>Balance - January 1, 2023 as adjusted for change</w:t>
            </w: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13,608,42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accounting principle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135,497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(11,573 )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209,078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(38,233 )</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294,769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21,700 shares of restricted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(2,831 )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(2,831 )</w:t>
            </w:r>
          </w:p>
        </w:tc>
        <w:tc>
          <w:tcPr>
            <w:tcW w:w="0" w:type="dxa"/>
            <w:vAlign w:val="bottom"/>
          </w:tcPr>
          <w:p>
            <w:pPr>
              <w:spacing w:after="0"/>
              <w:rPr>
                <w:sz w:val="1"/>
                <w:szCs w:val="1"/>
                <w:color w:val="auto"/>
              </w:rPr>
            </w:pPr>
          </w:p>
        </w:tc>
      </w:tr>
      <w:tr>
        <w:trPr>
          <w:trHeight w:val="215"/>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 March 31,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13,630,12</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135,241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(11,310 )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213,012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(31,186 )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305,757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(4,736 )</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(4,736 )</w:t>
            </w: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Forfeiture of 4,050 shares of restricted stock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(4,050 )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Director stock award</w:t>
            </w:r>
          </w:p>
        </w:tc>
        <w:tc>
          <w:tcPr>
            <w:tcW w:w="960" w:type="dxa"/>
            <w:vAlign w:val="bottom"/>
          </w:tcPr>
          <w:p>
            <w:pPr>
              <w:jc w:val="right"/>
              <w:spacing w:after="0"/>
              <w:rPr>
                <w:sz w:val="20"/>
                <w:szCs w:val="20"/>
                <w:color w:val="auto"/>
              </w:rPr>
            </w:pPr>
            <w:r>
              <w:rPr>
                <w:rFonts w:ascii="Arial" w:cs="Arial" w:eastAsia="Arial" w:hAnsi="Arial"/>
                <w:sz w:val="18"/>
                <w:szCs w:val="18"/>
                <w:color w:val="auto"/>
              </w:rPr>
              <w:t>9,048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(2,834 )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(2,834 )</w:t>
            </w:r>
          </w:p>
        </w:tc>
        <w:tc>
          <w:tcPr>
            <w:tcW w:w="0" w:type="dxa"/>
            <w:vAlign w:val="bottom"/>
          </w:tcPr>
          <w:p>
            <w:pPr>
              <w:spacing w:after="0"/>
              <w:rPr>
                <w:sz w:val="1"/>
                <w:szCs w:val="1"/>
                <w:color w:val="auto"/>
              </w:rPr>
            </w:pPr>
          </w:p>
        </w:tc>
      </w:tr>
      <w:tr>
        <w:trPr>
          <w:trHeight w:val="215"/>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 June 30,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13,634,91</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135,647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(11,298 )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216,236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(35,922 )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304,663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-1705610</wp:posOffset>
            </wp:positionV>
            <wp:extent cx="76835"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-1705610</wp:posOffset>
            </wp:positionV>
            <wp:extent cx="8572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-1705610</wp:posOffset>
            </wp:positionV>
            <wp:extent cx="85725"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-1705610</wp:posOffset>
            </wp:positionV>
            <wp:extent cx="7683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-1705610</wp:posOffset>
            </wp:positionV>
            <wp:extent cx="76835"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-1705610</wp:posOffset>
            </wp:positionV>
            <wp:extent cx="8572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-325120</wp:posOffset>
            </wp:positionV>
            <wp:extent cx="76835"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-325120</wp:posOffset>
            </wp:positionV>
            <wp:extent cx="85725"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48006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-325120</wp:posOffset>
            </wp:positionV>
            <wp:extent cx="85725" cy="480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4800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-325120</wp:posOffset>
            </wp:positionV>
            <wp:extent cx="76835"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-325120</wp:posOffset>
            </wp:positionV>
            <wp:extent cx="76835"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-325120</wp:posOffset>
            </wp:positionV>
            <wp:extent cx="85725" cy="480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4800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3880"/>
        <w:spacing w:after="0" w:line="250" w:lineRule="auto"/>
        <w:rPr>
          <w:sz w:val="20"/>
          <w:szCs w:val="20"/>
          <w:color w:val="auto"/>
        </w:rPr>
      </w:pPr>
      <w:r>
        <w:rPr>
          <w:rFonts w:ascii="Arial" w:cs="Arial" w:eastAsia="Arial" w:hAnsi="Arial"/>
          <w:sz w:val="18"/>
          <w:szCs w:val="18"/>
          <w:color w:val="auto"/>
        </w:rPr>
        <w:t>CONDENSED CONSOLIDATED STATEMENTS OF CHANGES TO STOCKHOLDERS’ EQUITY FOR THE THREE AND SIX MONTHS ENDED JUNE 30, 2022 (000’S OMITTED, EXCEPT PER SHARE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04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Shares of</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21"/>
                <w:szCs w:val="21"/>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Total</w:t>
            </w:r>
          </w:p>
        </w:tc>
      </w:tr>
      <w:tr>
        <w:trPr>
          <w:trHeight w:val="229"/>
        </w:trPr>
        <w:tc>
          <w:tcPr>
            <w:tcW w:w="4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Comprehensiv</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Stockholder</w:t>
            </w:r>
          </w:p>
        </w:tc>
      </w:tr>
      <w:tr>
        <w:trPr>
          <w:trHeight w:val="230"/>
        </w:trPr>
        <w:tc>
          <w:tcPr>
            <w:tcW w:w="40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Treasury</w:t>
            </w: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Retained</w:t>
            </w:r>
          </w:p>
        </w:tc>
        <w:tc>
          <w:tcPr>
            <w:tcW w:w="22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79"/>
              </w:rPr>
              <w:t>e</w:t>
            </w:r>
          </w:p>
        </w:tc>
        <w:tc>
          <w:tcPr>
            <w:tcW w:w="1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s'</w:t>
            </w:r>
          </w:p>
        </w:tc>
      </w:tr>
      <w:tr>
        <w:trPr>
          <w:trHeight w:val="250"/>
        </w:trPr>
        <w:tc>
          <w:tcPr>
            <w:tcW w:w="4040" w:type="dxa"/>
            <w:vAlign w:val="bottom"/>
          </w:tcPr>
          <w:p>
            <w:pPr>
              <w:spacing w:after="0"/>
              <w:rPr>
                <w:sz w:val="21"/>
                <w:szCs w:val="2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21"/>
                <w:szCs w:val="21"/>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Earnings</w:t>
            </w:r>
          </w:p>
        </w:tc>
        <w:tc>
          <w:tcPr>
            <w:tcW w:w="220" w:type="dxa"/>
            <w:vAlign w:val="bottom"/>
          </w:tcPr>
          <w:p>
            <w:pPr>
              <w:spacing w:after="0"/>
              <w:rPr>
                <w:sz w:val="21"/>
                <w:szCs w:val="21"/>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Loss</w:t>
            </w:r>
          </w:p>
        </w:tc>
        <w:tc>
          <w:tcPr>
            <w:tcW w:w="180" w:type="dxa"/>
            <w:vAlign w:val="bottom"/>
          </w:tcPr>
          <w:p>
            <w:pPr>
              <w:spacing w:after="0"/>
              <w:rPr>
                <w:sz w:val="21"/>
                <w:szCs w:val="21"/>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r>
      <w:tr>
        <w:trPr>
          <w:trHeight w:val="215"/>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Balance - January 1, 2022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13,066,23</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122,674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(11,724 )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189,401</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(3,184 )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297,167</w:t>
            </w:r>
          </w:p>
        </w:tc>
        <w:tc>
          <w:tcPr>
            <w:tcW w:w="140" w:type="dxa"/>
            <w:vAlign w:val="bottom"/>
          </w:tcPr>
          <w:p>
            <w:pPr>
              <w:spacing w:after="0"/>
              <w:rPr>
                <w:sz w:val="20"/>
                <w:szCs w:val="20"/>
                <w:color w:val="auto"/>
              </w:rPr>
            </w:pPr>
          </w:p>
        </w:tc>
      </w:tr>
      <w:tr>
        <w:trPr>
          <w:trHeight w:val="250"/>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40" w:type="dxa"/>
            <w:vAlign w:val="bottom"/>
            <w:shd w:val="clear" w:color="auto" w:fill="CFF0FC"/>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(16,542 )</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(16,542 )</w:t>
            </w:r>
          </w:p>
        </w:tc>
      </w:tr>
      <w:tr>
        <w:trPr>
          <w:trHeight w:val="221"/>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500 shares of restricted stock</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40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forfeitures - 650)</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$0.19 per share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(2,462 )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(2,462 )</w:t>
            </w:r>
          </w:p>
        </w:tc>
      </w:tr>
      <w:tr>
        <w:trPr>
          <w:trHeight w:val="215"/>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 March 31, 2022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13,066,08</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r>
      <w:tr>
        <w:trPr>
          <w:trHeight w:val="237"/>
        </w:trPr>
        <w:tc>
          <w:tcPr>
            <w:tcW w:w="4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122,886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(11,739 )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195,057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(19,726 )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286,478</w:t>
            </w:r>
          </w:p>
        </w:tc>
        <w:tc>
          <w:tcPr>
            <w:tcW w:w="140" w:type="dxa"/>
            <w:vAlign w:val="bottom"/>
          </w:tcPr>
          <w:p>
            <w:pPr>
              <w:spacing w:after="0"/>
              <w:rPr>
                <w:sz w:val="20"/>
                <w:szCs w:val="20"/>
                <w:color w:val="auto"/>
              </w:rPr>
            </w:pPr>
          </w:p>
        </w:tc>
      </w:tr>
      <w:tr>
        <w:trPr>
          <w:trHeight w:val="250"/>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140" w:type="dxa"/>
            <w:vAlign w:val="bottom"/>
            <w:shd w:val="clear" w:color="auto" w:fill="CFF0FC"/>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(11,535 )</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(11,535 )</w:t>
            </w: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(1,388 )</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(54 )</w:t>
            </w: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Forfeiture of 1,750 shares of restricted stock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(1,750 )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FF0FC"/>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Director stock award</w:t>
            </w:r>
          </w:p>
        </w:tc>
        <w:tc>
          <w:tcPr>
            <w:tcW w:w="960" w:type="dxa"/>
            <w:vAlign w:val="bottom"/>
          </w:tcPr>
          <w:p>
            <w:pPr>
              <w:jc w:val="right"/>
              <w:spacing w:after="0"/>
              <w:rPr>
                <w:sz w:val="20"/>
                <w:szCs w:val="20"/>
                <w:color w:val="auto"/>
              </w:rPr>
            </w:pPr>
            <w:r>
              <w:rPr>
                <w:rFonts w:ascii="Arial" w:cs="Arial" w:eastAsia="Arial" w:hAnsi="Arial"/>
                <w:sz w:val="18"/>
                <w:szCs w:val="18"/>
                <w:color w:val="auto"/>
              </w:rPr>
              <w:t>2,880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dividends declared - $0.2025 per share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(2,626 )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(2,626 )</w:t>
            </w:r>
          </w:p>
        </w:tc>
      </w:tr>
      <w:tr>
        <w:trPr>
          <w:trHeight w:val="215"/>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 June 30, 2022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13,065,82</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r>
      <w:tr>
        <w:trPr>
          <w:trHeight w:val="237"/>
        </w:trPr>
        <w:tc>
          <w:tcPr>
            <w:tcW w:w="4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123,145</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(11,822 )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200,811</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(31,261 )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280,873</w:t>
            </w:r>
          </w:p>
        </w:tc>
        <w:tc>
          <w:tcPr>
            <w:tcW w:w="14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-1704975</wp:posOffset>
            </wp:positionV>
            <wp:extent cx="76835"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-1704975</wp:posOffset>
            </wp:positionV>
            <wp:extent cx="85725"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-1704975</wp:posOffset>
            </wp:positionV>
            <wp:extent cx="8572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-1704975</wp:posOffset>
            </wp:positionV>
            <wp:extent cx="76835"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-1704975</wp:posOffset>
            </wp:positionV>
            <wp:extent cx="76835"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-1704975</wp:posOffset>
            </wp:positionV>
            <wp:extent cx="8572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-325120</wp:posOffset>
            </wp:positionV>
            <wp:extent cx="76835" cy="480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-325120</wp:posOffset>
            </wp:positionV>
            <wp:extent cx="85725" cy="480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48006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-325120</wp:posOffset>
            </wp:positionV>
            <wp:extent cx="85725"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4800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-325120</wp:posOffset>
            </wp:positionV>
            <wp:extent cx="76835" cy="48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-325120</wp:posOffset>
            </wp:positionV>
            <wp:extent cx="76835" cy="48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4800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-325120</wp:posOffset>
            </wp:positionV>
            <wp:extent cx="85725" cy="48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4800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right="5180"/>
        <w:spacing w:after="0" w:line="308" w:lineRule="auto"/>
        <w:rPr>
          <w:sz w:val="20"/>
          <w:szCs w:val="20"/>
          <w:color w:val="auto"/>
        </w:rPr>
      </w:pPr>
      <w:r>
        <w:rPr>
          <w:rFonts w:ascii="Arial" w:cs="Arial" w:eastAsia="Arial" w:hAnsi="Arial"/>
          <w:sz w:val="17"/>
          <w:szCs w:val="17"/>
          <w:color w:val="auto"/>
        </w:rPr>
        <w:t>FARMERS &amp; MERCHANTS BANCORP, INC. AND SUBSIDIARIES CONDENSED CONSOLIDATED STATEMENTS OF CASH FLOWS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gridSpan w:val="5"/>
          </w:tcPr>
          <w:p>
            <w:pPr>
              <w:jc w:val="right"/>
              <w:ind w:right="1340"/>
              <w:spacing w:after="0"/>
              <w:rPr>
                <w:sz w:val="20"/>
                <w:szCs w:val="20"/>
                <w:color w:val="auto"/>
              </w:rPr>
            </w:pPr>
            <w:r>
              <w:rPr>
                <w:rFonts w:ascii="Arial" w:cs="Arial" w:eastAsia="Arial" w:hAnsi="Arial"/>
                <w:sz w:val="18"/>
                <w:szCs w:val="18"/>
                <w:color w:val="auto"/>
              </w:rPr>
              <w:t>(in thousands of dollars)</w:t>
            </w:r>
          </w:p>
        </w:tc>
      </w:tr>
      <w:tr>
        <w:trPr>
          <w:trHeight w:val="250"/>
        </w:trPr>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20" w:type="dxa"/>
            <w:vAlign w:val="bottom"/>
            <w:gridSpan w:val="5"/>
          </w:tcPr>
          <w:p>
            <w:pPr>
              <w:jc w:val="right"/>
              <w:ind w:right="1540"/>
              <w:spacing w:after="0"/>
              <w:rPr>
                <w:sz w:val="20"/>
                <w:szCs w:val="20"/>
                <w:color w:val="auto"/>
              </w:rPr>
            </w:pPr>
            <w:r>
              <w:rPr>
                <w:rFonts w:ascii="Arial" w:cs="Arial" w:eastAsia="Arial" w:hAnsi="Arial"/>
                <w:sz w:val="18"/>
                <w:szCs w:val="18"/>
                <w:color w:val="auto"/>
              </w:rPr>
              <w:t>Six Months Ended</w:t>
            </w:r>
          </w:p>
        </w:tc>
      </w:tr>
      <w:tr>
        <w:trPr>
          <w:trHeight w:val="237"/>
        </w:trPr>
        <w:tc>
          <w:tcPr>
            <w:tcW w:w="69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June 30, 2023</w:t>
            </w: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June 30, 2022</w:t>
            </w:r>
          </w:p>
        </w:tc>
        <w:tc>
          <w:tcPr>
            <w:tcW w:w="140" w:type="dxa"/>
            <w:vAlign w:val="bottom"/>
          </w:tcPr>
          <w:p>
            <w:pPr>
              <w:spacing w:after="0"/>
              <w:rPr>
                <w:sz w:val="20"/>
                <w:szCs w:val="20"/>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12,467</w:t>
            </w:r>
          </w:p>
        </w:tc>
        <w:tc>
          <w:tcPr>
            <w:tcW w:w="3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16,373</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premiums on available-for-sale securities, net</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Capitalized additions to servicing rights</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(2,409 )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(354 )</w:t>
            </w: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Servicing rights amortization and impairment</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Amortization of core deposit intangible</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customer list intangible</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Net accretion of fair value adjustments</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(1,901 )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(2,070 )</w:t>
            </w: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subordinated note issuance costs</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 stock award</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Provision for credit losses - Loans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2,208</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credit losses - Off balance sheet credit exposures</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(67 )</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Gain on sale of loans held for sale</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(175 )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(861 )</w:t>
            </w: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Originations of loans held for sale</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(14,980 )</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(47,063 )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Proceeds from sale of loans held for sale</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14,523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51,408</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sale of other assets owned</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(271 )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Loss on sales of securities available-for-sale</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cash surrender value of bank owned life insurance</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(397 )</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Change in other assets and other liabilities, net</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(6,648 )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(298 )</w:t>
            </w:r>
          </w:p>
        </w:tc>
      </w:tr>
      <w:tr>
        <w:trPr>
          <w:trHeight w:val="237"/>
        </w:trPr>
        <w:tc>
          <w:tcPr>
            <w:tcW w:w="6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6,765</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Activity in available-for-sale securities:</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Maturities, prepayments and calls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6,856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19,479</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(25,884 )</w:t>
            </w: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Activity in other securities, at cost:</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(8,135 )</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(573 )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Change in interest-bearing time deposits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4,229</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 of other assets owned</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Additions to premises and equipment</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(5,719 )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(984 )</w:t>
            </w: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originations and principal collections, net</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(157,793 )</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(176,649 )</w:t>
            </w:r>
          </w:p>
        </w:tc>
      </w:tr>
      <w:tr>
        <w:trPr>
          <w:trHeight w:val="20"/>
        </w:trPr>
        <w:tc>
          <w:tcPr>
            <w:tcW w:w="6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69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(141,472 )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(179,952 )</w:t>
            </w: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Net change in deposits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31,823</w:t>
            </w:r>
          </w:p>
        </w:tc>
        <w:tc>
          <w:tcPr>
            <w:tcW w:w="140" w:type="dxa"/>
            <w:vAlign w:val="bottom"/>
          </w:tcPr>
          <w:p>
            <w:pPr>
              <w:spacing w:after="0"/>
              <w:rPr>
                <w:sz w:val="20"/>
                <w:szCs w:val="20"/>
                <w:color w:val="auto"/>
              </w:rPr>
            </w:pPr>
          </w:p>
        </w:tc>
      </w:tr>
      <w:tr>
        <w:trPr>
          <w:trHeight w:val="221"/>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6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repurchase</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(2,639 )</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42,676</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Proceeds from FHLB advances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345,000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FHLB advances</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(205,632 )</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(1,388 )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Repayment of other borrowings</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(10,000 )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(40,000 )</w:t>
            </w: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treasury stock</w:t>
            </w:r>
          </w:p>
        </w:tc>
        <w:tc>
          <w:tcPr>
            <w:tcW w:w="2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(5 )</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(54 )</w:t>
            </w: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Cash dividends paid on common stock</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(5,663 )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(4,924 )</w:t>
            </w:r>
          </w:p>
        </w:tc>
      </w:tr>
      <w:tr>
        <w:trPr>
          <w:trHeight w:val="236"/>
        </w:trPr>
        <w:tc>
          <w:tcPr>
            <w:tcW w:w="69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121,491</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8"/>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(13,216 )</w:t>
            </w:r>
          </w:p>
        </w:tc>
        <w:tc>
          <w:tcPr>
            <w:tcW w:w="30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(109,384 )</w:t>
            </w:r>
          </w:p>
        </w:tc>
      </w:tr>
      <w:tr>
        <w:trPr>
          <w:trHeight w:val="243"/>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180,823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71,193</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71,439</w:t>
            </w:r>
          </w:p>
        </w:tc>
        <w:tc>
          <w:tcPr>
            <w:tcW w:w="14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-4071620</wp:posOffset>
            </wp:positionV>
            <wp:extent cx="8572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-4071620</wp:posOffset>
            </wp:positionV>
            <wp:extent cx="8572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-2211070</wp:posOffset>
            </wp:positionV>
            <wp:extent cx="8572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-2211070</wp:posOffset>
            </wp:positionV>
            <wp:extent cx="8572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-504825</wp:posOffset>
            </wp:positionV>
            <wp:extent cx="8572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85725"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34290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4"/>
          </w:tcPr>
          <w:p>
            <w:pPr>
              <w:jc w:val="right"/>
              <w:ind w:right="1110"/>
              <w:spacing w:after="0"/>
              <w:rPr>
                <w:sz w:val="20"/>
                <w:szCs w:val="20"/>
                <w:color w:val="auto"/>
              </w:rPr>
            </w:pPr>
            <w:r>
              <w:rPr>
                <w:rFonts w:ascii="Arial" w:cs="Arial" w:eastAsia="Arial" w:hAnsi="Arial"/>
                <w:sz w:val="18"/>
                <w:szCs w:val="18"/>
                <w:color w:val="auto"/>
              </w:rPr>
              <w:t>(in thousands of dollars)</w:t>
            </w:r>
          </w:p>
        </w:tc>
        <w:tc>
          <w:tcPr>
            <w:tcW w:w="140" w:type="dxa"/>
            <w:vAlign w:val="bottom"/>
          </w:tcPr>
          <w:p>
            <w:pPr>
              <w:spacing w:after="0"/>
              <w:rPr>
                <w:sz w:val="20"/>
                <w:szCs w:val="20"/>
                <w:color w:val="auto"/>
              </w:rPr>
            </w:pPr>
          </w:p>
        </w:tc>
      </w:tr>
      <w:tr>
        <w:trPr>
          <w:trHeight w:val="250"/>
        </w:trPr>
        <w:tc>
          <w:tcPr>
            <w:tcW w:w="6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4"/>
          </w:tcPr>
          <w:p>
            <w:pPr>
              <w:jc w:val="right"/>
              <w:ind w:right="131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21"/>
                <w:szCs w:val="21"/>
                <w:color w:val="auto"/>
              </w:rPr>
            </w:pPr>
          </w:p>
        </w:tc>
      </w:tr>
      <w:tr>
        <w:trPr>
          <w:trHeight w:val="237"/>
        </w:trPr>
        <w:tc>
          <w:tcPr>
            <w:tcW w:w="6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June 30, 2023</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June 30, 2022</w:t>
            </w:r>
          </w:p>
        </w:tc>
        <w:tc>
          <w:tcPr>
            <w:tcW w:w="140" w:type="dxa"/>
            <w:vAlign w:val="bottom"/>
          </w:tcPr>
          <w:p>
            <w:pPr>
              <w:spacing w:after="0"/>
              <w:rPr>
                <w:sz w:val="20"/>
                <w:szCs w:val="20"/>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21,463</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w:t>
            </w:r>
          </w:p>
        </w:tc>
        <w:tc>
          <w:tcPr>
            <w:tcW w:w="140" w:type="dxa"/>
            <w:vAlign w:val="bottom"/>
            <w:shd w:val="clear" w:color="auto" w:fill="CFF0FC"/>
          </w:tcPr>
          <w:p>
            <w:pPr>
              <w:spacing w:after="0"/>
              <w:rPr>
                <w:sz w:val="21"/>
                <w:szCs w:val="21"/>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noncash disclosures:</w:t>
            </w: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Cash dividends declared not paid</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2,834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2,626</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NOTE 1 BASIS OF PRESENTATION AND OTHER</w:t>
      </w:r>
    </w:p>
    <w:p>
      <w:pPr>
        <w:spacing w:after="0" w:line="117"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2023 are not necessarily indicative of the results that are expected for the year ended December 31, 2023. The Condensed Consolidated Balance Sheet of the Company as of December 31, 2022, has been derived from the audited Condensed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2022.</w:t>
      </w:r>
    </w:p>
    <w:p>
      <w:pPr>
        <w:spacing w:after="0" w:line="154"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2 BUSINESS COMBINATION AND ASSET PURCHASE</w:t>
      </w:r>
    </w:p>
    <w:p>
      <w:pPr>
        <w:spacing w:after="0" w:line="333"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FMAO stock or $24.00 per share in cash for each PPSF share owned, subject to a requirement under the Merger Agreement that the minimum number of PPSF shares exchanged for Farmers &amp; Merchants Bancorp, Inc.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also expects to continue to reduce costs through economies of scale.</w:t>
      </w:r>
    </w:p>
    <w:p>
      <w:pPr>
        <w:spacing w:after="0" w:line="361"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resulting from the acquisition consists largely of the synergies and economies of scale expected from combining the operations of the Company and Peoples Federal Savings and Loan Association. Of that total amount, none of the purchase price is deductible for tax purposes. The following table summarizes the consideration paid for Peoples Federal Savings and Loan Association and the amounts of the assets acquired and liabilities assumed recognized at the acquisition date.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70"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repurchased (125 shares)</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64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w w:val="98"/>
              </w:rPr>
              <w:t>Recognized amounts of identifiable assets acquired and liabilities assumed</w:t>
            </w: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Other securities, at cost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141,818</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Noninterest bearing</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Interest bearing</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111,858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Federal Home Loan Bank (FHLB) advances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-3350895</wp:posOffset>
            </wp:positionV>
            <wp:extent cx="68580" cy="805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058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-1456690</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The fair value of the assets acquired included loans with a fair value of $101.8 million. The gross principal and contractual interest due under the contracts is $116.1 million of which none is expected to be uncollectible. The loans have a weighted average life of 44.4 months.</w:t>
      </w:r>
    </w:p>
    <w:p>
      <w:pPr>
        <w:spacing w:after="0" w:line="32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fair value of building and land included in premises and equipment was written up $581 thousand with $597 thousand attributable to the buildings and is being amortized over the remaining life of each building. The combined average remaining life of the building is 12.8 years.</w:t>
      </w:r>
    </w:p>
    <w:p>
      <w:pPr>
        <w:spacing w:after="0" w:line="313"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The fair value for certificates of deposit incorporated a valuation amount of $662 thousand which is being amortized over 1.1 years. The fair value of Federal Home Loan Bank (FHLB) advances included a valuation amount of $69 thousand which is being amortized over 5.2 years.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Three Months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Three Months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Six Months</w:t>
            </w: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2"/>
              </w:rPr>
              <w:t>Six Months</w:t>
            </w: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June 30, 2023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87"/>
              </w:rPr>
              <w:t>June 30, 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June 30, 2023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85"/>
              </w:rPr>
              <w:t>June 30, 2022</w:t>
            </w:r>
          </w:p>
        </w:tc>
        <w:tc>
          <w:tcPr>
            <w:tcW w:w="100" w:type="dxa"/>
            <w:vAlign w:val="bottom"/>
          </w:tcPr>
          <w:p>
            <w:pPr>
              <w:spacing w:after="0"/>
              <w:rPr>
                <w:sz w:val="20"/>
                <w:szCs w:val="20"/>
                <w:color w:val="auto"/>
              </w:rPr>
            </w:pPr>
          </w:p>
        </w:tc>
      </w:tr>
      <w:tr>
        <w:trPr>
          <w:trHeight w:val="237"/>
        </w:trPr>
        <w:tc>
          <w:tcPr>
            <w:tcW w:w="232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r>
      <w:tr>
        <w:trPr>
          <w:trHeight w:val="24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23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(116 )</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15"/>
        </w:trPr>
        <w:tc>
          <w:tcPr>
            <w:tcW w:w="232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232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2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-187960</wp:posOffset>
            </wp:positionV>
            <wp:extent cx="603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6032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5969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98"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has had an opportunity to increase its deposit base and reduce transaction costs. The Company has reduced costs through economies of scale.</w:t>
      </w:r>
    </w:p>
    <w:p>
      <w:pPr>
        <w:spacing w:after="0" w:line="168"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70"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1"/>
                <w:szCs w:val="2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59,234</w:t>
            </w:r>
          </w:p>
        </w:tc>
        <w:tc>
          <w:tcPr>
            <w:tcW w:w="120" w:type="dxa"/>
            <w:vAlign w:val="bottom"/>
            <w:shd w:val="clear" w:color="auto" w:fill="CFF0FC"/>
          </w:tcPr>
          <w:p>
            <w:pPr>
              <w:spacing w:after="0"/>
              <w:rPr>
                <w:sz w:val="21"/>
                <w:szCs w:val="2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Common Shares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41,078</w:t>
            </w:r>
          </w:p>
        </w:tc>
        <w:tc>
          <w:tcPr>
            <w:tcW w:w="120" w:type="dxa"/>
            <w:vAlign w:val="bottom"/>
          </w:tcPr>
          <w:p>
            <w:pPr>
              <w:spacing w:after="0"/>
              <w:rPr>
                <w:sz w:val="21"/>
                <w:szCs w:val="21"/>
                <w:color w:val="auto"/>
              </w:rPr>
            </w:pPr>
          </w:p>
        </w:tc>
      </w:tr>
      <w:tr>
        <w:trPr>
          <w:trHeight w:val="277"/>
        </w:trPr>
        <w:tc>
          <w:tcPr>
            <w:tcW w:w="6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100,312</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53"/>
        </w:trPr>
        <w:tc>
          <w:tcPr>
            <w:tcW w:w="6400" w:type="dxa"/>
            <w:vAlign w:val="bottom"/>
          </w:tcPr>
          <w:p>
            <w:pPr>
              <w:spacing w:after="0"/>
              <w:rPr>
                <w:sz w:val="20"/>
                <w:szCs w:val="20"/>
                <w:color w:val="auto"/>
              </w:rPr>
            </w:pPr>
            <w:r>
              <w:rPr>
                <w:rFonts w:ascii="Arial" w:cs="Arial" w:eastAsia="Arial" w:hAnsi="Arial"/>
                <w:sz w:val="18"/>
                <w:szCs w:val="18"/>
                <w:b w:val="1"/>
                <w:bCs w:val="1"/>
                <w:color w:val="auto"/>
                <w:w w:val="98"/>
              </w:rPr>
              <w:t>Recognized amounts of identifiable assets acquired and liabilities assumed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6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44,975</w:t>
            </w:r>
          </w:p>
        </w:tc>
        <w:tc>
          <w:tcPr>
            <w:tcW w:w="120" w:type="dxa"/>
            <w:vAlign w:val="bottom"/>
          </w:tcPr>
          <w:p>
            <w:pPr>
              <w:spacing w:after="0"/>
              <w:rPr>
                <w:sz w:val="20"/>
                <w:szCs w:val="20"/>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 funds sold</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Interest-bearing time deposits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0"/>
                <w:szCs w:val="20"/>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securities, at cost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334,661</w:t>
            </w:r>
          </w:p>
        </w:tc>
        <w:tc>
          <w:tcPr>
            <w:tcW w:w="120" w:type="dxa"/>
            <w:vAlign w:val="bottom"/>
          </w:tcPr>
          <w:p>
            <w:pPr>
              <w:spacing w:after="0"/>
              <w:rPr>
                <w:sz w:val="20"/>
                <w:szCs w:val="20"/>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Premises and equipment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25,220</w:t>
            </w:r>
          </w:p>
        </w:tc>
        <w:tc>
          <w:tcPr>
            <w:tcW w:w="120" w:type="dxa"/>
            <w:vAlign w:val="bottom"/>
          </w:tcPr>
          <w:p>
            <w:pPr>
              <w:spacing w:after="0"/>
              <w:rPr>
                <w:sz w:val="20"/>
                <w:szCs w:val="20"/>
                <w:color w:val="auto"/>
              </w:rPr>
            </w:pPr>
          </w:p>
        </w:tc>
      </w:tr>
      <w:tr>
        <w:trPr>
          <w:trHeight w:val="249"/>
        </w:trPr>
        <w:tc>
          <w:tcPr>
            <w:tcW w:w="6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Assets Purchased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420,162</w:t>
            </w:r>
          </w:p>
        </w:tc>
        <w:tc>
          <w:tcPr>
            <w:tcW w:w="12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ind w:left="360"/>
              <w:spacing w:after="0"/>
              <w:rPr>
                <w:sz w:val="20"/>
                <w:szCs w:val="20"/>
                <w:color w:val="auto"/>
              </w:rPr>
            </w:pPr>
            <w:r>
              <w:rPr>
                <w:rFonts w:ascii="Arial" w:cs="Arial" w:eastAsia="Arial" w:hAnsi="Arial"/>
                <w:sz w:val="18"/>
                <w:szCs w:val="18"/>
                <w:color w:val="auto"/>
              </w:rPr>
              <w:t>Noninterest bearing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49"/>
        </w:trPr>
        <w:tc>
          <w:tcPr>
            <w:tcW w:w="64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Interest bearing</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309,090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0"/>
        </w:trPr>
        <w:tc>
          <w:tcPr>
            <w:tcW w:w="640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311,108</w:t>
            </w:r>
          </w:p>
        </w:tc>
        <w:tc>
          <w:tcPr>
            <w:tcW w:w="120" w:type="dxa"/>
            <w:vAlign w:val="bottom"/>
          </w:tcPr>
          <w:p>
            <w:pPr>
              <w:spacing w:after="0"/>
              <w:rPr>
                <w:sz w:val="20"/>
                <w:szCs w:val="20"/>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 Home Loan Bank (FHLB) advances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6,218</w:t>
            </w:r>
          </w:p>
        </w:tc>
        <w:tc>
          <w:tcPr>
            <w:tcW w:w="120" w:type="dxa"/>
            <w:vAlign w:val="bottom"/>
            <w:shd w:val="clear" w:color="auto" w:fill="CFF0FC"/>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1"/>
                <w:szCs w:val="21"/>
                <w:color w:val="auto"/>
              </w:rPr>
            </w:pPr>
          </w:p>
        </w:tc>
      </w:tr>
      <w:tr>
        <w:trPr>
          <w:trHeight w:val="277"/>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319,850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-3496945</wp:posOffset>
            </wp:positionV>
            <wp:extent cx="68580" cy="488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-1619250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-659765</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fair value of the assets acquired included loans with a fair value of $334.7 million. The gross principal and contractual interest due under the contracts is $403.3 million, of which $5.6 million is expected to be uncollectible. The loans have a weighted average life of 52 months.</w:t>
      </w:r>
    </w:p>
    <w:p>
      <w:pPr>
        <w:spacing w:after="0" w:line="8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43"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The fair value for certificates of deposit incorporated a valuation amount of $3.9 million which was accreted over 1.6 years. The fair value of Federal Home Loan Bank (FHLB) advances included a valuation amount of $218 thousand which is being accreted over 2.6 years.</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Six Months</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Six Months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June 30, 2023</w:t>
            </w:r>
          </w:p>
        </w:tc>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June 30, 2022</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2022</w:t>
            </w: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(345 )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(689 )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(649 )</w:t>
            </w:r>
          </w:p>
        </w:tc>
        <w:tc>
          <w:tcPr>
            <w:tcW w:w="168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30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2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21"/>
        </w:trPr>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-616585</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-616585</wp:posOffset>
            </wp:positionV>
            <wp:extent cx="603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-616585</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-616585</wp:posOffset>
            </wp:positionV>
            <wp:extent cx="5969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 As a result of the acquisition, the Company has increased its deposit base and reduced transaction costs. The Company has reduced costs through economies of scale.</w:t>
      </w:r>
    </w:p>
    <w:p>
      <w:pPr>
        <w:spacing w:after="0" w:line="136"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w w:val="98"/>
              </w:rPr>
              <w:t>Recognized amounts of identifiable assets acquired and liabilities assumed</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Interest-bearing time deposits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Securities - available-for-sale</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Other securities, at cost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 Purchased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137,058</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Noninterest bearing</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Interest bearing</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Assumed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117,057</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-1302385</wp:posOffset>
            </wp:positionV>
            <wp:extent cx="685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The fair value of the assets acquired included loans with a fair value of $52.4 million. The gross principal and contractual interest due under the contracts is $63.7 million, of which $1.1 million is expected to be uncollectible. The loans have a weighted average life of 52 months.</w:t>
      </w:r>
    </w:p>
    <w:p>
      <w:pPr>
        <w:spacing w:after="0" w:line="11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fair value of building and land included in premises and equipment was written down by $596 thousand with $244 thousand attributable to buildings and will be accreted over the useful life of 39 years,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for certificates of deposit incorporated a valuation amount of $59 thousand which was accreted over 1.4 years.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Six Months</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Six Months</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June 30, 2023</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June 30, 2022</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2022</w:t>
            </w:r>
          </w:p>
        </w:tc>
      </w:tr>
      <w:tr>
        <w:trPr>
          <w:trHeight w:val="237"/>
        </w:trPr>
        <w:tc>
          <w:tcPr>
            <w:tcW w:w="230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r>
      <w:tr>
        <w:trPr>
          <w:trHeight w:val="243"/>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21"/>
                <w:szCs w:val="21"/>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(88 )</w:t>
            </w:r>
          </w:p>
        </w:tc>
      </w:tr>
      <w:tr>
        <w:trPr>
          <w:trHeight w:val="215"/>
        </w:trPr>
        <w:tc>
          <w:tcPr>
            <w:tcW w:w="230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230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-187960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603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The results of operations of Ossian State Bank, Perpetual Federal Savings Bank and Peoples Federal Savings and Loan Bank have been included in the Company’s consolidated financial statements since the acquisition dates of April 30, 2021, October 1, 2021 and October 1, 2022, respectively. The following schedule includes pro-forma results for the three and six months ended June 30, 2023 and 2022 as if the Peoples Federal Savings and Loan Bank acquisition had occurred as of the beginning of the comparable prior reporting period. The acquisitions of Ossian State Bank and Perpetual Federal Savings Bank are already included as they had occurred prior to that period.</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jc w:val="right"/>
              <w:ind w:right="70"/>
              <w:spacing w:after="0"/>
              <w:rPr>
                <w:sz w:val="20"/>
                <w:szCs w:val="20"/>
                <w:color w:val="auto"/>
              </w:rPr>
            </w:pPr>
            <w:r>
              <w:rPr>
                <w:rFonts w:ascii="Arial" w:cs="Arial" w:eastAsia="Arial" w:hAnsi="Arial"/>
                <w:sz w:val="18"/>
                <w:szCs w:val="18"/>
                <w:color w:val="auto"/>
                <w:w w:val="89"/>
              </w:rPr>
              <w:t>(in thousands of dollars,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5"/>
          </w:tcPr>
          <w:p>
            <w:pPr>
              <w:jc w:val="right"/>
              <w:ind w:right="90"/>
              <w:spacing w:after="0"/>
              <w:rPr>
                <w:sz w:val="20"/>
                <w:szCs w:val="20"/>
                <w:color w:val="auto"/>
              </w:rPr>
            </w:pPr>
            <w:r>
              <w:rPr>
                <w:rFonts w:ascii="Arial" w:cs="Arial" w:eastAsia="Arial" w:hAnsi="Arial"/>
                <w:sz w:val="18"/>
                <w:szCs w:val="18"/>
                <w:color w:val="auto"/>
                <w:w w:val="89"/>
              </w:rPr>
              <w:t>(in thousands of dollars,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jc w:val="right"/>
              <w:ind w:right="130"/>
              <w:spacing w:after="0"/>
              <w:rPr>
                <w:sz w:val="20"/>
                <w:szCs w:val="20"/>
                <w:color w:val="auto"/>
              </w:rPr>
            </w:pPr>
            <w:r>
              <w:rPr>
                <w:rFonts w:ascii="Arial" w:cs="Arial" w:eastAsia="Arial" w:hAnsi="Arial"/>
                <w:sz w:val="18"/>
                <w:szCs w:val="18"/>
                <w:color w:val="auto"/>
                <w:w w:val="92"/>
              </w:rPr>
              <w:t>except per share data)</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jc w:val="right"/>
              <w:ind w:right="150"/>
              <w:spacing w:after="0"/>
              <w:rPr>
                <w:sz w:val="20"/>
                <w:szCs w:val="20"/>
                <w:color w:val="auto"/>
              </w:rPr>
            </w:pPr>
            <w:r>
              <w:rPr>
                <w:rFonts w:ascii="Arial" w:cs="Arial" w:eastAsia="Arial" w:hAnsi="Arial"/>
                <w:sz w:val="18"/>
                <w:szCs w:val="18"/>
                <w:color w:val="auto"/>
                <w:w w:val="92"/>
              </w:rPr>
              <w:t>except per share data)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5"/>
          </w:tcPr>
          <w:p>
            <w:pPr>
              <w:jc w:val="right"/>
              <w:ind w:right="150"/>
              <w:spacing w:after="0"/>
              <w:rPr>
                <w:sz w:val="20"/>
                <w:szCs w:val="20"/>
                <w:color w:val="auto"/>
              </w:rPr>
            </w:pPr>
            <w:r>
              <w:rPr>
                <w:rFonts w:ascii="Arial" w:cs="Arial" w:eastAsia="Arial" w:hAnsi="Arial"/>
                <w:sz w:val="18"/>
                <w:szCs w:val="18"/>
                <w:color w:val="auto"/>
                <w:w w:val="97"/>
              </w:rPr>
              <w:t>Three Months Ended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5"/>
          </w:tcPr>
          <w:p>
            <w:pPr>
              <w:jc w:val="right"/>
              <w:ind w:right="25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3"/>
              </w:rPr>
              <w:t>June 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r>
              <w:rPr>
                <w:rFonts w:ascii="Arial" w:cs="Arial" w:eastAsia="Arial" w:hAnsi="Arial"/>
                <w:sz w:val="18"/>
                <w:szCs w:val="18"/>
                <w:b w:val="1"/>
                <w:bCs w:val="1"/>
                <w:color w:val="auto"/>
              </w:rPr>
              <w:t>Summary of Operations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 Before Provision</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20,118</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23,097</w:t>
            </w:r>
          </w:p>
        </w:tc>
        <w:tc>
          <w:tcPr>
            <w:tcW w:w="3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41,800</w:t>
            </w:r>
          </w:p>
        </w:tc>
        <w:tc>
          <w:tcPr>
            <w:tcW w:w="3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for Credit Losses</w:t>
            </w:r>
          </w:p>
        </w:tc>
        <w:tc>
          <w:tcPr>
            <w:tcW w:w="120" w:type="dxa"/>
            <w:vAlign w:val="bottom"/>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340" w:type="dxa"/>
            <w:vAlign w:val="bottom"/>
            <w:gridSpan w:val="3"/>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380" w:type="dxa"/>
            <w:vAlign w:val="bottom"/>
            <w:gridSpan w:val="2"/>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320" w:type="dxa"/>
            <w:vAlign w:val="bottom"/>
            <w:gridSpan w:val="3"/>
            <w:vMerge w:val="continue"/>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Credit Losses</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21,469</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14,344</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10,563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2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22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Borders>
              <w:bottom w:val="single" w:sz="8" w:color="CFF0FC"/>
            </w:tcBorders>
            <w:gridSpan w:val="2"/>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bottom w:val="single" w:sz="8" w:color="CFF0FC"/>
            </w:tcBorders>
            <w:gridSpan w:val="2"/>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-685165</wp:posOffset>
            </wp:positionV>
            <wp:extent cx="685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-685165</wp:posOffset>
            </wp:positionV>
            <wp:extent cx="5969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-685165</wp:posOffset>
            </wp:positionV>
            <wp:extent cx="60325"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-685165</wp:posOffset>
            </wp:positionV>
            <wp:extent cx="5969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-367665</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-367665</wp:posOffset>
            </wp:positionV>
            <wp:extent cx="5969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-367665</wp:posOffset>
            </wp:positionV>
            <wp:extent cx="603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-367665</wp:posOffset>
            </wp:positionV>
            <wp:extent cx="5969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pro-forma information includes adjustments for interest income on loans, amortization of intangibles arising from the transactions, interest expense on deposits acquired, premises expense for the branches acquired and the related income tax effects. The pro-forma information for the three and six months ended June 30, 2023 includes approximately $342 and $709 thousand, net of tax, respectively, of operating revenue from Peoples Federal Savings and Loan Bank since January 1, 2023.</w:t>
      </w:r>
    </w:p>
    <w:p>
      <w:pPr>
        <w:spacing w:after="0" w:line="160"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The pro-forma financial information is presented for informational purposes only and is not indicative of the results of operations that actually would have been achieved had the acquisitions been consummated as of that time, nor is it intended to be a projection of future results.</w:t>
      </w:r>
    </w:p>
    <w:p>
      <w:pPr>
        <w:spacing w:after="0" w:line="8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consideration for the acquisition was approximately $78.9 million consisting of $8.5 million in cash and $70.4 million in stock. As a result of the acquisition, the Company has had an opportunity to increase its deposit base and reduce transaction costs. The Company has also reduced costs through economies of scale.</w:t>
      </w:r>
    </w:p>
    <w:p>
      <w:pPr>
        <w:spacing w:after="0" w:line="157"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Changes in accretable yield, or income expected to be collected, are as follows:</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Six Months</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Six Months</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June 30, 2023</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June 30, 2022</w:t>
            </w: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June 30, 2022</w:t>
            </w:r>
          </w:p>
        </w:tc>
      </w:tr>
      <w:tr>
        <w:trPr>
          <w:trHeight w:val="237"/>
        </w:trPr>
        <w:tc>
          <w:tcPr>
            <w:tcW w:w="230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20"/>
                <w:szCs w:val="20"/>
                <w:color w:val="auto"/>
              </w:rPr>
            </w:pPr>
          </w:p>
        </w:tc>
        <w:tc>
          <w:tcPr>
            <w:tcW w:w="1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r>
      <w:tr>
        <w:trPr>
          <w:trHeight w:val="243"/>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FF0FC"/>
          </w:tcPr>
          <w:p>
            <w:pPr>
              <w:spacing w:after="0"/>
              <w:rPr>
                <w:sz w:val="21"/>
                <w:szCs w:val="21"/>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49"/>
        </w:trPr>
        <w:tc>
          <w:tcPr>
            <w:tcW w:w="2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(212 )</w:t>
            </w:r>
          </w:p>
        </w:tc>
      </w:tr>
      <w:tr>
        <w:trPr>
          <w:trHeight w:val="215"/>
        </w:trPr>
        <w:tc>
          <w:tcPr>
            <w:tcW w:w="2300" w:type="dxa"/>
            <w:vAlign w:val="bottom"/>
          </w:tcPr>
          <w:p>
            <w:pPr>
              <w:ind w:left="180"/>
              <w:spacing w:after="0"/>
              <w:rPr>
                <w:sz w:val="20"/>
                <w:szCs w:val="20"/>
                <w:color w:val="auto"/>
              </w:rPr>
            </w:pPr>
            <w:r>
              <w:rPr>
                <w:rFonts w:ascii="Arial" w:cs="Arial" w:eastAsia="Arial" w:hAnsi="Arial"/>
                <w:sz w:val="18"/>
                <w:szCs w:val="18"/>
                <w:color w:val="auto"/>
              </w:rPr>
              <w:t>Reclassification from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ind w:left="320"/>
              <w:spacing w:after="0"/>
              <w:rPr>
                <w:sz w:val="20"/>
                <w:szCs w:val="20"/>
                <w:color w:val="auto"/>
              </w:rPr>
            </w:pPr>
            <w:r>
              <w:rPr>
                <w:rFonts w:ascii="Arial" w:cs="Arial" w:eastAsia="Arial" w:hAnsi="Arial"/>
                <w:sz w:val="18"/>
                <w:szCs w:val="18"/>
                <w:color w:val="auto"/>
              </w:rPr>
              <w:t>nonaccretable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2300" w:type="dxa"/>
            <w:vAlign w:val="bottom"/>
          </w:tcPr>
          <w:p>
            <w:pPr>
              <w:ind w:left="320"/>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Disposals</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-187960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6032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$668.0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192"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of the core deposit intangible for the six months ended June 30, 2022 was $398 thousand. Of the approximately $1.7 million to be expensed in 2023, $828 thousand has been expensed for the six months ended June 30, 2023. Annual amortization of core deposit intangible assets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w w:val="92"/>
              </w:rPr>
              <w:t>(In 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5"/>
              </w:rPr>
              <w:t>Geneva</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Ossian</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90"/>
              </w:rPr>
              <w:t>Perpetual</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w w:val="92"/>
              </w:rPr>
              <w:t>Peoples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1,656</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1,680</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747</w:t>
            </w:r>
          </w:p>
        </w:tc>
        <w:tc>
          <w:tcPr>
            <w:tcW w:w="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549</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5,811</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8,787</w:t>
            </w:r>
          </w:p>
        </w:tc>
        <w:tc>
          <w:tcPr>
            <w:tcW w:w="1680" w:type="dxa"/>
            <w:vAlign w:val="bottom"/>
          </w:tcPr>
          <w:p>
            <w:pPr>
              <w:spacing w:after="0"/>
              <w:rPr>
                <w:sz w:val="24"/>
                <w:szCs w:val="24"/>
                <w:color w:val="auto"/>
              </w:rPr>
            </w:pPr>
          </w:p>
        </w:tc>
      </w:tr>
      <w:tr>
        <w:trPr>
          <w:trHeight w:val="743"/>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-591185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-574040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-591185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-574040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-591185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-574040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-591185</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-574040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30"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ACFR was founded in 1994 by R. Lee Flueckiger and provided clients and their families with financial confidence through personalized investment planning and services. As of November 30, 2020, ACFR had approximately $83 million of assets under management and over 450 clients.</w:t>
      </w:r>
    </w:p>
    <w:p>
      <w:pPr>
        <w:spacing w:after="0" w:line="15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4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amortization expense of the customer list intangible for the six months ended June 30, 2022 was $61 thousand. Of the $123 thousand to be expensed in 2023, $61 thousand has been expensed for the six months ended June 30, 2023. Annual amortization expense of customer list intangible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Adams County Financial Resources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1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2024</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2026</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2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230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3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7"/>
        </w:trPr>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-454025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-436245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NOTE 3 SECURITIES</w:t>
      </w:r>
    </w:p>
    <w:p>
      <w:pPr>
        <w:spacing w:after="0" w:line="2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June 30, 2023 and December 31, 2022, are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37"/>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7"/>
              </w:rPr>
              <w:t>June 30, 2023</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5"/>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50"/>
        </w:trPr>
        <w:tc>
          <w:tcPr>
            <w:tcW w:w="5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4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U.S. Treasury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95,034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(8,907 )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86,127</w:t>
            </w:r>
          </w:p>
        </w:tc>
      </w:tr>
      <w:tr>
        <w:trPr>
          <w:trHeight w:val="249"/>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144,048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(16,157 )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127,891</w:t>
            </w: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95,366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(13,710 )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81,656</w:t>
            </w:r>
          </w:p>
        </w:tc>
      </w:tr>
      <w:tr>
        <w:trPr>
          <w:trHeight w:val="243"/>
        </w:trPr>
        <w:tc>
          <w:tcPr>
            <w:tcW w:w="5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74,249</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67,551</w:t>
            </w: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408,697</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(45,541 )</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363,225</w:t>
            </w: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09"/>
        </w:trPr>
        <w:tc>
          <w:tcPr>
            <w:tcW w:w="5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December 31, 2022</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5"/>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90"/>
              </w:rPr>
              <w:t>Fair</w:t>
            </w:r>
          </w:p>
        </w:tc>
      </w:tr>
      <w:tr>
        <w:trPr>
          <w:trHeight w:val="250"/>
        </w:trPr>
        <w:tc>
          <w:tcPr>
            <w:tcW w:w="5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Cost</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r>
      <w:tr>
        <w:trPr>
          <w:trHeight w:val="24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U.S. Treasury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104,507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(9,829 )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94,678</w:t>
            </w:r>
          </w:p>
        </w:tc>
      </w:tr>
      <w:tr>
        <w:trPr>
          <w:trHeight w:val="249"/>
        </w:trPr>
        <w:tc>
          <w:tcPr>
            <w:tcW w:w="5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156,817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139,767</w:t>
            </w: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101,068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(14,141 )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86,927</w:t>
            </w:r>
          </w:p>
        </w:tc>
      </w:tr>
      <w:tr>
        <w:trPr>
          <w:trHeight w:val="243"/>
        </w:trPr>
        <w:tc>
          <w:tcPr>
            <w:tcW w:w="5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76,794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69,417</w:t>
            </w: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439,186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(48,466 )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390,789</w:t>
            </w:r>
          </w:p>
        </w:tc>
      </w:tr>
      <w:tr>
        <w:trPr>
          <w:trHeight w:val="20"/>
        </w:trPr>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-2236470</wp:posOffset>
            </wp:positionV>
            <wp:extent cx="939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-2236470</wp:posOffset>
            </wp:positionV>
            <wp:extent cx="9461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-2236470</wp:posOffset>
            </wp:positionV>
            <wp:extent cx="10287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-187960</wp:posOffset>
            </wp:positionV>
            <wp:extent cx="939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9461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10287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20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3" w:lineRule="exact"/>
        <w:rPr>
          <w:sz w:val="20"/>
          <w:szCs w:val="20"/>
          <w:color w:val="auto"/>
        </w:rPr>
      </w:pPr>
    </w:p>
    <w:p>
      <w:pPr>
        <w:ind w:left="2260" w:hanging="75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60" w:hanging="755"/>
        <w:spacing w:after="0" w:line="250"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60" w:hanging="755"/>
        <w:spacing w:after="0"/>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60" w:hanging="755"/>
        <w:spacing w:after="0" w:line="260" w:lineRule="auto"/>
        <w:tabs>
          <w:tab w:leader="none" w:pos="2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5"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If the unrealized loss is determined to be the result of a credit loss,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consolidated income statement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attributable to changes in interest rates, not credit quality.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2023 and December 31, 2022,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9"/>
              </w:rPr>
              <w:t>June 30, 2023</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0"/>
              </w:rPr>
              <w:t>Less Than Twelve Months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Twelve Months &amp; Over</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0"/>
                <w:szCs w:val="20"/>
                <w:color w:val="auto"/>
              </w:rPr>
            </w:pPr>
          </w:p>
        </w:tc>
      </w:tr>
      <w:tr>
        <w:trPr>
          <w:trHeight w:val="215"/>
        </w:trPr>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Unrealized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c>
          <w:tcPr>
            <w:tcW w:w="1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r>
      <w:tr>
        <w:trPr>
          <w:trHeight w:val="250"/>
        </w:trPr>
        <w:tc>
          <w:tcPr>
            <w:tcW w:w="28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7"/>
              </w:rPr>
              <w:t>Losses</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Losses</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r>
      <w:tr>
        <w:trPr>
          <w:trHeight w:val="24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(8,896 )</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85,640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(8,907 )</w:t>
            </w:r>
          </w:p>
        </w:tc>
        <w:tc>
          <w:tcPr>
            <w:tcW w:w="3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86,127</w:t>
            </w:r>
          </w:p>
        </w:tc>
      </w:tr>
      <w:tr>
        <w:trPr>
          <w:trHeight w:val="237"/>
        </w:trPr>
        <w:tc>
          <w:tcPr>
            <w:tcW w:w="28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127,891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(16,157 )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127,891</w:t>
            </w:r>
          </w:p>
        </w:tc>
      </w:tr>
      <w:tr>
        <w:trPr>
          <w:trHeight w:val="24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2,826</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(13,586 )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78,830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(13,710 )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81,656</w:t>
            </w:r>
          </w:p>
        </w:tc>
      </w:tr>
      <w:tr>
        <w:trPr>
          <w:trHeight w:val="237"/>
        </w:trPr>
        <w:tc>
          <w:tcPr>
            <w:tcW w:w="28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52,499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63,312</w:t>
            </w:r>
          </w:p>
        </w:tc>
      </w:tr>
      <w:tr>
        <w:trPr>
          <w:trHeight w:val="277"/>
        </w:trPr>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14,126</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(45,042 )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344,860</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(45,541 )</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358,986</w:t>
            </w:r>
          </w:p>
        </w:tc>
      </w:tr>
      <w:tr>
        <w:trPr>
          <w:trHeight w:val="682"/>
        </w:trPr>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7"/>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89"/>
              </w:rPr>
              <w:t>December 31, 2022</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1"/>
              </w:rPr>
              <w:t>Less Than Twelve Months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Twelve Months &amp; Over</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0"/>
                <w:szCs w:val="20"/>
                <w:color w:val="auto"/>
              </w:rPr>
            </w:pPr>
          </w:p>
        </w:tc>
      </w:tr>
      <w:tr>
        <w:trPr>
          <w:trHeight w:val="215"/>
        </w:trPr>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color w:val="auto"/>
                <w:w w:val="90"/>
              </w:rPr>
              <w:t>Fair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Unrealized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6"/>
              </w:rPr>
              <w:t>Fair</w:t>
            </w:r>
          </w:p>
        </w:tc>
        <w:tc>
          <w:tcPr>
            <w:tcW w:w="1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250"/>
              <w:spacing w:after="0"/>
              <w:rPr>
                <w:sz w:val="20"/>
                <w:szCs w:val="20"/>
                <w:color w:val="auto"/>
              </w:rPr>
            </w:pPr>
            <w:r>
              <w:rPr>
                <w:rFonts w:ascii="Arial" w:cs="Arial" w:eastAsia="Arial" w:hAnsi="Arial"/>
                <w:sz w:val="18"/>
                <w:szCs w:val="18"/>
                <w:color w:val="auto"/>
                <w:w w:val="90"/>
              </w:rPr>
              <w:t>Fair</w:t>
            </w:r>
          </w:p>
        </w:tc>
      </w:tr>
      <w:tr>
        <w:trPr>
          <w:trHeight w:val="250"/>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Losses</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Value</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Losses</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Value</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r>
      <w:tr>
        <w:trPr>
          <w:trHeight w:val="24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(207 )</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9,121</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(9,622 )</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85,557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(9,829 )</w:t>
            </w:r>
          </w:p>
        </w:tc>
        <w:tc>
          <w:tcPr>
            <w:tcW w:w="3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94,678</w:t>
            </w:r>
          </w:p>
        </w:tc>
      </w:tr>
      <w:tr>
        <w:trPr>
          <w:trHeight w:val="237"/>
        </w:trPr>
        <w:tc>
          <w:tcPr>
            <w:tcW w:w="28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24,560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(15,969 )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114,906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(17,050 )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139,466</w:t>
            </w:r>
          </w:p>
        </w:tc>
      </w:tr>
      <w:tr>
        <w:trPr>
          <w:trHeight w:val="24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26,905</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86,927</w:t>
            </w:r>
          </w:p>
        </w:tc>
      </w:tr>
      <w:tr>
        <w:trPr>
          <w:trHeight w:val="237"/>
        </w:trPr>
        <w:tc>
          <w:tcPr>
            <w:tcW w:w="28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38,771</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25,610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64,381</w:t>
            </w:r>
          </w:p>
        </w:tc>
      </w:tr>
      <w:tr>
        <w:trPr>
          <w:trHeight w:val="277"/>
        </w:trPr>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(6,965 )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99,357</w:t>
            </w:r>
          </w:p>
        </w:tc>
        <w:tc>
          <w:tcPr>
            <w:tcW w:w="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(41,501 )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286,095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(48,466 )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385,452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-2065020</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-2048510</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-2065020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-2048510</wp:posOffset>
            </wp:positionV>
            <wp:extent cx="93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-2065020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-2048510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-2065020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-2048510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-2065020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-2048510</wp:posOffset>
            </wp:positionV>
            <wp:extent cx="93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six months ended June 30, 2023 and June 30, 2022.</w:t>
      </w:r>
    </w:p>
    <w:p>
      <w:pPr>
        <w:spacing w:after="0" w:line="293"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1680" w:type="dxa"/>
            <w:vAlign w:val="bottom"/>
            <w:gridSpan w:val="4"/>
          </w:tcPr>
          <w:p>
            <w:pPr>
              <w:jc w:val="right"/>
              <w:ind w:right="17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w:t>
            </w:r>
          </w:p>
        </w:tc>
      </w:tr>
      <w:tr>
        <w:trPr>
          <w:trHeight w:val="250"/>
        </w:trPr>
        <w:tc>
          <w:tcPr>
            <w:tcW w:w="3820" w:type="dxa"/>
            <w:vAlign w:val="bottom"/>
          </w:tcPr>
          <w:p>
            <w:pPr>
              <w:spacing w:after="0"/>
              <w:rPr>
                <w:sz w:val="21"/>
                <w:szCs w:val="21"/>
                <w:color w:val="auto"/>
              </w:rPr>
            </w:pPr>
          </w:p>
        </w:tc>
        <w:tc>
          <w:tcPr>
            <w:tcW w:w="16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(In Thousands)</w:t>
            </w:r>
          </w:p>
        </w:tc>
      </w:tr>
      <w:tr>
        <w:trPr>
          <w:trHeight w:val="237"/>
        </w:trPr>
        <w:tc>
          <w:tcPr>
            <w:tcW w:w="38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4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Gross realized losses</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realized losses</w:t>
            </w: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(891 )</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Tax benefit related to net realized losses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-205105</wp:posOffset>
            </wp:positionV>
            <wp:extent cx="136334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63345" cy="205740"/>
                    </a:xfrm>
                    <a:prstGeom prst="rect">
                      <a:avLst/>
                    </a:prstGeom>
                    <a:noFill/>
                  </pic:spPr>
                </pic:pic>
              </a:graphicData>
            </a:graphic>
          </wp:anchor>
        </w:drawing>
      </w:r>
    </w:p>
    <w:p>
      <w:pPr>
        <w:spacing w:after="0" w:line="20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net realized losses on sales and related tax benefit is a reclassification out of accumulated other comprehensive income (loss). The net realized losses are included in net loss on sale of available-for-sale securities and the related tax benefit is included in income taxes in the condensed consolidated statements of income and comprehensive income (loss).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The amortized cost and fair value of debt securities at June 30, 2023,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8"/>
              </w:rPr>
              <w:t>Amortized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Fair Value</w:t>
            </w: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20,116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19,736</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238,773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213,819</w:t>
            </w: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50,560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44,150</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After ten years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3,864</w:t>
            </w:r>
          </w:p>
        </w:tc>
      </w:tr>
      <w:tr>
        <w:trPr>
          <w:trHeight w:val="236"/>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313,331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281,569</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95,366</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81,656</w:t>
            </w:r>
          </w:p>
        </w:tc>
      </w:tr>
      <w:tr>
        <w:trPr>
          <w:trHeight w:val="277"/>
        </w:trPr>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408,697</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363,225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93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Investments with a carrying value of $242.5 million and $134.8 million at June 30, 2023 and December 31, 2022, respectively, were pledged to secure public deposits and securities sold under repurchase agreements.</w:t>
      </w:r>
    </w:p>
    <w:p>
      <w:pPr>
        <w:spacing w:after="0" w:line="143"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Other securities include Federal Home Loan Bank of Cincinnati and Indianapolis stock in the amount of $15.7 million as of June 30, 2023 and $8.1 million as of December 31, 2022. Other securities also includes Ohio Equity Fund for Housing Limited Partnership funding of $1.8 million and $1.7 million out of a total of $4.0 million committed as of June 30, 2023 and December 31, 2022, respectively.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 balances as of June 30, 2023 and December 31, 2022 are summarized below:</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1310"/>
              <w:spacing w:after="0"/>
              <w:rPr>
                <w:sz w:val="20"/>
                <w:szCs w:val="20"/>
                <w:color w:val="auto"/>
              </w:rPr>
            </w:pPr>
            <w:r>
              <w:rPr>
                <w:rFonts w:ascii="Arial" w:cs="Arial" w:eastAsia="Arial" w:hAnsi="Arial"/>
                <w:sz w:val="18"/>
                <w:szCs w:val="18"/>
                <w:color w:val="auto"/>
              </w:rPr>
              <w:t>(In Thousands)</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Loans:</w:t>
            </w:r>
          </w:p>
        </w:tc>
        <w:tc>
          <w:tcPr>
            <w:tcW w:w="220" w:type="dxa"/>
            <w:vAlign w:val="bottom"/>
          </w:tcPr>
          <w:p>
            <w:pPr>
              <w:spacing w:after="0"/>
              <w:rPr>
                <w:sz w:val="17"/>
                <w:szCs w:val="17"/>
                <w:color w:val="auto"/>
              </w:rPr>
            </w:pPr>
          </w:p>
        </w:tc>
        <w:tc>
          <w:tcPr>
            <w:tcW w:w="158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98"/>
              </w:rPr>
              <w:t>June 30, 2023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88"/>
              </w:rPr>
              <w:t>December 31, 2022</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40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506,866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494,423</w:t>
            </w:r>
          </w:p>
        </w:tc>
      </w:tr>
      <w:tr>
        <w:trPr>
          <w:trHeight w:val="237"/>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230,837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220,819</w:t>
            </w:r>
          </w:p>
        </w:tc>
      </w:tr>
      <w:tr>
        <w:trPr>
          <w:trHeight w:val="249"/>
        </w:trPr>
        <w:tc>
          <w:tcPr>
            <w:tcW w:w="40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128,344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128,733</w:t>
            </w:r>
          </w:p>
        </w:tc>
      </w:tr>
      <w:tr>
        <w:trPr>
          <w:trHeight w:val="237"/>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1,280,902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1,152,603</w:t>
            </w:r>
          </w:p>
        </w:tc>
      </w:tr>
      <w:tr>
        <w:trPr>
          <w:trHeight w:val="249"/>
        </w:trPr>
        <w:tc>
          <w:tcPr>
            <w:tcW w:w="40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253,444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242,360</w:t>
            </w:r>
          </w:p>
        </w:tc>
      </w:tr>
      <w:tr>
        <w:trPr>
          <w:trHeight w:val="237"/>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88,312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89,147</w:t>
            </w:r>
          </w:p>
        </w:tc>
      </w:tr>
      <w:tr>
        <w:trPr>
          <w:trHeight w:val="249"/>
        </w:trPr>
        <w:tc>
          <w:tcPr>
            <w:tcW w:w="40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28,996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29,818</w:t>
            </w:r>
          </w:p>
        </w:tc>
      </w:tr>
      <w:tr>
        <w:trPr>
          <w:trHeight w:val="230"/>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2,517,701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2,357,903</w:t>
            </w:r>
          </w:p>
        </w:tc>
      </w:tr>
      <w:tr>
        <w:trPr>
          <w:trHeight w:val="249"/>
        </w:trPr>
        <w:tc>
          <w:tcPr>
            <w:tcW w:w="40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Less: Net deferred loan fees and costs</w:t>
            </w:r>
          </w:p>
        </w:tc>
        <w:tc>
          <w:tcPr>
            <w:tcW w:w="2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(1,908 )</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(1,516 )</w:t>
            </w:r>
          </w:p>
        </w:tc>
      </w:tr>
      <w:tr>
        <w:trPr>
          <w:trHeight w:val="230"/>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2,515,793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2,356,387</w:t>
            </w:r>
          </w:p>
        </w:tc>
      </w:tr>
      <w:tr>
        <w:trPr>
          <w:trHeight w:val="249"/>
        </w:trPr>
        <w:tc>
          <w:tcPr>
            <w:tcW w:w="40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(24,910 )</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(20,313 )</w:t>
            </w:r>
          </w:p>
        </w:tc>
      </w:tr>
      <w:tr>
        <w:trPr>
          <w:trHeight w:val="23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Loans -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2,490,883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2,336,074</w:t>
            </w:r>
          </w:p>
        </w:tc>
      </w:tr>
      <w:tr>
        <w:trPr>
          <w:trHeight w:val="20"/>
        </w:trPr>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-822325</wp:posOffset>
            </wp:positionV>
            <wp:extent cx="128905"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-505460</wp:posOffset>
            </wp:positionV>
            <wp:extent cx="12890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12890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loans primarily fund public improvements in the Bank’s service area.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distribution of fixed rate loans and variable rate loans by major loan category is as follows as of June 30, 2023 and December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(In Thousands)</w:t>
            </w:r>
          </w:p>
        </w:tc>
        <w:tc>
          <w:tcPr>
            <w:tcW w:w="1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 2023</w:t>
            </w:r>
          </w:p>
        </w:tc>
        <w:tc>
          <w:tcPr>
            <w:tcW w:w="1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December 31, 2022</w:t>
            </w: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Arial" w:cs="Arial" w:eastAsia="Arial" w:hAnsi="Arial"/>
                <w:sz w:val="18"/>
                <w:szCs w:val="18"/>
                <w:color w:val="auto"/>
              </w:rPr>
              <w:t>Fixed</w:t>
            </w:r>
          </w:p>
        </w:tc>
        <w:tc>
          <w:tcPr>
            <w:tcW w:w="60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color w:val="auto"/>
              </w:rPr>
              <w:t>Variable</w:t>
            </w:r>
          </w:p>
        </w:tc>
        <w:tc>
          <w:tcPr>
            <w:tcW w:w="660" w:type="dxa"/>
            <w:vAlign w:val="bottom"/>
          </w:tcPr>
          <w:p>
            <w:pPr>
              <w:spacing w:after="0"/>
              <w:rPr>
                <w:sz w:val="20"/>
                <w:szCs w:val="20"/>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color w:val="auto"/>
              </w:rPr>
              <w:t>Fixed</w:t>
            </w:r>
          </w:p>
        </w:tc>
        <w:tc>
          <w:tcPr>
            <w:tcW w:w="4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Variable</w:t>
            </w: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341,601</w:t>
            </w:r>
          </w:p>
        </w:tc>
        <w:tc>
          <w:tcPr>
            <w:tcW w:w="6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165,265</w:t>
            </w:r>
          </w:p>
        </w:tc>
        <w:tc>
          <w:tcPr>
            <w:tcW w:w="6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354,420</w:t>
            </w:r>
          </w:p>
        </w:tc>
        <w:tc>
          <w:tcPr>
            <w:tcW w:w="4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140,003</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3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142,029</w:t>
            </w:r>
          </w:p>
        </w:tc>
        <w:tc>
          <w:tcPr>
            <w:tcW w:w="60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88,808</w:t>
            </w:r>
          </w:p>
        </w:tc>
        <w:tc>
          <w:tcPr>
            <w:tcW w:w="6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144,702</w:t>
            </w:r>
          </w:p>
        </w:tc>
        <w:tc>
          <w:tcPr>
            <w:tcW w:w="4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76,117</w:t>
            </w: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58,445</w:t>
            </w:r>
          </w:p>
        </w:tc>
        <w:tc>
          <w:tcPr>
            <w:tcW w:w="6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69,899</w:t>
            </w: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52,867</w:t>
            </w:r>
          </w:p>
        </w:tc>
        <w:tc>
          <w:tcPr>
            <w:tcW w:w="4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75,866</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993,941</w:t>
            </w:r>
          </w:p>
        </w:tc>
        <w:tc>
          <w:tcPr>
            <w:tcW w:w="60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286,961</w:t>
            </w:r>
          </w:p>
        </w:tc>
        <w:tc>
          <w:tcPr>
            <w:tcW w:w="6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941,927</w:t>
            </w:r>
          </w:p>
        </w:tc>
        <w:tc>
          <w:tcPr>
            <w:tcW w:w="4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210,676</w:t>
            </w: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148,425</w:t>
            </w:r>
          </w:p>
        </w:tc>
        <w:tc>
          <w:tcPr>
            <w:tcW w:w="6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105,019</w:t>
            </w: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130,513</w:t>
            </w:r>
          </w:p>
        </w:tc>
        <w:tc>
          <w:tcPr>
            <w:tcW w:w="4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111,847</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Consumer</w:t>
            </w:r>
          </w:p>
        </w:tc>
        <w:tc>
          <w:tcPr>
            <w:tcW w:w="3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88,247</w:t>
            </w:r>
          </w:p>
        </w:tc>
        <w:tc>
          <w:tcPr>
            <w:tcW w:w="60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88,972</w:t>
            </w:r>
          </w:p>
        </w:tc>
        <w:tc>
          <w:tcPr>
            <w:tcW w:w="4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175</w:t>
            </w:r>
          </w:p>
        </w:tc>
      </w:tr>
      <w:tr>
        <w:trPr>
          <w:trHeight w:val="249"/>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19,300</w:t>
            </w:r>
          </w:p>
        </w:tc>
        <w:tc>
          <w:tcPr>
            <w:tcW w:w="6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9,696</w:t>
            </w:r>
          </w:p>
        </w:tc>
        <w:tc>
          <w:tcPr>
            <w:tcW w:w="6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20,029</w:t>
            </w:r>
          </w:p>
        </w:tc>
        <w:tc>
          <w:tcPr>
            <w:tcW w:w="4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9,789</w:t>
            </w:r>
          </w:p>
        </w:tc>
      </w:tr>
    </w:tbl>
    <w:p>
      <w:pPr>
        <w:spacing w:after="0" w:line="202"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As of June 30, 2023 and December 31, 2022 one to four family residential mortgage loans amounting to $213.7 million and $222.5 million, respectively, have been pledged as security for future loans and existing loans the Bank has received from the Federal Home Loan Bank. $11.0 million and $10.4 million of HELOCs were pledged as of June 30, 2023 and December 31, 2022 as well. During the second quarter of 2023 the Bank pledged eligible commercial real estate to the FHLB. At June 30, 2023 the amount pledged was $165.2 million.</w:t>
      </w:r>
    </w:p>
    <w:p>
      <w:pPr>
        <w:spacing w:after="0" w:line="144" w:lineRule="exact"/>
        <w:rPr>
          <w:sz w:val="20"/>
          <w:szCs w:val="20"/>
          <w:color w:val="auto"/>
        </w:rPr>
      </w:pPr>
    </w:p>
    <w:p>
      <w:pPr>
        <w:jc w:val="center"/>
        <w:ind w:left="500" w:right="580"/>
        <w:spacing w:after="0" w:line="402" w:lineRule="auto"/>
        <w:rPr>
          <w:sz w:val="20"/>
          <w:szCs w:val="20"/>
          <w:color w:val="auto"/>
        </w:rPr>
      </w:pPr>
      <w:r>
        <w:rPr>
          <w:rFonts w:ascii="Arial" w:cs="Arial" w:eastAsia="Arial" w:hAnsi="Arial"/>
          <w:sz w:val="18"/>
          <w:szCs w:val="18"/>
          <w:color w:val="auto"/>
        </w:rPr>
        <w:t>Unless listed separately, Other loans are included in the Commercial and Industrial category for the remainder of the tables in this Note 4.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June 30, 2023 and December 31, 2022, net of deferred loan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121920</wp:posOffset>
            </wp:positionV>
            <wp:extent cx="4693285" cy="8870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93285" cy="88709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7"/>
              </w:rPr>
              <w:t>Recorded</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4"/>
              </w:rPr>
              <w:t>Total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89"/>
              </w:rPr>
              <w:t>Investmen</w:t>
            </w: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1"/>
              </w:rPr>
              <w:t>60-89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color w:val="auto"/>
                <w:w w:val="88"/>
              </w:rPr>
              <w:t>Greater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Financing</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t &gt; 90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0"/>
              </w:rPr>
              <w:t>Days Past</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2"/>
              </w:rPr>
              <w:t>Days Past</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Than 90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1"/>
              </w:rPr>
              <w:t>Total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Receivabl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w w:val="86"/>
              </w:rPr>
              <w:t>Days 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4000" w:type="dxa"/>
            <w:vAlign w:val="bottom"/>
          </w:tcPr>
          <w:p>
            <w:pPr>
              <w:ind w:left="20"/>
              <w:spacing w:after="0"/>
              <w:rPr>
                <w:sz w:val="20"/>
                <w:szCs w:val="20"/>
                <w:color w:val="auto"/>
              </w:rPr>
            </w:pPr>
            <w:r>
              <w:rPr>
                <w:rFonts w:ascii="Arial" w:cs="Arial" w:eastAsia="Arial" w:hAnsi="Arial"/>
                <w:sz w:val="18"/>
                <w:szCs w:val="18"/>
                <w:color w:val="auto"/>
              </w:rPr>
              <w:t>June 30, 2023</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Due</w:t>
            </w:r>
          </w:p>
        </w:tc>
        <w:tc>
          <w:tcPr>
            <w:tcW w:w="16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Due</w:t>
            </w:r>
          </w:p>
        </w:tc>
        <w:tc>
          <w:tcPr>
            <w:tcW w:w="16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Days</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Due</w:t>
            </w:r>
          </w:p>
        </w:tc>
        <w:tc>
          <w:tcPr>
            <w:tcW w:w="16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Current</w:t>
            </w:r>
          </w:p>
        </w:tc>
        <w:tc>
          <w:tcPr>
            <w:tcW w:w="16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3"/>
              </w:rPr>
              <w:t>es</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Pr>
          <w:p>
            <w:pPr>
              <w:spacing w:after="0"/>
              <w:rPr>
                <w:sz w:val="21"/>
                <w:szCs w:val="2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505,107</w:t>
            </w:r>
          </w:p>
        </w:tc>
        <w:tc>
          <w:tcPr>
            <w:tcW w:w="160" w:type="dxa"/>
            <w:vAlign w:val="bottom"/>
            <w:tcBorders>
              <w:right w:val="single" w:sz="8" w:color="auto"/>
            </w:tcBorders>
            <w:shd w:val="clear" w:color="auto" w:fill="CFF0FC"/>
          </w:tcPr>
          <w:p>
            <w:pPr>
              <w:spacing w:after="0"/>
              <w:rPr>
                <w:sz w:val="21"/>
                <w:szCs w:val="21"/>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$ 506,842</w:t>
            </w:r>
          </w:p>
        </w:tc>
        <w:tc>
          <w:tcPr>
            <w:tcW w:w="140" w:type="dxa"/>
            <w:vAlign w:val="bottom"/>
            <w:tcBorders>
              <w:right w:val="single" w:sz="8" w:color="auto"/>
            </w:tcBorders>
            <w:shd w:val="clear" w:color="auto" w:fill="CFF0FC"/>
          </w:tcPr>
          <w:p>
            <w:pPr>
              <w:spacing w:after="0"/>
              <w:rPr>
                <w:sz w:val="21"/>
                <w:szCs w:val="21"/>
                <w:color w:val="auto"/>
              </w:rPr>
            </w:pPr>
          </w:p>
        </w:tc>
        <w:tc>
          <w:tcPr>
            <w:tcW w:w="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5,047</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5,048</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225,483</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230,531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127,381</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128,593</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1,277,75</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1,278,44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r>
      <w:tr>
        <w:trPr>
          <w:trHeight w:val="25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281,363</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282,244</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89,019</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r>
      <w:tr>
        <w:trPr>
          <w:trHeight w:val="215"/>
        </w:trPr>
        <w:tc>
          <w:tcPr>
            <w:tcW w:w="4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2,506,10</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2,515,79</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84"/>
        </w:trPr>
        <w:tc>
          <w:tcPr>
            <w:tcW w:w="4000" w:type="dxa"/>
            <w:vAlign w:val="bottom"/>
            <w:tcBorders>
              <w:bottom w:val="single" w:sz="8" w:color="CFF0FC"/>
            </w:tcBorders>
            <w:shd w:val="clear" w:color="auto" w:fill="CFF0FC"/>
          </w:tcPr>
          <w:p>
            <w:pPr>
              <w:ind w:left="17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4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87"/>
              </w:rPr>
              <w:t>Recorded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89"/>
              </w:rPr>
              <w:t>Investmen</w:t>
            </w: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90"/>
              <w:spacing w:after="0"/>
              <w:rPr>
                <w:sz w:val="20"/>
                <w:szCs w:val="20"/>
                <w:color w:val="auto"/>
              </w:rPr>
            </w:pPr>
            <w:r>
              <w:rPr>
                <w:rFonts w:ascii="Arial" w:cs="Arial" w:eastAsia="Arial" w:hAnsi="Arial"/>
                <w:sz w:val="18"/>
                <w:szCs w:val="18"/>
                <w:color w:val="auto"/>
                <w:w w:val="94"/>
              </w:rPr>
              <w:t>Total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t &gt;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90"/>
              <w:spacing w:after="0"/>
              <w:rPr>
                <w:sz w:val="20"/>
                <w:szCs w:val="20"/>
                <w:color w:val="auto"/>
              </w:rPr>
            </w:pPr>
            <w:r>
              <w:rPr>
                <w:rFonts w:ascii="Arial" w:cs="Arial" w:eastAsia="Arial" w:hAnsi="Arial"/>
                <w:sz w:val="18"/>
                <w:szCs w:val="18"/>
                <w:color w:val="auto"/>
                <w:w w:val="91"/>
              </w:rPr>
              <w:t>30-59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1"/>
              </w:rPr>
              <w:t>60-89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color w:val="auto"/>
                <w:w w:val="88"/>
              </w:rPr>
              <w:t>Greater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Financing</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0"/>
              </w:rPr>
              <w:t>Days Past</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2"/>
              </w:rPr>
              <w:t>Days Past</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Than 90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1"/>
              </w:rPr>
              <w:t>Total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Receivabl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400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Due</w:t>
            </w:r>
          </w:p>
        </w:tc>
        <w:tc>
          <w:tcPr>
            <w:tcW w:w="16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Due</w:t>
            </w:r>
          </w:p>
        </w:tc>
        <w:tc>
          <w:tcPr>
            <w:tcW w:w="16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Days</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Due</w:t>
            </w:r>
          </w:p>
        </w:tc>
        <w:tc>
          <w:tcPr>
            <w:tcW w:w="16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Current</w:t>
            </w:r>
          </w:p>
        </w:tc>
        <w:tc>
          <w:tcPr>
            <w:tcW w:w="16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3"/>
              </w:rPr>
              <w:t>es</w:t>
            </w:r>
          </w:p>
        </w:tc>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Pr>
          <w:p>
            <w:pPr>
              <w:spacing w:after="0"/>
              <w:rPr>
                <w:sz w:val="21"/>
                <w:szCs w:val="21"/>
                <w:color w:val="auto"/>
              </w:rPr>
            </w:pPr>
          </w:p>
        </w:tc>
      </w:tr>
      <w:tr>
        <w:trPr>
          <w:trHeight w:val="236"/>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00" w:type="dxa"/>
            <w:vAlign w:val="bottom"/>
            <w:gridSpan w:val="3"/>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492,162</w:t>
            </w:r>
          </w:p>
        </w:tc>
        <w:tc>
          <w:tcPr>
            <w:tcW w:w="160" w:type="dxa"/>
            <w:vAlign w:val="bottom"/>
            <w:tcBorders>
              <w:right w:val="single" w:sz="8" w:color="auto"/>
            </w:tcBorders>
            <w:shd w:val="clear" w:color="auto" w:fill="CFF0FC"/>
          </w:tcPr>
          <w:p>
            <w:pPr>
              <w:spacing w:after="0"/>
              <w:rPr>
                <w:sz w:val="21"/>
                <w:szCs w:val="21"/>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$ 494,423</w:t>
            </w:r>
          </w:p>
        </w:tc>
        <w:tc>
          <w:tcPr>
            <w:tcW w:w="140" w:type="dxa"/>
            <w:vAlign w:val="bottom"/>
            <w:tcBorders>
              <w:right w:val="single" w:sz="8" w:color="auto"/>
            </w:tcBorders>
            <w:shd w:val="clear" w:color="auto" w:fill="CFF0FC"/>
          </w:tcPr>
          <w:p>
            <w:pPr>
              <w:spacing w:after="0"/>
              <w:rPr>
                <w:sz w:val="21"/>
                <w:szCs w:val="21"/>
                <w:color w:val="auto"/>
              </w:rPr>
            </w:pPr>
          </w:p>
        </w:tc>
        <w:tc>
          <w:tcPr>
            <w:tcW w:w="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218,844</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220,514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128,341</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128,926</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1,150,25</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1,150,51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r>
      <w:tr>
        <w:trPr>
          <w:trHeight w:val="250"/>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270,984</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272,119</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1"/>
                <w:szCs w:val="2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89,774</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r>
      <w:tr>
        <w:trPr>
          <w:trHeight w:val="215"/>
        </w:trPr>
        <w:tc>
          <w:tcPr>
            <w:tcW w:w="4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2,350,36</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2,356,38</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84"/>
        </w:trPr>
        <w:tc>
          <w:tcPr>
            <w:tcW w:w="4000" w:type="dxa"/>
            <w:vAlign w:val="bottom"/>
            <w:tcBorders>
              <w:bottom w:val="single" w:sz="8" w:color="CFF0FC"/>
            </w:tcBorders>
            <w:shd w:val="clear" w:color="auto" w:fill="CFF0FC"/>
          </w:tcPr>
          <w:p>
            <w:pPr>
              <w:ind w:left="17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6,025</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521"/>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-3007995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-2990850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-3007995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-2990850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-3007995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-2990850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-3007995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-2990850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-3007995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-2990850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-3007995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-2990850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-3007995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-2990850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-2840990</wp:posOffset>
            </wp:positionV>
            <wp:extent cx="4693285" cy="1024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93285" cy="1024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-453390</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-436245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-453390</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-436245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-453390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-436245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-453390</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-436245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-453390</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-436245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-453390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-436245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-453390</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-436245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present the amortized cost of nonaccrual loans by class of loans as of June 30, 2023 and the recorded investment of nonaccrual loans by class of loans as of December 31, 2022:</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6"/>
              </w:rPr>
              <w:t>June 30, 2023</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0"/>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8"/>
              </w:rPr>
              <w:t>Loans Past</w:t>
            </w:r>
          </w:p>
        </w:tc>
        <w:tc>
          <w:tcPr>
            <w:tcW w:w="100" w:type="dxa"/>
            <w:vAlign w:val="bottom"/>
          </w:tcPr>
          <w:p>
            <w:pPr>
              <w:spacing w:after="0"/>
              <w:rPr>
                <w:sz w:val="20"/>
                <w:szCs w:val="20"/>
                <w:color w:val="auto"/>
              </w:rPr>
            </w:pPr>
          </w:p>
        </w:tc>
      </w:tr>
      <w:tr>
        <w:trPr>
          <w:trHeight w:val="242"/>
        </w:trPr>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6"/>
              </w:rPr>
              <w:t>With No</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3"/>
              </w:rPr>
              <w:t>Due Over</w:t>
            </w:r>
          </w:p>
        </w:tc>
        <w:tc>
          <w:tcPr>
            <w:tcW w:w="100" w:type="dxa"/>
            <w:vAlign w:val="bottom"/>
          </w:tcPr>
          <w:p>
            <w:pPr>
              <w:spacing w:after="0"/>
              <w:rPr>
                <w:sz w:val="21"/>
                <w:szCs w:val="21"/>
                <w:color w:val="auto"/>
              </w:rPr>
            </w:pPr>
          </w:p>
        </w:tc>
      </w:tr>
      <w:tr>
        <w:trPr>
          <w:trHeight w:val="243"/>
        </w:trPr>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0"/>
              </w:rPr>
              <w:t>89 Days</w:t>
            </w:r>
          </w:p>
        </w:tc>
        <w:tc>
          <w:tcPr>
            <w:tcW w:w="100" w:type="dxa"/>
            <w:vAlign w:val="bottom"/>
          </w:tcPr>
          <w:p>
            <w:pPr>
              <w:spacing w:after="0"/>
              <w:rPr>
                <w:sz w:val="21"/>
                <w:szCs w:val="21"/>
                <w:color w:val="auto"/>
              </w:rPr>
            </w:pPr>
          </w:p>
        </w:tc>
      </w:tr>
      <w:tr>
        <w:trPr>
          <w:trHeight w:val="250"/>
        </w:trPr>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Still Accruing</w:t>
            </w:r>
          </w:p>
        </w:tc>
        <w:tc>
          <w:tcPr>
            <w:tcW w:w="10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rPr>
              <w:t>Consumer Real Estate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808</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Agricultural Real Estate</w:t>
            </w: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rPr>
              <w:t>Agricultural</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2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160" w:type="dxa"/>
            <w:vAlign w:val="bottom"/>
          </w:tcPr>
          <w:p>
            <w:pPr>
              <w:ind w:left="108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28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6,295</w:t>
            </w:r>
          </w:p>
        </w:tc>
        <w:tc>
          <w:tcPr>
            <w:tcW w:w="30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24"/>
                <w:szCs w:val="24"/>
                <w:color w:val="auto"/>
              </w:rPr>
            </w:pPr>
          </w:p>
        </w:tc>
      </w:tr>
      <w:tr>
        <w:trPr>
          <w:trHeight w:val="215"/>
        </w:trPr>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29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r>
      <w:tr>
        <w:trPr>
          <w:trHeight w:val="237"/>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auto"/>
            </w:tcBorders>
          </w:tcPr>
          <w:p>
            <w:pPr>
              <w:spacing w:after="0"/>
              <w:rPr>
                <w:sz w:val="20"/>
                <w:szCs w:val="20"/>
                <w:color w:val="auto"/>
              </w:rPr>
            </w:pPr>
          </w:p>
        </w:tc>
      </w:tr>
      <w:tr>
        <w:trPr>
          <w:trHeight w:val="243"/>
        </w:trPr>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FF0FC"/>
          </w:tcPr>
          <w:p>
            <w:pPr>
              <w:spacing w:after="0"/>
              <w:rPr>
                <w:sz w:val="21"/>
                <w:szCs w:val="2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0"/>
                <w:szCs w:val="20"/>
                <w:color w:val="auto"/>
              </w:rPr>
            </w:pPr>
          </w:p>
        </w:tc>
      </w:tr>
      <w:tr>
        <w:trPr>
          <w:trHeight w:val="24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21"/>
                <w:szCs w:val="2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r>
      <w:tr>
        <w:trPr>
          <w:trHeight w:val="24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21"/>
                <w:szCs w:val="2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21"/>
                <w:szCs w:val="21"/>
                <w:color w:val="auto"/>
              </w:rPr>
            </w:pPr>
          </w:p>
        </w:tc>
      </w:tr>
      <w:tr>
        <w:trPr>
          <w:trHeight w:val="277"/>
        </w:trPr>
        <w:tc>
          <w:tcPr>
            <w:tcW w:w="2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auto"/>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-2073910</wp:posOffset>
            </wp:positionV>
            <wp:extent cx="6032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-2073910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-2073910</wp:posOffset>
            </wp:positionV>
            <wp:extent cx="5969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Company recognized $74 thousand and $127 thousand of interest income on nonaccrual loans for the three and six months ending June 30, 2023.</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ectPr>
          <w:pgSz w:w="11900" w:h="16838" w:orient="portrait"/>
          <w:cols w:equalWidth="0" w:num="1">
            <w:col w:w="11240"/>
          </w:cols>
          <w:pgMar w:left="320" w:top="12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Other: Primarily funds public improvements in the Bank’s service area. Repayment ability is based on the continuance of the taxation revenue as the source of repayment.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17" w:lineRule="exact"/>
        <w:rPr>
          <w:rFonts w:ascii="Arial" w:cs="Arial" w:eastAsia="Arial" w:hAnsi="Arial"/>
          <w:sz w:val="18"/>
          <w:szCs w:val="18"/>
          <w:color w:val="auto"/>
        </w:rPr>
      </w:pPr>
    </w:p>
    <w:p>
      <w:pPr>
        <w:jc w:val="both"/>
        <w:ind w:left="2260" w:hanging="755"/>
        <w:spacing w:after="0" w:line="272" w:lineRule="auto"/>
        <w:tabs>
          <w:tab w:leader="none" w:pos="2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69" w:lineRule="exact"/>
        <w:rPr>
          <w:rFonts w:ascii="Arial" w:cs="Arial" w:eastAsia="Arial" w:hAnsi="Arial"/>
          <w:sz w:val="17"/>
          <w:szCs w:val="17"/>
          <w:color w:val="auto"/>
        </w:rPr>
      </w:pPr>
    </w:p>
    <w:p>
      <w:pPr>
        <w:jc w:val="both"/>
        <w:ind w:left="2260" w:hanging="755"/>
        <w:spacing w:after="0" w:line="257"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9" w:lineRule="exact"/>
        <w:rPr>
          <w:rFonts w:ascii="Arial" w:cs="Arial" w:eastAsia="Arial" w:hAnsi="Arial"/>
          <w:sz w:val="18"/>
          <w:szCs w:val="18"/>
          <w:color w:val="auto"/>
        </w:rPr>
      </w:pPr>
    </w:p>
    <w:p>
      <w:pPr>
        <w:jc w:val="both"/>
        <w:ind w:left="2260" w:hanging="755"/>
        <w:spacing w:after="0" w:line="254"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2" w:lineRule="exact"/>
        <w:rPr>
          <w:rFonts w:ascii="Arial" w:cs="Arial" w:eastAsia="Arial" w:hAnsi="Arial"/>
          <w:sz w:val="18"/>
          <w:szCs w:val="18"/>
          <w:color w:val="auto"/>
        </w:rPr>
      </w:pPr>
    </w:p>
    <w:p>
      <w:pPr>
        <w:ind w:left="2260"/>
        <w:spacing w:after="0" w:line="250" w:lineRule="auto"/>
        <w:rPr>
          <w:rFonts w:ascii="Arial" w:cs="Arial" w:eastAsia="Arial" w:hAnsi="Arial"/>
          <w:sz w:val="18"/>
          <w:szCs w:val="18"/>
          <w:color w:val="auto"/>
        </w:rPr>
      </w:pPr>
      <w:r>
        <w:rPr>
          <w:rFonts w:ascii="Arial" w:cs="Arial" w:eastAsia="Arial" w:hAnsi="Arial"/>
          <w:sz w:val="18"/>
          <w:szCs w:val="18"/>
          <w:color w:val="auto"/>
        </w:rPr>
        <w:t>Loans may be rated 3 when there is no recent information on which to base a current risk evaluation and the following conditions apply:</w:t>
      </w:r>
    </w:p>
    <w:p>
      <w:pPr>
        <w:ind w:left="226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8"/>
          <w:szCs w:val="18"/>
          <w:color w:val="auto"/>
        </w:rPr>
      </w:pPr>
    </w:p>
    <w:p>
      <w:pPr>
        <w:ind w:left="2620" w:hanging="366"/>
        <w:spacing w:after="0"/>
        <w:tabs>
          <w:tab w:leader="none" w:pos="2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32" w:lineRule="exact"/>
        <w:rPr>
          <w:rFonts w:ascii="Arial" w:cs="Arial" w:eastAsia="Arial" w:hAnsi="Arial"/>
          <w:sz w:val="16"/>
          <w:szCs w:val="16"/>
          <w:color w:val="auto"/>
        </w:rPr>
      </w:pPr>
    </w:p>
    <w:p>
      <w:pPr>
        <w:ind w:left="2620" w:hanging="366"/>
        <w:spacing w:after="0"/>
        <w:tabs>
          <w:tab w:leader="none" w:pos="2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32" w:lineRule="exact"/>
        <w:rPr>
          <w:rFonts w:ascii="Arial" w:cs="Arial" w:eastAsia="Arial" w:hAnsi="Arial"/>
          <w:sz w:val="16"/>
          <w:szCs w:val="16"/>
          <w:color w:val="auto"/>
        </w:rPr>
      </w:pPr>
    </w:p>
    <w:p>
      <w:pPr>
        <w:jc w:val="both"/>
        <w:ind w:left="2620" w:hanging="366"/>
        <w:spacing w:after="0" w:line="253" w:lineRule="auto"/>
        <w:tabs>
          <w:tab w:leader="none" w:pos="2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4" w:lineRule="exact"/>
        <w:rPr>
          <w:rFonts w:ascii="Arial" w:cs="Arial" w:eastAsia="Arial" w:hAnsi="Arial"/>
          <w:sz w:val="18"/>
          <w:szCs w:val="18"/>
          <w:color w:val="auto"/>
        </w:rPr>
      </w:pPr>
    </w:p>
    <w:p>
      <w:pPr>
        <w:jc w:val="both"/>
        <w:ind w:left="2260" w:hanging="755"/>
        <w:spacing w:after="0" w:line="257"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9" w:lineRule="exact"/>
        <w:rPr>
          <w:rFonts w:ascii="Arial" w:cs="Arial" w:eastAsia="Arial" w:hAnsi="Arial"/>
          <w:sz w:val="18"/>
          <w:szCs w:val="18"/>
          <w:color w:val="auto"/>
        </w:rPr>
      </w:pPr>
    </w:p>
    <w:p>
      <w:pPr>
        <w:jc w:val="both"/>
        <w:ind w:left="2260" w:hanging="755"/>
        <w:spacing w:after="0" w:line="257" w:lineRule="auto"/>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hanging="755"/>
        <w:spacing w:after="0"/>
        <w:tabs>
          <w:tab w:leader="none" w:pos="2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Six (6) Substandard. One or more of the following characteristics may be exhibited in loans classified substandard:</w:t>
      </w:r>
    </w:p>
    <w:p>
      <w:pPr>
        <w:spacing w:after="0" w:line="34" w:lineRule="exact"/>
        <w:rPr>
          <w:rFonts w:ascii="Arial" w:cs="Arial" w:eastAsia="Arial" w:hAnsi="Arial"/>
          <w:sz w:val="17"/>
          <w:szCs w:val="17"/>
          <w:color w:val="auto"/>
        </w:rPr>
      </w:pPr>
    </w:p>
    <w:p>
      <w:pPr>
        <w:jc w:val="both"/>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20" w:hanging="366"/>
        <w:spacing w:after="0"/>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20" w:hanging="366"/>
        <w:spacing w:after="0"/>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lender is seriously contemplating foreclosure or legal action due to the apparent deterioration in the loan.</w:t>
      </w:r>
    </w:p>
    <w:p>
      <w:pPr>
        <w:spacing w:after="0" w:line="20" w:lineRule="exact"/>
        <w:rPr>
          <w:rFonts w:ascii="Arial" w:cs="Arial" w:eastAsia="Arial" w:hAnsi="Arial"/>
          <w:sz w:val="17"/>
          <w:szCs w:val="17"/>
          <w:color w:val="auto"/>
        </w:rPr>
      </w:pPr>
    </w:p>
    <w:p>
      <w:pPr>
        <w:ind w:left="2620" w:hanging="366"/>
        <w:spacing w:after="0"/>
        <w:tabs>
          <w:tab w:leader="none" w:pos="2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114" w:lineRule="exact"/>
        <w:rPr>
          <w:rFonts w:ascii="Arial" w:cs="Arial" w:eastAsia="Arial" w:hAnsi="Arial"/>
          <w:sz w:val="17"/>
          <w:szCs w:val="17"/>
          <w:color w:val="auto"/>
        </w:rPr>
      </w:pPr>
    </w:p>
    <w:p>
      <w:pPr>
        <w:ind w:left="2260" w:hanging="755"/>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1" w:lineRule="exact"/>
        <w:rPr>
          <w:rFonts w:ascii="Arial" w:cs="Arial" w:eastAsia="Arial" w:hAnsi="Arial"/>
          <w:sz w:val="18"/>
          <w:szCs w:val="18"/>
          <w:color w:val="auto"/>
        </w:rPr>
      </w:pPr>
    </w:p>
    <w:p>
      <w:pPr>
        <w:jc w:val="both"/>
        <w:ind w:left="2260" w:hanging="755"/>
        <w:spacing w:after="0" w:line="259" w:lineRule="auto"/>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December 31, 2022: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Agricult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Commer</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9"/>
              </w:rPr>
              <w:t>Commer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color w:val="auto"/>
                <w:w w:val="93"/>
              </w:rPr>
              <w:t>ural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8"/>
                <w:szCs w:val="18"/>
                <w:color w:val="auto"/>
                <w:w w:val="96"/>
              </w:rPr>
              <w:t>cial</w:t>
            </w:r>
          </w:p>
        </w:tc>
        <w:tc>
          <w:tcPr>
            <w:tcW w:w="140" w:type="dxa"/>
            <w:vAlign w:val="bottom"/>
          </w:tcPr>
          <w:p>
            <w:pPr>
              <w:spacing w:after="0"/>
              <w:rPr>
                <w:sz w:val="20"/>
                <w:szCs w:val="20"/>
                <w:color w:val="auto"/>
              </w:rPr>
            </w:pPr>
          </w:p>
        </w:tc>
        <w:tc>
          <w:tcPr>
            <w:tcW w:w="560" w:type="dxa"/>
            <w:vAlign w:val="bottom"/>
          </w:tcPr>
          <w:p>
            <w:pPr>
              <w:jc w:val="center"/>
              <w:ind w:right="50"/>
              <w:spacing w:after="0"/>
              <w:rPr>
                <w:sz w:val="20"/>
                <w:szCs w:val="20"/>
                <w:color w:val="auto"/>
              </w:rPr>
            </w:pPr>
            <w:r>
              <w:rPr>
                <w:rFonts w:ascii="Arial" w:cs="Arial" w:eastAsia="Arial" w:hAnsi="Arial"/>
                <w:sz w:val="18"/>
                <w:szCs w:val="18"/>
                <w:color w:val="auto"/>
                <w:w w:val="96"/>
              </w:rPr>
              <w:t>cial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w w:val="99"/>
              </w:rPr>
              <w:t>and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97"/>
              </w:rPr>
              <w:t>Real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Agricult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Real</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Industria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10"/>
              <w:spacing w:after="0"/>
              <w:rPr>
                <w:sz w:val="20"/>
                <w:szCs w:val="20"/>
                <w:color w:val="auto"/>
              </w:rPr>
            </w:pPr>
            <w:r>
              <w:rPr>
                <w:rFonts w:ascii="Arial" w:cs="Arial" w:eastAsia="Arial" w:hAnsi="Arial"/>
                <w:sz w:val="18"/>
                <w:szCs w:val="18"/>
                <w:color w:val="auto"/>
                <w:w w:val="86"/>
              </w:rPr>
              <w:t>Estate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ural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Estate</w:t>
            </w:r>
          </w:p>
        </w:tc>
        <w:tc>
          <w:tcPr>
            <w:tcW w:w="140" w:type="dxa"/>
            <w:vAlign w:val="bottom"/>
          </w:tcPr>
          <w:p>
            <w:pPr>
              <w:spacing w:after="0"/>
              <w:rPr>
                <w:sz w:val="20"/>
                <w:szCs w:val="20"/>
                <w:color w:val="auto"/>
              </w:rPr>
            </w:pPr>
          </w:p>
        </w:tc>
        <w:tc>
          <w:tcPr>
            <w:tcW w:w="560" w:type="dxa"/>
            <w:vAlign w:val="bottom"/>
          </w:tcPr>
          <w:p>
            <w:pPr>
              <w:jc w:val="center"/>
              <w:ind w:right="50"/>
              <w:spacing w:after="0"/>
              <w:rPr>
                <w:sz w:val="20"/>
                <w:szCs w:val="20"/>
                <w:color w:val="auto"/>
              </w:rPr>
            </w:pPr>
            <w:r>
              <w:rPr>
                <w:rFonts w:ascii="Arial" w:cs="Arial" w:eastAsia="Arial" w:hAnsi="Arial"/>
                <w:sz w:val="18"/>
                <w:szCs w:val="18"/>
                <w:color w:val="auto"/>
              </w:rPr>
              <w:t>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2022</w:t>
            </w: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color w:val="auto"/>
                <w:w w:val="92"/>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5,857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1"/>
        </w:trPr>
        <w:tc>
          <w:tcPr>
            <w:tcW w:w="1700" w:type="dxa"/>
            <w:vAlign w:val="bottom"/>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44"/>
        </w:trPr>
        <w:tc>
          <w:tcPr>
            <w:tcW w:w="1700" w:type="dxa"/>
            <w:vAlign w:val="bottom"/>
          </w:tcPr>
          <w:p>
            <w:pPr>
              <w:spacing w:after="0"/>
              <w:rPr>
                <w:sz w:val="21"/>
                <w:szCs w:val="21"/>
                <w:color w:val="auto"/>
              </w:rPr>
            </w:pPr>
          </w:p>
        </w:tc>
        <w:tc>
          <w:tcPr>
            <w:tcW w:w="34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33,671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67,506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10,921</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167,29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88,992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18,897</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34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4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9"/>
        </w:trPr>
        <w:tc>
          <w:tcPr>
            <w:tcW w:w="1700" w:type="dxa"/>
            <w:vAlign w:val="bottom"/>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128,92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1,150,5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242,30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84"/>
        </w:trPr>
        <w:tc>
          <w:tcPr>
            <w:tcW w:w="1700" w:type="dxa"/>
            <w:vAlign w:val="bottom"/>
          </w:tcPr>
          <w:p>
            <w:pPr>
              <w:spacing w:after="0"/>
              <w:rPr>
                <w:sz w:val="24"/>
                <w:szCs w:val="24"/>
                <w:color w:val="auto"/>
              </w:rPr>
            </w:pPr>
          </w:p>
        </w:tc>
        <w:tc>
          <w:tcPr>
            <w:tcW w:w="3400" w:type="dxa"/>
            <w:vAlign w:val="bottom"/>
            <w:shd w:val="clear" w:color="auto" w:fill="CFF0FC"/>
          </w:tcPr>
          <w:p>
            <w:pPr>
              <w:ind w:left="14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29,818</w:t>
            </w:r>
          </w:p>
        </w:tc>
        <w:tc>
          <w:tcPr>
            <w:tcW w:w="10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0"/>
        </w:trPr>
        <w:tc>
          <w:tcPr>
            <w:tcW w:w="170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-453390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-436245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-453390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-436245</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-453390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-436245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-453390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-436245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-436245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9"/>
              </w:rPr>
              <w:t>(In Thousands)</w:t>
            </w: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center"/>
              <w:ind w:right="370"/>
              <w:spacing w:after="0"/>
              <w:rPr>
                <w:sz w:val="20"/>
                <w:szCs w:val="20"/>
                <w:color w:val="auto"/>
              </w:rPr>
            </w:pPr>
            <w:r>
              <w:rPr>
                <w:rFonts w:ascii="Arial" w:cs="Arial" w:eastAsia="Arial" w:hAnsi="Arial"/>
                <w:sz w:val="18"/>
                <w:szCs w:val="18"/>
                <w:color w:val="auto"/>
                <w:w w:val="89"/>
              </w:rPr>
              <w:t>Consumer</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5"/>
              </w:rPr>
              <w:t>Real Estate</w:t>
            </w:r>
          </w:p>
        </w:tc>
        <w:tc>
          <w:tcPr>
            <w:tcW w:w="168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350"/>
              <w:spacing w:after="0"/>
              <w:rPr>
                <w:sz w:val="20"/>
                <w:szCs w:val="20"/>
                <w:color w:val="auto"/>
              </w:rPr>
            </w:pPr>
            <w:r>
              <w:rPr>
                <w:rFonts w:ascii="Arial" w:cs="Arial" w:eastAsia="Arial" w:hAnsi="Arial"/>
                <w:sz w:val="18"/>
                <w:szCs w:val="18"/>
                <w:color w:val="auto"/>
                <w:w w:val="88"/>
              </w:rPr>
              <w:t>December 31,</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9"/>
              </w:rPr>
              <w:t>2022</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2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Pass (1-4)</w:t>
            </w:r>
          </w:p>
        </w:tc>
        <w:tc>
          <w:tcPr>
            <w:tcW w:w="26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492,575</w:t>
            </w: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Special Mention (5)</w:t>
            </w:r>
          </w:p>
        </w:tc>
        <w:tc>
          <w:tcPr>
            <w:tcW w:w="23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676</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Substandard (6)</w:t>
            </w: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1,172</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Doubtful (7)</w:t>
            </w:r>
          </w:p>
        </w:tc>
        <w:tc>
          <w:tcPr>
            <w:tcW w:w="23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360" w:type="dxa"/>
            <w:vAlign w:val="bottom"/>
          </w:tcPr>
          <w:p>
            <w:pPr>
              <w:ind w:left="2520"/>
              <w:spacing w:after="0"/>
              <w:rPr>
                <w:sz w:val="20"/>
                <w:szCs w:val="20"/>
                <w:color w:val="auto"/>
              </w:rPr>
            </w:pPr>
            <w:r>
              <w:rPr>
                <w:rFonts w:ascii="Arial" w:cs="Arial" w:eastAsia="Arial" w:hAnsi="Arial"/>
                <w:sz w:val="18"/>
                <w:szCs w:val="18"/>
                <w:color w:val="auto"/>
              </w:rPr>
              <w:t>Total</w:t>
            </w:r>
          </w:p>
        </w:tc>
        <w:tc>
          <w:tcPr>
            <w:tcW w:w="26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494,423</w:t>
            </w: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82"/>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(In Thousands)</w:t>
            </w:r>
          </w:p>
        </w:tc>
        <w:tc>
          <w:tcPr>
            <w:tcW w:w="1680" w:type="dxa"/>
            <w:vAlign w:val="bottom"/>
          </w:tcPr>
          <w:p>
            <w:pPr>
              <w:spacing w:after="0"/>
              <w:rPr>
                <w:sz w:val="24"/>
                <w:szCs w:val="24"/>
                <w:color w:val="auto"/>
              </w:rPr>
            </w:pPr>
          </w:p>
        </w:tc>
      </w:tr>
      <w:tr>
        <w:trPr>
          <w:trHeight w:val="237"/>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Consumer</w:t>
            </w:r>
          </w:p>
        </w:tc>
        <w:tc>
          <w:tcPr>
            <w:tcW w:w="16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center"/>
              <w:ind w:right="290"/>
              <w:spacing w:after="0"/>
              <w:rPr>
                <w:sz w:val="20"/>
                <w:szCs w:val="20"/>
                <w:color w:val="auto"/>
              </w:rPr>
            </w:pPr>
            <w:r>
              <w:rPr>
                <w:rFonts w:ascii="Arial" w:cs="Arial" w:eastAsia="Arial" w:hAnsi="Arial"/>
                <w:sz w:val="18"/>
                <w:szCs w:val="18"/>
                <w:color w:val="auto"/>
                <w:w w:val="90"/>
              </w:rPr>
              <w:t>December 31,</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2022</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400" w:type="dxa"/>
            <w:vAlign w:val="bottom"/>
            <w:gridSpan w:val="2"/>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89,853</w:t>
            </w: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Nonperforming</w:t>
            </w:r>
          </w:p>
        </w:tc>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680" w:type="dxa"/>
            <w:vAlign w:val="bottom"/>
          </w:tcPr>
          <w:p>
            <w:pPr>
              <w:spacing w:after="0"/>
              <w:rPr>
                <w:sz w:val="21"/>
                <w:szCs w:val="21"/>
                <w:color w:val="auto"/>
              </w:rPr>
            </w:pPr>
          </w:p>
        </w:tc>
      </w:tr>
      <w:tr>
        <w:trPr>
          <w:trHeight w:val="277"/>
        </w:trPr>
        <w:tc>
          <w:tcPr>
            <w:tcW w:w="1700" w:type="dxa"/>
            <w:vAlign w:val="bottom"/>
          </w:tcPr>
          <w:p>
            <w:pPr>
              <w:spacing w:after="0"/>
              <w:rPr>
                <w:sz w:val="24"/>
                <w:szCs w:val="24"/>
                <w:color w:val="auto"/>
              </w:rPr>
            </w:pPr>
          </w:p>
        </w:tc>
        <w:tc>
          <w:tcPr>
            <w:tcW w:w="3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gridSpan w:val="2"/>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89,894</w:t>
            </w:r>
          </w:p>
        </w:tc>
        <w:tc>
          <w:tcPr>
            <w:tcW w:w="1680" w:type="dxa"/>
            <w:vAlign w:val="bottom"/>
          </w:tcPr>
          <w:p>
            <w:pPr>
              <w:spacing w:after="0"/>
              <w:rPr>
                <w:sz w:val="24"/>
                <w:szCs w:val="24"/>
                <w:color w:val="auto"/>
              </w:rPr>
            </w:pPr>
          </w:p>
        </w:tc>
      </w:tr>
      <w:tr>
        <w:trPr>
          <w:trHeight w:val="520"/>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40" w:type="dxa"/>
            <w:vAlign w:val="bottom"/>
          </w:tcPr>
          <w:p>
            <w:pPr>
              <w:jc w:val="right"/>
              <w:ind w:right="159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reflects loan balances as of June 30, 2023 based on year of origination: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Term Loans Amortized Cost Basis by Origination Year</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6"/>
              </w:rPr>
              <w:t>Revolving</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9"/>
              </w:rPr>
              <w:t>Loans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Amortize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Term</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9"/>
              </w:rPr>
              <w:t>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91"/>
              </w:rPr>
              <w:t>Grand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2022</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Prior</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Basis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120"/>
              <w:spacing w:after="0"/>
              <w:rPr>
                <w:sz w:val="20"/>
                <w:szCs w:val="20"/>
                <w:color w:val="auto"/>
              </w:rPr>
            </w:pPr>
            <w:r>
              <w:rPr>
                <w:rFonts w:ascii="Arial" w:cs="Arial" w:eastAsia="Arial" w:hAnsi="Arial"/>
                <w:sz w:val="18"/>
                <w:szCs w:val="18"/>
                <w:color w:val="auto"/>
              </w:rPr>
              <w:t>Risk Rating</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Pass (1-4)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40,806</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99,239</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135,764</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457,786</w:t>
            </w:r>
          </w:p>
        </w:tc>
        <w:tc>
          <w:tcPr>
            <w:tcW w:w="5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47,333</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505,119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Special Mention (5)</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Substandard (6)</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Arial" w:cs="Arial" w:eastAsia="Arial" w:hAnsi="Arial"/>
                <w:sz w:val="18"/>
                <w:szCs w:val="18"/>
                <w:color w:val="auto"/>
              </w:rPr>
              <w:t>Doubtful (7)</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w w:val="89"/>
              </w:rPr>
              <w:t>Total Consumer Real Estate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40,806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99,239</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96,360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86,022</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137,064</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459,491</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47,351</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506,842</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300"/>
              <w:spacing w:after="0"/>
              <w:rPr>
                <w:sz w:val="20"/>
                <w:szCs w:val="20"/>
                <w:color w:val="auto"/>
              </w:rPr>
            </w:pPr>
            <w:r>
              <w:rPr>
                <w:rFonts w:ascii="Arial" w:cs="Arial" w:eastAsia="Arial" w:hAnsi="Arial"/>
                <w:sz w:val="18"/>
                <w:szCs w:val="18"/>
                <w:color w:val="auto"/>
              </w:rPr>
              <w:t>Gross charge-offs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 Rating</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Pass (1-4)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40,186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26,773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90,134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204,107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204,204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 Mention (5)</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5,776</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19,082</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Substandard (6)</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Doubtful (7)</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300"/>
              <w:spacing w:after="0"/>
              <w:rPr>
                <w:sz w:val="20"/>
                <w:szCs w:val="20"/>
                <w:color w:val="auto"/>
              </w:rPr>
            </w:pPr>
            <w:r>
              <w:rPr>
                <w:rFonts w:ascii="Arial" w:cs="Arial" w:eastAsia="Arial" w:hAnsi="Arial"/>
                <w:sz w:val="18"/>
                <w:szCs w:val="18"/>
                <w:color w:val="auto"/>
              </w:rPr>
              <w:t>Total Agricultural Real</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21,557</w:t>
            </w:r>
          </w:p>
        </w:tc>
        <w:tc>
          <w:tcPr>
            <w:tcW w:w="3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40,606</w:t>
            </w:r>
          </w:p>
        </w:tc>
        <w:tc>
          <w:tcPr>
            <w:tcW w:w="36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38,592</w:t>
            </w:r>
          </w:p>
        </w:tc>
        <w:tc>
          <w:tcPr>
            <w:tcW w:w="3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26,961</w:t>
            </w:r>
          </w:p>
        </w:tc>
        <w:tc>
          <w:tcPr>
            <w:tcW w:w="36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102,718</w:t>
            </w:r>
          </w:p>
        </w:tc>
        <w:tc>
          <w:tcPr>
            <w:tcW w:w="36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230,434</w:t>
            </w:r>
          </w:p>
        </w:tc>
        <w:tc>
          <w:tcPr>
            <w:tcW w:w="360" w:type="dxa"/>
            <w:vAlign w:val="bottom"/>
            <w:vMerge w:val="restart"/>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4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5"/>
              </w:rPr>
              <w:t>230,531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40" w:type="dxa"/>
            <w:vAlign w:val="bottom"/>
          </w:tcPr>
          <w:p>
            <w:pPr>
              <w:ind w:left="300"/>
              <w:spacing w:after="0" w:line="203" w:lineRule="exact"/>
              <w:rPr>
                <w:sz w:val="20"/>
                <w:szCs w:val="20"/>
                <w:color w:val="auto"/>
              </w:rPr>
            </w:pPr>
            <w:r>
              <w:rPr>
                <w:rFonts w:ascii="Arial" w:cs="Arial" w:eastAsia="Arial" w:hAnsi="Arial"/>
                <w:sz w:val="18"/>
                <w:szCs w:val="18"/>
                <w:color w:val="auto"/>
              </w:rPr>
              <w:t>Estate</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Gross charge-offs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120"/>
              <w:spacing w:after="0"/>
              <w:rPr>
                <w:sz w:val="20"/>
                <w:szCs w:val="20"/>
                <w:color w:val="auto"/>
              </w:rPr>
            </w:pPr>
            <w:r>
              <w:rPr>
                <w:rFonts w:ascii="Arial" w:cs="Arial" w:eastAsia="Arial" w:hAnsi="Arial"/>
                <w:sz w:val="18"/>
                <w:szCs w:val="18"/>
                <w:color w:val="auto"/>
              </w:rPr>
              <w:t>Risk Rating</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Pass (1-4)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14,815</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25,059</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5,167</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6,645</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62,118</w:t>
            </w:r>
          </w:p>
        </w:tc>
        <w:tc>
          <w:tcPr>
            <w:tcW w:w="5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121,896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Special Mention (5)</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Substandard (6)</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Arial" w:cs="Arial" w:eastAsia="Arial" w:hAnsi="Arial"/>
                <w:sz w:val="18"/>
                <w:szCs w:val="18"/>
                <w:color w:val="auto"/>
              </w:rPr>
              <w:t>Doubtful (7)</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Agricultural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15,332</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26,094</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12,225</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6,645</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66,567</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62,026</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128,593</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40" w:type="dxa"/>
            <w:vAlign w:val="bottom"/>
          </w:tcPr>
          <w:p>
            <w:pPr>
              <w:ind w:left="300"/>
              <w:spacing w:after="0"/>
              <w:rPr>
                <w:sz w:val="20"/>
                <w:szCs w:val="20"/>
                <w:color w:val="auto"/>
              </w:rPr>
            </w:pPr>
            <w:r>
              <w:rPr>
                <w:rFonts w:ascii="Arial" w:cs="Arial" w:eastAsia="Arial" w:hAnsi="Arial"/>
                <w:sz w:val="18"/>
                <w:szCs w:val="18"/>
                <w:color w:val="auto"/>
              </w:rPr>
              <w:t>Gross charge-offs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2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-3719830</wp:posOffset>
            </wp:positionV>
            <wp:extent cx="516064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60645" cy="18859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-2451100</wp:posOffset>
            </wp:positionV>
            <wp:extent cx="85725" cy="300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-2451100</wp:posOffset>
            </wp:positionV>
            <wp:extent cx="76835"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-2451100</wp:posOffset>
            </wp:positionV>
            <wp:extent cx="85725" cy="300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-2451100</wp:posOffset>
            </wp:positionV>
            <wp:extent cx="77470" cy="300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-2451100</wp:posOffset>
            </wp:positionV>
            <wp:extent cx="85725"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-2451100</wp:posOffset>
            </wp:positionV>
            <wp:extent cx="76835" cy="300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-2451100</wp:posOffset>
            </wp:positionV>
            <wp:extent cx="7747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-2451100</wp:posOffset>
            </wp:positionV>
            <wp:extent cx="85725"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-1996440</wp:posOffset>
            </wp:positionV>
            <wp:extent cx="85725" cy="163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-1996440</wp:posOffset>
            </wp:positionV>
            <wp:extent cx="76835"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-1996440</wp:posOffset>
            </wp:positionV>
            <wp:extent cx="8572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-1996440</wp:posOffset>
            </wp:positionV>
            <wp:extent cx="7747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-1996440</wp:posOffset>
            </wp:positionV>
            <wp:extent cx="8572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-1996440</wp:posOffset>
            </wp:positionV>
            <wp:extent cx="76835"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-1996440</wp:posOffset>
            </wp:positionV>
            <wp:extent cx="7747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-1996440</wp:posOffset>
            </wp:positionV>
            <wp:extent cx="85725"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-745490</wp:posOffset>
            </wp:positionV>
            <wp:extent cx="5160645"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606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820" w:type="dxa"/>
            <w:vAlign w:val="bottom"/>
            <w:gridSpan w:val="18"/>
          </w:tcPr>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Term Loans Amortized Cost Basis by Origination Year</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6"/>
              </w:rPr>
              <w:t>Revolving</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50"/>
              <w:spacing w:after="0"/>
              <w:rPr>
                <w:sz w:val="20"/>
                <w:szCs w:val="20"/>
                <w:color w:val="auto"/>
              </w:rPr>
            </w:pPr>
            <w:r>
              <w:rPr>
                <w:rFonts w:ascii="Arial" w:cs="Arial" w:eastAsia="Arial" w:hAnsi="Arial"/>
                <w:sz w:val="18"/>
                <w:szCs w:val="18"/>
                <w:color w:val="auto"/>
                <w:w w:val="89"/>
              </w:rPr>
              <w:t>Loans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Amortize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Term</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ind w:right="70"/>
              <w:spacing w:after="0"/>
              <w:rPr>
                <w:sz w:val="20"/>
                <w:szCs w:val="20"/>
                <w:color w:val="auto"/>
              </w:rPr>
            </w:pPr>
            <w:r>
              <w:rPr>
                <w:rFonts w:ascii="Arial" w:cs="Arial" w:eastAsia="Arial" w:hAnsi="Arial"/>
                <w:sz w:val="18"/>
                <w:szCs w:val="18"/>
                <w:color w:val="auto"/>
                <w:w w:val="99"/>
              </w:rPr>
              <w:t>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95"/>
              </w:rPr>
              <w:t>Grand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2022</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2021</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2020</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Prior</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Basis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34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 Rating</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1,253,43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1,253,43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Pass (1-4)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166,430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440,265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256,817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130,716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259,203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 Mention (5)</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11,854</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Substandard (6)</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11,967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13,160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Doubtful (7)</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300"/>
              <w:spacing w:after="0"/>
              <w:rPr>
                <w:sz w:val="20"/>
                <w:szCs w:val="20"/>
                <w:color w:val="auto"/>
              </w:rPr>
            </w:pPr>
            <w:r>
              <w:rPr>
                <w:rFonts w:ascii="Arial" w:cs="Arial" w:eastAsia="Arial" w:hAnsi="Arial"/>
                <w:sz w:val="18"/>
                <w:szCs w:val="18"/>
                <w:color w:val="auto"/>
              </w:rPr>
              <w:t>Total Commercial Real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1,278,44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1,278,44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300"/>
              <w:spacing w:after="0"/>
              <w:rPr>
                <w:sz w:val="20"/>
                <w:szCs w:val="20"/>
                <w:color w:val="auto"/>
              </w:rPr>
            </w:pPr>
            <w:r>
              <w:rPr>
                <w:rFonts w:ascii="Arial" w:cs="Arial" w:eastAsia="Arial" w:hAnsi="Arial"/>
                <w:sz w:val="18"/>
                <w:szCs w:val="18"/>
                <w:color w:val="auto"/>
              </w:rPr>
              <w:t>Estate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167,548</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440,265</w:t>
            </w:r>
          </w:p>
        </w:tc>
        <w:tc>
          <w:tcPr>
            <w:tcW w:w="3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256,817</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141,362</w:t>
            </w:r>
          </w:p>
        </w:tc>
        <w:tc>
          <w:tcPr>
            <w:tcW w:w="3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272,453</w:t>
            </w:r>
          </w:p>
        </w:tc>
        <w:tc>
          <w:tcPr>
            <w:tcW w:w="3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Gross charge-offs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Risk Rating</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Pass (1-4)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40,307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58,399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27,371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162,698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86,104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248,802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 Mention (5)</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Substandard (6)</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Doubtful (7)</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300"/>
              <w:spacing w:after="0"/>
              <w:rPr>
                <w:sz w:val="20"/>
                <w:szCs w:val="20"/>
                <w:color w:val="auto"/>
              </w:rPr>
            </w:pPr>
            <w:r>
              <w:rPr>
                <w:rFonts w:ascii="Arial" w:cs="Arial" w:eastAsia="Arial" w:hAnsi="Arial"/>
                <w:sz w:val="18"/>
                <w:szCs w:val="18"/>
                <w:color w:val="auto"/>
              </w:rPr>
              <w:t>Total Commercial &amp;</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40,504</w:t>
            </w:r>
          </w:p>
        </w:tc>
        <w:tc>
          <w:tcPr>
            <w:tcW w:w="3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58,879</w:t>
            </w:r>
          </w:p>
        </w:tc>
        <w:tc>
          <w:tcPr>
            <w:tcW w:w="36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31,072</w:t>
            </w:r>
          </w:p>
        </w:tc>
        <w:tc>
          <w:tcPr>
            <w:tcW w:w="3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28,451</w:t>
            </w:r>
          </w:p>
        </w:tc>
        <w:tc>
          <w:tcPr>
            <w:tcW w:w="36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6,565</w:t>
            </w:r>
          </w:p>
        </w:tc>
        <w:tc>
          <w:tcPr>
            <w:tcW w:w="36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5"/>
              </w:rPr>
              <w:t>165,471</w:t>
            </w:r>
          </w:p>
        </w:tc>
        <w:tc>
          <w:tcPr>
            <w:tcW w:w="360" w:type="dxa"/>
            <w:vAlign w:val="bottom"/>
            <w:vMerge w:val="restart"/>
          </w:tcPr>
          <w:p>
            <w:pPr>
              <w:spacing w:after="0"/>
              <w:rPr>
                <w:sz w:val="18"/>
                <w:szCs w:val="18"/>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87,771</w:t>
            </w:r>
          </w:p>
        </w:tc>
        <w:tc>
          <w:tcPr>
            <w:tcW w:w="34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253,242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40" w:type="dxa"/>
            <w:vAlign w:val="bottom"/>
          </w:tcPr>
          <w:p>
            <w:pPr>
              <w:ind w:left="300"/>
              <w:spacing w:after="0" w:line="203" w:lineRule="exact"/>
              <w:rPr>
                <w:sz w:val="20"/>
                <w:szCs w:val="20"/>
                <w:color w:val="auto"/>
              </w:rPr>
            </w:pPr>
            <w:r>
              <w:rPr>
                <w:rFonts w:ascii="Arial" w:cs="Arial" w:eastAsia="Arial" w:hAnsi="Arial"/>
                <w:sz w:val="18"/>
                <w:szCs w:val="18"/>
                <w:color w:val="auto"/>
              </w:rPr>
              <w:t>Industrial</w:t>
            </w: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Gross charge-offs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120"/>
              <w:spacing w:after="0"/>
              <w:rPr>
                <w:sz w:val="20"/>
                <w:szCs w:val="20"/>
                <w:color w:val="auto"/>
              </w:rPr>
            </w:pPr>
            <w:r>
              <w:rPr>
                <w:rFonts w:ascii="Arial" w:cs="Arial" w:eastAsia="Arial" w:hAnsi="Arial"/>
                <w:sz w:val="18"/>
                <w:szCs w:val="18"/>
                <w:color w:val="auto"/>
              </w:rPr>
              <w:t>Risk Rating</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Pass (1-4)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17,526</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5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200"/>
              <w:spacing w:after="0"/>
              <w:rPr>
                <w:sz w:val="20"/>
                <w:szCs w:val="20"/>
                <w:color w:val="auto"/>
              </w:rPr>
            </w:pPr>
            <w:r>
              <w:rPr>
                <w:rFonts w:ascii="Arial" w:cs="Arial" w:eastAsia="Arial" w:hAnsi="Arial"/>
                <w:sz w:val="18"/>
                <w:szCs w:val="18"/>
                <w:color w:val="auto"/>
              </w:rPr>
              <w:t>Special Mention (5)</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Substandard (6)</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Arial" w:cs="Arial" w:eastAsia="Arial" w:hAnsi="Arial"/>
                <w:sz w:val="18"/>
                <w:szCs w:val="18"/>
                <w:color w:val="auto"/>
              </w:rPr>
              <w:t>Doubtful (7)</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Other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300"/>
              <w:spacing w:after="0"/>
              <w:rPr>
                <w:sz w:val="20"/>
                <w:szCs w:val="20"/>
                <w:color w:val="auto"/>
              </w:rPr>
            </w:pPr>
            <w:r>
              <w:rPr>
                <w:rFonts w:ascii="Arial" w:cs="Arial" w:eastAsia="Arial" w:hAnsi="Arial"/>
                <w:sz w:val="18"/>
                <w:szCs w:val="18"/>
                <w:color w:val="auto"/>
              </w:rPr>
              <w:t>Gross charge-offs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-3728085</wp:posOffset>
            </wp:positionV>
            <wp:extent cx="85725" cy="3257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-3728085</wp:posOffset>
            </wp:positionV>
            <wp:extent cx="76835" cy="325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-3728085</wp:posOffset>
            </wp:positionV>
            <wp:extent cx="85725" cy="3257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-3728085</wp:posOffset>
            </wp:positionV>
            <wp:extent cx="77470" cy="3257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-3728085</wp:posOffset>
            </wp:positionV>
            <wp:extent cx="85725" cy="3257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-3728085</wp:posOffset>
            </wp:positionV>
            <wp:extent cx="76835" cy="3257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-3728085</wp:posOffset>
            </wp:positionV>
            <wp:extent cx="77470" cy="3257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-3728085</wp:posOffset>
            </wp:positionV>
            <wp:extent cx="85725" cy="3257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-3248025</wp:posOffset>
            </wp:positionV>
            <wp:extent cx="85725"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-3248025</wp:posOffset>
            </wp:positionV>
            <wp:extent cx="76835"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-3248025</wp:posOffset>
            </wp:positionV>
            <wp:extent cx="85725"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-3248025</wp:posOffset>
            </wp:positionV>
            <wp:extent cx="7747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-3248025</wp:posOffset>
            </wp:positionV>
            <wp:extent cx="85725" cy="163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-3248025</wp:posOffset>
            </wp:positionV>
            <wp:extent cx="76835"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-3248025</wp:posOffset>
            </wp:positionV>
            <wp:extent cx="7747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-3248025</wp:posOffset>
            </wp:positionV>
            <wp:extent cx="85725"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-2313940</wp:posOffset>
            </wp:positionV>
            <wp:extent cx="85725" cy="3003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-2313940</wp:posOffset>
            </wp:positionV>
            <wp:extent cx="76835" cy="3003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-2313940</wp:posOffset>
            </wp:positionV>
            <wp:extent cx="85725" cy="3003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-2313940</wp:posOffset>
            </wp:positionV>
            <wp:extent cx="77470" cy="3003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-2313940</wp:posOffset>
            </wp:positionV>
            <wp:extent cx="85725" cy="3003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-2313940</wp:posOffset>
            </wp:positionV>
            <wp:extent cx="76835" cy="3003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-2313940</wp:posOffset>
            </wp:positionV>
            <wp:extent cx="77470" cy="300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-2313940</wp:posOffset>
            </wp:positionV>
            <wp:extent cx="85725" cy="300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-1859280</wp:posOffset>
            </wp:positionV>
            <wp:extent cx="85725"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-1859280</wp:posOffset>
            </wp:positionV>
            <wp:extent cx="7683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-1859280</wp:posOffset>
            </wp:positionV>
            <wp:extent cx="85725"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-1859280</wp:posOffset>
            </wp:positionV>
            <wp:extent cx="7747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-1859280</wp:posOffset>
            </wp:positionV>
            <wp:extent cx="8572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-1859280</wp:posOffset>
            </wp:positionV>
            <wp:extent cx="76835"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-1859280</wp:posOffset>
            </wp:positionV>
            <wp:extent cx="7747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-1859280</wp:posOffset>
            </wp:positionV>
            <wp:extent cx="8572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-607695</wp:posOffset>
            </wp:positionV>
            <wp:extent cx="516064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606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payment performance as of June 30, 2023 by year of origination: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rPr>
              <w:t>Term Loans Amortized Cost Basis by Origination Year</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5"/>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Revolvin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color w:val="auto"/>
                <w:w w:val="89"/>
              </w:rPr>
              <w:t>Loans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9"/>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5"/>
              </w:rPr>
              <w:t>Amortize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9"/>
              </w:rPr>
              <w:t>Term</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9"/>
              </w:rPr>
              <w:t>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w w:val="91"/>
              </w:rPr>
              <w:t>Grand</w:t>
            </w:r>
          </w:p>
        </w:tc>
        <w:tc>
          <w:tcPr>
            <w:tcW w:w="140" w:type="dxa"/>
            <w:vAlign w:val="bottom"/>
          </w:tcPr>
          <w:p>
            <w:pPr>
              <w:spacing w:after="0"/>
              <w:rPr>
                <w:sz w:val="20"/>
                <w:szCs w:val="20"/>
                <w:color w:val="auto"/>
              </w:rPr>
            </w:pPr>
          </w:p>
        </w:tc>
      </w:tr>
      <w:tr>
        <w:trPr>
          <w:trHeight w:val="229"/>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Cost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2023</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2022</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2021</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2020</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Prior</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Basis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Total</w:t>
            </w:r>
          </w:p>
        </w:tc>
        <w:tc>
          <w:tcPr>
            <w:tcW w:w="140" w:type="dxa"/>
            <w:vAlign w:val="bottom"/>
          </w:tcPr>
          <w:p>
            <w:pPr>
              <w:spacing w:after="0"/>
              <w:rPr>
                <w:sz w:val="20"/>
                <w:szCs w:val="20"/>
                <w:color w:val="auto"/>
              </w:rPr>
            </w:pPr>
          </w:p>
        </w:tc>
      </w:tr>
      <w:tr>
        <w:trPr>
          <w:trHeight w:val="243"/>
        </w:trPr>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2420" w:type="dxa"/>
            <w:vAlign w:val="bottom"/>
          </w:tcPr>
          <w:p>
            <w:pPr>
              <w:ind w:left="120"/>
              <w:spacing w:after="0"/>
              <w:rPr>
                <w:sz w:val="20"/>
                <w:szCs w:val="20"/>
                <w:color w:val="auto"/>
              </w:rPr>
            </w:pPr>
            <w:r>
              <w:rPr>
                <w:rFonts w:ascii="Arial" w:cs="Arial" w:eastAsia="Arial" w:hAnsi="Arial"/>
                <w:sz w:val="18"/>
                <w:szCs w:val="18"/>
                <w:color w:val="auto"/>
              </w:rPr>
              <w:t>Payment Performance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2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Performing</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49,158</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13,575</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6,751</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89,028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89,071</w:t>
            </w:r>
          </w:p>
        </w:tc>
        <w:tc>
          <w:tcPr>
            <w:tcW w:w="140" w:type="dxa"/>
            <w:vAlign w:val="bottom"/>
            <w:shd w:val="clear" w:color="auto" w:fill="CFF0FC"/>
          </w:tcPr>
          <w:p>
            <w:pPr>
              <w:spacing w:after="0"/>
              <w:rPr>
                <w:sz w:val="21"/>
                <w:szCs w:val="21"/>
                <w:color w:val="auto"/>
              </w:rPr>
            </w:pP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Nonperforming</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r>
      <w:tr>
        <w:trPr>
          <w:trHeight w:val="277"/>
        </w:trPr>
        <w:tc>
          <w:tcPr>
            <w:tcW w:w="24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Consumer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49,165</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13,635</w:t>
            </w:r>
          </w:p>
        </w:tc>
        <w:tc>
          <w:tcPr>
            <w:tcW w:w="3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6,751</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89,095</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89,138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2420" w:type="dxa"/>
            <w:vAlign w:val="bottom"/>
          </w:tcPr>
          <w:p>
            <w:pPr>
              <w:ind w:left="300"/>
              <w:spacing w:after="0"/>
              <w:rPr>
                <w:sz w:val="20"/>
                <w:szCs w:val="20"/>
                <w:color w:val="auto"/>
              </w:rPr>
            </w:pPr>
            <w:r>
              <w:rPr>
                <w:rFonts w:ascii="Arial" w:cs="Arial" w:eastAsia="Arial" w:hAnsi="Arial"/>
                <w:sz w:val="18"/>
                <w:szCs w:val="18"/>
                <w:color w:val="auto"/>
              </w:rPr>
              <w:t>Gross charge-offs YTD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r>
      <w:tr>
        <w:trPr>
          <w:trHeight w:val="534"/>
        </w:trPr>
        <w:tc>
          <w:tcPr>
            <w:tcW w:w="2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-616585</wp:posOffset>
            </wp:positionV>
            <wp:extent cx="510921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0921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collateral-dependent loans grouped by collateral as of June 30, 2023:</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50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r>
      <w:tr>
        <w:trPr>
          <w:trHeight w:val="230"/>
        </w:trPr>
        <w:tc>
          <w:tcPr>
            <w:tcW w:w="5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Pr>
          <w:p>
            <w:pPr>
              <w:jc w:val="center"/>
              <w:ind w:right="370"/>
              <w:spacing w:after="0"/>
              <w:rPr>
                <w:sz w:val="20"/>
                <w:szCs w:val="20"/>
                <w:color w:val="auto"/>
              </w:rPr>
            </w:pPr>
            <w:r>
              <w:rPr>
                <w:rFonts w:ascii="Arial" w:cs="Arial" w:eastAsia="Arial" w:hAnsi="Arial"/>
                <w:sz w:val="18"/>
                <w:szCs w:val="18"/>
                <w:color w:val="auto"/>
                <w:w w:val="91"/>
              </w:rPr>
              <w:t>Real</w:t>
            </w:r>
          </w:p>
        </w:tc>
        <w:tc>
          <w:tcPr>
            <w:tcW w:w="120" w:type="dxa"/>
            <w:vAlign w:val="bottom"/>
          </w:tcPr>
          <w:p>
            <w:pPr>
              <w:spacing w:after="0"/>
              <w:rPr>
                <w:sz w:val="20"/>
                <w:szCs w:val="20"/>
                <w:color w:val="auto"/>
              </w:rPr>
            </w:pPr>
          </w:p>
        </w:tc>
      </w:tr>
      <w:tr>
        <w:trPr>
          <w:trHeight w:val="249"/>
        </w:trPr>
        <w:tc>
          <w:tcPr>
            <w:tcW w:w="50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6"/>
              </w:rPr>
              <w:t>Estate</w:t>
            </w:r>
          </w:p>
        </w:tc>
        <w:tc>
          <w:tcPr>
            <w:tcW w:w="120" w:type="dxa"/>
            <w:vAlign w:val="bottom"/>
          </w:tcPr>
          <w:p>
            <w:pPr>
              <w:spacing w:after="0"/>
              <w:rPr>
                <w:sz w:val="21"/>
                <w:szCs w:val="21"/>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46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r>
      <w:tr>
        <w:trPr>
          <w:trHeight w:val="24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46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77"/>
        </w:trPr>
        <w:tc>
          <w:tcPr>
            <w:tcW w:w="5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Information about impaired loans as of December 31, 2022 and June 30, 2022 are presented for comparison purposes and are as follows:</w:t>
      </w:r>
    </w:p>
    <w:p>
      <w:pPr>
        <w:spacing w:after="0" w:line="277"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color w:val="auto"/>
              </w:rPr>
              <w:t>(In Thousands)</w:t>
            </w:r>
          </w:p>
        </w:tc>
      </w:tr>
      <w:tr>
        <w:trPr>
          <w:trHeight w:val="237"/>
        </w:trPr>
        <w:tc>
          <w:tcPr>
            <w:tcW w:w="5540" w:type="dxa"/>
            <w:vAlign w:val="bottom"/>
          </w:tcPr>
          <w:p>
            <w:pPr>
              <w:spacing w:after="0"/>
              <w:rPr>
                <w:sz w:val="20"/>
                <w:szCs w:val="20"/>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2"/>
              </w:rPr>
              <w:t>December 31, 2022</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2"/>
              </w:rPr>
              <w:t>June 30, 2022</w:t>
            </w:r>
          </w:p>
        </w:tc>
      </w:tr>
      <w:tr>
        <w:trPr>
          <w:trHeight w:val="243"/>
        </w:trPr>
        <w:tc>
          <w:tcPr>
            <w:tcW w:w="5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Impaired loans without a valuation allowance</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4,194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5,680</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Impaired loans with a valuation allowance</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4,663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4,989</w:t>
            </w:r>
          </w:p>
        </w:tc>
      </w:tr>
      <w:tr>
        <w:trPr>
          <w:trHeight w:val="277"/>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impaired loans</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8,857</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10,669</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Valuation allowance related to impaired loans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2,419</w:t>
            </w:r>
          </w:p>
        </w:tc>
      </w:tr>
      <w:tr>
        <w:trPr>
          <w:trHeight w:val="20"/>
        </w:trPr>
        <w:tc>
          <w:tcPr>
            <w:tcW w:w="5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64"/>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non-accrual loans</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4,689</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5,247</w:t>
            </w:r>
          </w:p>
        </w:tc>
      </w:tr>
      <w:tr>
        <w:trPr>
          <w:trHeight w:val="202"/>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Total loans past-due ninety days or more and</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7"/>
        </w:trPr>
        <w:tc>
          <w:tcPr>
            <w:tcW w:w="5540" w:type="dxa"/>
            <w:vAlign w:val="bottom"/>
          </w:tcPr>
          <w:p>
            <w:pPr>
              <w:ind w:left="160"/>
              <w:spacing w:after="0"/>
              <w:rPr>
                <w:sz w:val="20"/>
                <w:szCs w:val="20"/>
                <w:color w:val="auto"/>
              </w:rPr>
            </w:pPr>
            <w:r>
              <w:rPr>
                <w:rFonts w:ascii="Arial" w:cs="Arial" w:eastAsia="Arial" w:hAnsi="Arial"/>
                <w:sz w:val="18"/>
                <w:szCs w:val="18"/>
                <w:color w:val="auto"/>
              </w:rPr>
              <w:t>still accruing</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2"/>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Quarter ended average investment in impaired</w:t>
            </w: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44"/>
        </w:trPr>
        <w:tc>
          <w:tcPr>
            <w:tcW w:w="5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loans</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9,748</w:t>
            </w:r>
          </w:p>
        </w:tc>
      </w:tr>
      <w:tr>
        <w:trPr>
          <w:trHeight w:val="215"/>
        </w:trPr>
        <w:tc>
          <w:tcPr>
            <w:tcW w:w="5540" w:type="dxa"/>
            <w:vAlign w:val="bottom"/>
          </w:tcPr>
          <w:p>
            <w:pPr>
              <w:ind w:left="20"/>
              <w:spacing w:after="0"/>
              <w:rPr>
                <w:sz w:val="20"/>
                <w:szCs w:val="20"/>
                <w:color w:val="auto"/>
              </w:rPr>
            </w:pPr>
            <w:r>
              <w:rPr>
                <w:rFonts w:ascii="Arial" w:cs="Arial" w:eastAsia="Arial" w:hAnsi="Arial"/>
                <w:sz w:val="18"/>
                <w:szCs w:val="18"/>
                <w:color w:val="auto"/>
              </w:rPr>
              <w:t>Year to date average investment in impaired</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5540" w:type="dxa"/>
            <w:vAlign w:val="bottom"/>
          </w:tcPr>
          <w:p>
            <w:pPr>
              <w:ind w:left="160"/>
              <w:spacing w:after="0"/>
              <w:rPr>
                <w:sz w:val="20"/>
                <w:szCs w:val="20"/>
                <w:color w:val="auto"/>
              </w:rPr>
            </w:pPr>
            <w:r>
              <w:rPr>
                <w:rFonts w:ascii="Arial" w:cs="Arial" w:eastAsia="Arial" w:hAnsi="Arial"/>
                <w:sz w:val="18"/>
                <w:szCs w:val="18"/>
                <w:color w:val="auto"/>
              </w:rPr>
              <w:t>loans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10,710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-1250950</wp:posOffset>
            </wp:positionV>
            <wp:extent cx="102870"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20574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-890905</wp:posOffset>
            </wp:positionV>
            <wp:extent cx="102870" cy="3175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317500"/>
                    </a:xfrm>
                    <a:prstGeom prst="rect">
                      <a:avLst/>
                    </a:prstGeom>
                    <a:noFill/>
                  </pic:spPr>
                </pic:pic>
              </a:graphicData>
            </a:graphic>
          </wp:anchor>
        </w:drawing>
      </w:r>
    </w:p>
    <w:p>
      <w:pPr>
        <w:spacing w:after="0" w:line="37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Bank had approximately $3.6 million of its impaired loans classified as troubled debt restructured (TDR) as of December 31, 2022 and $2.7 million as of June 30, 2022.</w:t>
      </w:r>
    </w:p>
    <w:p>
      <w:pPr>
        <w:spacing w:after="0" w:line="170"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Under ASC 310-40, TDRs were eliminated from being classified as such for 2023 and will no longer be reported as such. Modification programs focus on payment pattern changes and/or modified maturity dates with most receiving a combination of the two concessions. The modifications did not result in the contractual forgiveness of principal. During the three months ended June 30, 2023 one new loan was considered a modification to a borrower experiencing financial difficulty. During the second quarter of 2022, there were no new loans considered TDR.</w:t>
      </w:r>
    </w:p>
    <w:p>
      <w:pPr>
        <w:spacing w:after="0" w:line="15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modification during the second quarter of 2023 consisted of refinancing at a higher balance to a borrower experiencing financial difficulty that would not have otherwise been granted to a borrower. The amount of the new money increase to the loan balance was $411 thousand. No additional funds are being advanced.</w:t>
      </w:r>
    </w:p>
    <w:p>
      <w:pPr>
        <w:spacing w:after="0" w:line="18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For the three months ended June 30, 2023 and 2022, there were no modifications to borrowers experiencing financial difficulty that subsequently defaulted after modification.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For the majority of the Bank’s impaired loans, the Bank applied the fair value of collateral or used a measurement incorporating the present value of expected future cash flows discounted at the loan’s effective rate of interest. To determine fair value of collateral, collateral asset values securing an impaired loan were periodically evaluated.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47"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The Bank used the following guidelines as stated in policy to determine when to realize a charge-off, whether a partial or full loan balance. A charge-off in whole or in part was realized when unsecured consumer loans, credit card credits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5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the three and six months ended June 30, 2022 and for the year ended December 31, 2022.</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9"/>
              </w:rPr>
              <w:t>QTD</w:t>
            </w:r>
          </w:p>
        </w:tc>
        <w:tc>
          <w:tcPr>
            <w:tcW w:w="140" w:type="dxa"/>
            <w:vAlign w:val="bottom"/>
          </w:tcPr>
          <w:p>
            <w:pPr>
              <w:spacing w:after="0"/>
              <w:rPr>
                <w:sz w:val="20"/>
                <w:szCs w:val="20"/>
                <w:color w:val="auto"/>
              </w:rPr>
            </w:pPr>
          </w:p>
        </w:tc>
      </w:tr>
      <w:tr>
        <w:trPr>
          <w:trHeight w:val="242"/>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9"/>
              </w:rPr>
              <w:t>QTD</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9"/>
              </w:rPr>
              <w:t>QTD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9"/>
              </w:rPr>
              <w:t>Interest</w:t>
            </w:r>
          </w:p>
        </w:tc>
        <w:tc>
          <w:tcPr>
            <w:tcW w:w="140" w:type="dxa"/>
            <w:vAlign w:val="bottom"/>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Three Months Ended June 30, 2022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1"/>
              </w:rPr>
              <w:t>Unpaid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92"/>
              </w:rPr>
              <w:t>Recorded</w:t>
            </w: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2"/>
              </w:rPr>
              <w:t>Principal</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7"/>
              </w:rPr>
              <w:t>Recorded</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1"/>
              </w:rPr>
              <w:t>Income</w:t>
            </w:r>
          </w:p>
        </w:tc>
        <w:tc>
          <w:tcPr>
            <w:tcW w:w="160" w:type="dxa"/>
            <w:vAlign w:val="bottom"/>
            <w:tcBorders>
              <w:right w:val="single" w:sz="8" w:color="auto"/>
            </w:tcBorders>
          </w:tcPr>
          <w:p>
            <w:pPr>
              <w:spacing w:after="0"/>
              <w:rPr>
                <w:sz w:val="21"/>
                <w:szCs w:val="21"/>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Recognized</w:t>
            </w:r>
          </w:p>
        </w:tc>
        <w:tc>
          <w:tcPr>
            <w:tcW w:w="140" w:type="dxa"/>
            <w:vAlign w:val="bottom"/>
          </w:tcPr>
          <w:p>
            <w:pPr>
              <w:spacing w:after="0"/>
              <w:rPr>
                <w:sz w:val="21"/>
                <w:szCs w:val="21"/>
                <w:color w:val="auto"/>
              </w:rPr>
            </w:pPr>
          </w:p>
        </w:tc>
      </w:tr>
      <w:tr>
        <w:trPr>
          <w:trHeight w:val="250"/>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88"/>
              </w:rPr>
              <w:t>Investment</w:t>
            </w: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5"/>
              </w:rPr>
              <w:t>Allowance</w:t>
            </w: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0"/>
              </w:rPr>
              <w:t>Investment</w:t>
            </w:r>
          </w:p>
        </w:tc>
        <w:tc>
          <w:tcPr>
            <w:tcW w:w="140" w:type="dxa"/>
            <w:vAlign w:val="bottom"/>
            <w:tcBorders>
              <w:right w:val="single" w:sz="8" w:color="auto"/>
            </w:tcBorders>
          </w:tcPr>
          <w:p>
            <w:pPr>
              <w:spacing w:after="0"/>
              <w:rPr>
                <w:sz w:val="21"/>
                <w:szCs w:val="21"/>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Recognized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5"/>
              </w:rPr>
              <w:t>Cash Basis</w:t>
            </w:r>
          </w:p>
        </w:tc>
        <w:tc>
          <w:tcPr>
            <w:tcW w:w="140" w:type="dxa"/>
            <w:vAlign w:val="bottom"/>
          </w:tcPr>
          <w:p>
            <w:pPr>
              <w:spacing w:after="0"/>
              <w:rPr>
                <w:sz w:val="21"/>
                <w:szCs w:val="21"/>
                <w:color w:val="auto"/>
              </w:rPr>
            </w:pPr>
          </w:p>
        </w:tc>
      </w:tr>
      <w:tr>
        <w:trPr>
          <w:trHeight w:val="24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2,985</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2,985</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3,105</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3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527"/>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3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-1165225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-1148080</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-1165225</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-1148080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-1165225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-1148080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-1165225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-1148080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-1165225</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-1148080</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-1165225</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-1148080</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-805180</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-788035</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-805180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-788035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-805180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-788035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-805180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-788035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-805180</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-788035</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-805180</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-788035</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-445135</wp:posOffset>
            </wp:positionV>
            <wp:extent cx="857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-427990</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-445135</wp:posOffset>
            </wp:positionV>
            <wp:extent cx="857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-427990</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-445135</wp:posOffset>
            </wp:positionV>
            <wp:extent cx="857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-427990</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-445135</wp:posOffset>
            </wp:positionV>
            <wp:extent cx="857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-427990</wp:posOffset>
            </wp:positionV>
            <wp:extent cx="85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857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85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-445135</wp:posOffset>
            </wp:positionV>
            <wp:extent cx="857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-427990</wp:posOffset>
            </wp:positionV>
            <wp:extent cx="85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rPr>
              <w:t>YTD</w:t>
            </w:r>
          </w:p>
        </w:tc>
        <w:tc>
          <w:tcPr>
            <w:tcW w:w="140" w:type="dxa"/>
            <w:vAlign w:val="bottom"/>
          </w:tcPr>
          <w:p>
            <w:pPr>
              <w:spacing w:after="0"/>
              <w:rPr>
                <w:sz w:val="20"/>
                <w:szCs w:val="20"/>
                <w:color w:val="auto"/>
              </w:rPr>
            </w:pPr>
          </w:p>
        </w:tc>
      </w:tr>
      <w:tr>
        <w:trPr>
          <w:trHeight w:val="242"/>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rPr>
              <w:t>YTD</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rPr>
              <w:t>YTD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9"/>
              </w:rPr>
              <w:t>Interest</w:t>
            </w:r>
          </w:p>
        </w:tc>
        <w:tc>
          <w:tcPr>
            <w:tcW w:w="140" w:type="dxa"/>
            <w:vAlign w:val="bottom"/>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1"/>
              </w:rPr>
              <w:t>Unpaid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92"/>
              </w:rPr>
              <w:t>Recorded</w:t>
            </w: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2"/>
              </w:rPr>
              <w:t>Principal</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7"/>
              </w:rPr>
              <w:t>Recorded</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1"/>
              </w:rPr>
              <w:t>Income</w:t>
            </w:r>
          </w:p>
        </w:tc>
        <w:tc>
          <w:tcPr>
            <w:tcW w:w="160" w:type="dxa"/>
            <w:vAlign w:val="bottom"/>
            <w:tcBorders>
              <w:right w:val="single" w:sz="8" w:color="auto"/>
            </w:tcBorders>
          </w:tcPr>
          <w:p>
            <w:pPr>
              <w:spacing w:after="0"/>
              <w:rPr>
                <w:sz w:val="21"/>
                <w:szCs w:val="21"/>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Recognized</w:t>
            </w:r>
          </w:p>
        </w:tc>
        <w:tc>
          <w:tcPr>
            <w:tcW w:w="140" w:type="dxa"/>
            <w:vAlign w:val="bottom"/>
          </w:tcPr>
          <w:p>
            <w:pPr>
              <w:spacing w:after="0"/>
              <w:rPr>
                <w:sz w:val="21"/>
                <w:szCs w:val="21"/>
                <w:color w:val="auto"/>
              </w:rPr>
            </w:pPr>
          </w:p>
        </w:tc>
      </w:tr>
      <w:tr>
        <w:trPr>
          <w:trHeight w:val="250"/>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88"/>
              </w:rPr>
              <w:t>Investment</w:t>
            </w: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5"/>
              </w:rPr>
              <w:t>Allowance</w:t>
            </w: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0"/>
              </w:rPr>
              <w:t>Investment</w:t>
            </w:r>
          </w:p>
        </w:tc>
        <w:tc>
          <w:tcPr>
            <w:tcW w:w="140" w:type="dxa"/>
            <w:vAlign w:val="bottom"/>
            <w:tcBorders>
              <w:right w:val="single" w:sz="8" w:color="auto"/>
            </w:tcBorders>
          </w:tcPr>
          <w:p>
            <w:pPr>
              <w:spacing w:after="0"/>
              <w:rPr>
                <w:sz w:val="21"/>
                <w:szCs w:val="21"/>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Recognized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5"/>
              </w:rPr>
              <w:t>Cash Basis</w:t>
            </w:r>
          </w:p>
        </w:tc>
        <w:tc>
          <w:tcPr>
            <w:tcW w:w="140" w:type="dxa"/>
            <w:vAlign w:val="bottom"/>
          </w:tcPr>
          <w:p>
            <w:pPr>
              <w:spacing w:after="0"/>
              <w:rPr>
                <w:sz w:val="21"/>
                <w:szCs w:val="21"/>
                <w:color w:val="auto"/>
              </w:rPr>
            </w:pPr>
          </w:p>
        </w:tc>
      </w:tr>
      <w:tr>
        <w:trPr>
          <w:trHeight w:val="24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2,775</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2,985</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2,985</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3,426</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37"/>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right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3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4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520"/>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-1165225</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-1148080</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-1165225</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-1148080</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-1165225</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-1148080</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-1165225</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-1148080</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-1165225</wp:posOffset>
            </wp:positionV>
            <wp:extent cx="85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-1148080</wp:posOffset>
            </wp:positionV>
            <wp:extent cx="857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-1165225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-1148080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-805180</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-788035</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-805180</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-788035</wp:posOffset>
            </wp:positionV>
            <wp:extent cx="857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-805180</wp:posOffset>
            </wp:positionV>
            <wp:extent cx="857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-788035</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-805180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-788035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-805180</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-788035</wp:posOffset>
            </wp:positionV>
            <wp:extent cx="857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-805180</wp:posOffset>
            </wp:positionV>
            <wp:extent cx="857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-788035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-445135</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-427990</wp:posOffset>
            </wp:positionV>
            <wp:extent cx="85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-445135</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-427990</wp:posOffset>
            </wp:positionV>
            <wp:extent cx="857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-445135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-427990</wp:posOffset>
            </wp:positionV>
            <wp:extent cx="85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-445135</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-427990</wp:posOffset>
            </wp:positionV>
            <wp:extent cx="857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-427990</wp:posOffset>
            </wp:positionV>
            <wp:extent cx="857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-445135</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-427990</wp:posOffset>
            </wp:positionV>
            <wp:extent cx="857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9"/>
              </w:rPr>
              <w:t>Interest</w:t>
            </w:r>
          </w:p>
        </w:tc>
        <w:tc>
          <w:tcPr>
            <w:tcW w:w="140" w:type="dxa"/>
            <w:vAlign w:val="bottom"/>
          </w:tcPr>
          <w:p>
            <w:pPr>
              <w:spacing w:after="0"/>
              <w:rPr>
                <w:sz w:val="20"/>
                <w:szCs w:val="20"/>
                <w:color w:val="auto"/>
              </w:rPr>
            </w:pPr>
          </w:p>
        </w:tc>
      </w:tr>
      <w:tr>
        <w:trPr>
          <w:trHeight w:val="242"/>
        </w:trPr>
        <w:tc>
          <w:tcPr>
            <w:tcW w:w="350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1"/>
              </w:rPr>
              <w:t>Unpaid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6"/>
              </w:rPr>
              <w:t>Interest</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92"/>
              </w:rPr>
              <w:t>Recorded</w:t>
            </w: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92"/>
              </w:rPr>
              <w:t>Principal</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87"/>
              </w:rPr>
              <w:t>Recorded</w:t>
            </w:r>
          </w:p>
        </w:tc>
        <w:tc>
          <w:tcPr>
            <w:tcW w:w="1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8"/>
              </w:rPr>
              <w:t>Income</w:t>
            </w:r>
          </w:p>
        </w:tc>
        <w:tc>
          <w:tcPr>
            <w:tcW w:w="160" w:type="dxa"/>
            <w:vAlign w:val="bottom"/>
            <w:tcBorders>
              <w:right w:val="single" w:sz="8" w:color="auto"/>
            </w:tcBorders>
          </w:tcPr>
          <w:p>
            <w:pPr>
              <w:spacing w:after="0"/>
              <w:rPr>
                <w:sz w:val="21"/>
                <w:szCs w:val="21"/>
                <w:color w:val="auto"/>
              </w:rPr>
            </w:pP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Recognized</w:t>
            </w:r>
          </w:p>
        </w:tc>
        <w:tc>
          <w:tcPr>
            <w:tcW w:w="140" w:type="dxa"/>
            <w:vAlign w:val="bottom"/>
          </w:tcPr>
          <w:p>
            <w:pPr>
              <w:spacing w:after="0"/>
              <w:rPr>
                <w:sz w:val="21"/>
                <w:szCs w:val="21"/>
                <w:color w:val="auto"/>
              </w:rPr>
            </w:pPr>
          </w:p>
        </w:tc>
      </w:tr>
      <w:tr>
        <w:trPr>
          <w:trHeight w:val="250"/>
        </w:trPr>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88"/>
              </w:rPr>
              <w:t>Investment</w:t>
            </w:r>
          </w:p>
        </w:tc>
        <w:tc>
          <w:tcPr>
            <w:tcW w:w="1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5"/>
              </w:rPr>
              <w:t>Allowance</w:t>
            </w:r>
          </w:p>
        </w:tc>
        <w:tc>
          <w:tcPr>
            <w:tcW w:w="240" w:type="dxa"/>
            <w:vAlign w:val="bottom"/>
          </w:tcPr>
          <w:p>
            <w:pPr>
              <w:spacing w:after="0"/>
              <w:rPr>
                <w:sz w:val="21"/>
                <w:szCs w:val="21"/>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0"/>
              </w:rPr>
              <w:t>Investment</w:t>
            </w:r>
          </w:p>
        </w:tc>
        <w:tc>
          <w:tcPr>
            <w:tcW w:w="140" w:type="dxa"/>
            <w:vAlign w:val="bottom"/>
            <w:tcBorders>
              <w:right w:val="single" w:sz="8" w:color="auto"/>
            </w:tcBorders>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Recognized</w:t>
            </w:r>
          </w:p>
        </w:tc>
        <w:tc>
          <w:tcPr>
            <w:tcW w:w="1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85"/>
              </w:rPr>
              <w:t>Cash Basis</w:t>
            </w:r>
          </w:p>
        </w:tc>
        <w:tc>
          <w:tcPr>
            <w:tcW w:w="140" w:type="dxa"/>
            <w:vAlign w:val="bottom"/>
          </w:tcPr>
          <w:p>
            <w:pPr>
              <w:spacing w:after="0"/>
              <w:rPr>
                <w:sz w:val="21"/>
                <w:szCs w:val="21"/>
                <w:color w:val="auto"/>
              </w:rPr>
            </w:pPr>
          </w:p>
        </w:tc>
      </w:tr>
      <w:tr>
        <w:trPr>
          <w:trHeight w:val="24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With a specific allowance recorded: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2,874</w:t>
            </w:r>
          </w:p>
        </w:tc>
        <w:tc>
          <w:tcPr>
            <w:tcW w:w="1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2,874</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3,176</w:t>
            </w:r>
          </w:p>
        </w:tc>
        <w:tc>
          <w:tcPr>
            <w:tcW w:w="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3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3"/>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500" w:type="dxa"/>
            <w:vAlign w:val="bottom"/>
          </w:tcPr>
          <w:p>
            <w:pPr>
              <w:ind w:left="200"/>
              <w:spacing w:after="0"/>
              <w:rPr>
                <w:sz w:val="20"/>
                <w:szCs w:val="20"/>
                <w:color w:val="auto"/>
              </w:rPr>
            </w:pPr>
            <w:r>
              <w:rPr>
                <w:rFonts w:ascii="Arial" w:cs="Arial" w:eastAsia="Arial" w:hAnsi="Arial"/>
                <w:sz w:val="18"/>
                <w:szCs w:val="18"/>
                <w:color w:val="auto"/>
              </w:rPr>
              <w:t>Consumer Real Estate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Agricultural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4"/>
        </w:trPr>
        <w:tc>
          <w:tcPr>
            <w:tcW w:w="3500" w:type="dxa"/>
            <w:vAlign w:val="bottom"/>
          </w:tcPr>
          <w:p>
            <w:pPr>
              <w:ind w:left="200"/>
              <w:spacing w:after="0"/>
              <w:rPr>
                <w:sz w:val="20"/>
                <w:szCs w:val="20"/>
                <w:color w:val="auto"/>
              </w:rPr>
            </w:pPr>
            <w:r>
              <w:rPr>
                <w:rFonts w:ascii="Arial" w:cs="Arial" w:eastAsia="Arial" w:hAnsi="Arial"/>
                <w:sz w:val="18"/>
                <w:szCs w:val="18"/>
                <w:color w:val="auto"/>
              </w:rPr>
              <w:t>Agricultural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35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right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-745490</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-728345</wp:posOffset>
            </wp:positionV>
            <wp:extent cx="857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-745490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-728345</wp:posOffset>
            </wp:positionV>
            <wp:extent cx="85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-745490</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-728345</wp:posOffset>
            </wp:positionV>
            <wp:extent cx="857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-745490</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-728345</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-745490</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-728345</wp:posOffset>
            </wp:positionV>
            <wp:extent cx="85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-745490</wp:posOffset>
            </wp:positionV>
            <wp:extent cx="857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-728345</wp:posOffset>
            </wp:positionV>
            <wp:extent cx="857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-385445</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-368300</wp:posOffset>
            </wp:positionV>
            <wp:extent cx="857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-385445</wp:posOffset>
            </wp:positionV>
            <wp:extent cx="857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-368300</wp:posOffset>
            </wp:positionV>
            <wp:extent cx="85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-385445</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-368300</wp:posOffset>
            </wp:positionV>
            <wp:extent cx="857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-385445</wp:posOffset>
            </wp:positionV>
            <wp:extent cx="85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-368300</wp:posOffset>
            </wp:positionV>
            <wp:extent cx="85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-385445</wp:posOffset>
            </wp:positionV>
            <wp:extent cx="85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-368300</wp:posOffset>
            </wp:positionV>
            <wp:extent cx="857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-385445</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-368300</wp:posOffset>
            </wp:positionV>
            <wp:extent cx="857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-25400</wp:posOffset>
            </wp:positionV>
            <wp:extent cx="857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-8255</wp:posOffset>
            </wp:positionV>
            <wp:extent cx="857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857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857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857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857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857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857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857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857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1803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As of June 30, 2023, the Company had no foreclosed residential real estate property obtained by physical possession and $95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and $170 thousand of consumer mortgage loans secured by residential real estate properties for which foreclosure proceeding were in process according to local jurisdictions as of December 31, 2022. As of June 30, 2022, the Company had no foreclosed residential real estate property obtained by physical possession and $72 thousand of consumer mortgage loans secured by residential real estate properties for which foreclosure proceedings were in process according to local jurisdictions.</w:t>
      </w:r>
    </w:p>
    <w:p>
      <w:pPr>
        <w:spacing w:after="0" w:line="13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for loan losses and unfunded commitment liability in the amount of $4.5 million, or $3.4 million, net of tax.</w:t>
      </w:r>
    </w:p>
    <w:p>
      <w:pPr>
        <w:spacing w:after="0" w:line="16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Allowance for Credit Losses (ACL) has a direct impact on the provision expense. An increase in the ACL is funded through recoveries and provision expense.</w:t>
      </w:r>
    </w:p>
    <w:p>
      <w:pPr>
        <w:spacing w:after="0" w:line="170" w:lineRule="exact"/>
        <w:rPr>
          <w:sz w:val="20"/>
          <w:szCs w:val="20"/>
          <w:color w:val="auto"/>
        </w:rPr>
      </w:pPr>
    </w:p>
    <w:p>
      <w:pPr>
        <w:jc w:val="both"/>
        <w:ind w:left="760"/>
        <w:spacing w:after="0" w:line="308" w:lineRule="auto"/>
        <w:rPr>
          <w:sz w:val="20"/>
          <w:szCs w:val="20"/>
          <w:color w:val="auto"/>
        </w:rPr>
      </w:pPr>
      <w:r>
        <w:rPr>
          <w:rFonts w:ascii="Arial" w:cs="Arial" w:eastAsia="Arial" w:hAnsi="Arial"/>
          <w:sz w:val="17"/>
          <w:szCs w:val="17"/>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146"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The allowance does not include an accretable yield of $5.8 and $6.3 million as of June 30, 2023 and December 31, 2022, respectively, nor a nonaccretable yield of $138 thousand as of December 31, 2022, related to the acquisitions of Bank of Geneva in 2019 and Ossian State Bank and Perpetual Federal Savings Bank in 2021 and Peoples Federal Savings and Loan Bank in 2022 as previously discussed in Note 2.</w:t>
      </w:r>
    </w:p>
    <w:p>
      <w:pPr>
        <w:spacing w:after="0" w:line="10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AULC is reported within other liabilities while the ACL portion associated with loans is netted within the loans, net asset line on the Company’s Condensed Consolidated Balance Sheets.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color w:val="auto"/>
        </w:rPr>
        <w:t>The following tables break down the activity within ACL for each loan portfolio classification and shows the contribution provided by both the recoveries and the provision along with the reduction of the allowance caused by charge-offs for the three and six months ended June 30,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215"/>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Consumer</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Agricultural</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3"/>
              </w:rPr>
              <w:t>Commercial</w:t>
            </w: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79"/>
              </w:rPr>
              <w:t>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4"/>
              </w:rPr>
              <w:t>Real Estate</w:t>
            </w: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Real Estate</w:t>
            </w:r>
          </w:p>
        </w:tc>
        <w:tc>
          <w:tcPr>
            <w:tcW w:w="1220" w:type="dxa"/>
            <w:vAlign w:val="bottom"/>
            <w:tcBorders>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Agricultural</w:t>
            </w:r>
          </w:p>
        </w:tc>
        <w:tc>
          <w:tcPr>
            <w:tcW w:w="122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8"/>
              </w:rPr>
              <w:t>Real Estate</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3"/>
              </w:rPr>
              <w:t>Industrial</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86"/>
              </w:rPr>
              <w:t>Consumer</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Total</w:t>
            </w:r>
          </w:p>
        </w:tc>
      </w:tr>
      <w:tr>
        <w:trPr>
          <w:trHeight w:val="211"/>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8"/>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1"/>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3,623</w:t>
            </w:r>
          </w:p>
        </w:tc>
        <w:tc>
          <w:tcPr>
            <w:tcW w:w="1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16,088</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24,634</w:t>
            </w:r>
          </w:p>
        </w:tc>
        <w:tc>
          <w:tcPr>
            <w:tcW w:w="140" w:type="dxa"/>
            <w:vAlign w:val="bottom"/>
            <w:shd w:val="clear" w:color="auto" w:fill="CFF0FC"/>
          </w:tcPr>
          <w:p>
            <w:pPr>
              <w:spacing w:after="0"/>
              <w:rPr>
                <w:sz w:val="21"/>
                <w:szCs w:val="21"/>
                <w:color w:val="auto"/>
              </w:rPr>
            </w:pPr>
          </w:p>
        </w:tc>
      </w:tr>
      <w:tr>
        <w:trPr>
          <w:trHeight w:val="237"/>
        </w:trPr>
        <w:tc>
          <w:tcPr>
            <w:tcW w:w="2740" w:type="dxa"/>
            <w:vAlign w:val="bottom"/>
          </w:tcPr>
          <w:p>
            <w:pPr>
              <w:ind w:left="200"/>
              <w:spacing w:after="0"/>
              <w:rPr>
                <w:sz w:val="20"/>
                <w:szCs w:val="20"/>
                <w:color w:val="auto"/>
              </w:rPr>
            </w:pPr>
            <w:r>
              <w:rPr>
                <w:rFonts w:ascii="Arial" w:cs="Arial" w:eastAsia="Arial" w:hAnsi="Arial"/>
                <w:sz w:val="18"/>
                <w:szCs w:val="18"/>
                <w:color w:val="auto"/>
                <w:w w:val="95"/>
              </w:rPr>
              <w:t>Provision for credit losses - loans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(76 )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(653 )</w:t>
            </w: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(128 )</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0"/>
                <w:szCs w:val="20"/>
                <w:color w:val="auto"/>
              </w:rPr>
            </w:pP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(60 )</w:t>
            </w:r>
          </w:p>
        </w:tc>
        <w:tc>
          <w:tcPr>
            <w:tcW w:w="3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(60 )</w:t>
            </w:r>
          </w:p>
        </w:tc>
      </w:tr>
      <w:tr>
        <w:trPr>
          <w:trHeight w:val="237"/>
        </w:trPr>
        <w:tc>
          <w:tcPr>
            <w:tcW w:w="27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auto"/>
            </w:tcBorders>
          </w:tcPr>
          <w:p>
            <w:pPr>
              <w:spacing w:after="0"/>
              <w:rPr>
                <w:sz w:val="20"/>
                <w:szCs w:val="20"/>
                <w:color w:val="auto"/>
              </w:rPr>
            </w:pPr>
          </w:p>
        </w:tc>
      </w:tr>
      <w:tr>
        <w:trPr>
          <w:trHeight w:val="283"/>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auto"/>
              <w:right w:val="single" w:sz="8" w:color="auto"/>
            </w:tcBorders>
            <w:shd w:val="clear" w:color="auto" w:fill="CFF0FC"/>
          </w:tcPr>
          <w:p>
            <w:pPr>
              <w:spacing w:after="0"/>
              <w:rPr>
                <w:sz w:val="24"/>
                <w:szCs w:val="24"/>
                <w:color w:val="auto"/>
              </w:rPr>
            </w:pPr>
          </w:p>
        </w:tc>
        <w:tc>
          <w:tcPr>
            <w:tcW w:w="4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bottom w:val="single" w:sz="8" w:color="auto"/>
              <w:right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16,681</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Borders>
              <w:bottom w:val="single" w:sz="8" w:color="auto"/>
              <w:right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24,910</w:t>
            </w:r>
          </w:p>
        </w:tc>
        <w:tc>
          <w:tcPr>
            <w:tcW w:w="140" w:type="dxa"/>
            <w:vAlign w:val="bottom"/>
            <w:tcBorders>
              <w:bottom w:val="single" w:sz="8" w:color="auto"/>
            </w:tcBorders>
            <w:shd w:val="clear" w:color="auto" w:fill="CFF0FC"/>
          </w:tcPr>
          <w:p>
            <w:pPr>
              <w:spacing w:after="0"/>
              <w:rPr>
                <w:sz w:val="24"/>
                <w:szCs w:val="24"/>
                <w:color w:val="auto"/>
              </w:rPr>
            </w:pPr>
          </w:p>
        </w:tc>
      </w:tr>
      <w:tr>
        <w:trPr>
          <w:trHeight w:val="460"/>
        </w:trPr>
        <w:tc>
          <w:tcPr>
            <w:tcW w:w="2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8"/>
              </w:rPr>
              <w:t>Consume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9"/>
              </w:rPr>
              <w:t>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6"/>
              </w:rPr>
              <w:t>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Agricultural</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Commercial</w:t>
            </w: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Real Estate</w:t>
            </w:r>
          </w:p>
        </w:tc>
        <w:tc>
          <w:tcPr>
            <w:tcW w:w="122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Agricultural</w:t>
            </w:r>
          </w:p>
        </w:tc>
        <w:tc>
          <w:tcPr>
            <w:tcW w:w="12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8"/>
              </w:rPr>
              <w:t>Real Estate</w:t>
            </w: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3"/>
              </w:rPr>
              <w:t>Industrial</w:t>
            </w: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9"/>
              </w:rPr>
              <w:t>Consumer</w:t>
            </w:r>
          </w:p>
        </w:tc>
        <w:tc>
          <w:tcPr>
            <w:tcW w:w="3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r>
      <w:tr>
        <w:trPr>
          <w:trHeight w:val="243"/>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Six Months Ended June 30, 2023</w:t>
            </w:r>
          </w:p>
        </w:tc>
        <w:tc>
          <w:tcPr>
            <w:tcW w:w="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right w:val="single" w:sz="8" w:color="CFF0FC"/>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1"/>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2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20,313</w:t>
            </w:r>
          </w:p>
        </w:tc>
        <w:tc>
          <w:tcPr>
            <w:tcW w:w="140" w:type="dxa"/>
            <w:vAlign w:val="bottom"/>
            <w:shd w:val="clear" w:color="auto" w:fill="CFF0FC"/>
          </w:tcPr>
          <w:p>
            <w:pPr>
              <w:spacing w:after="0"/>
              <w:rPr>
                <w:sz w:val="21"/>
                <w:szCs w:val="21"/>
                <w:color w:val="auto"/>
              </w:rPr>
            </w:pPr>
          </w:p>
        </w:tc>
      </w:tr>
      <w:tr>
        <w:trPr>
          <w:trHeight w:val="237"/>
        </w:trPr>
        <w:tc>
          <w:tcPr>
            <w:tcW w:w="2740" w:type="dxa"/>
            <w:vAlign w:val="bottom"/>
          </w:tcPr>
          <w:p>
            <w:pPr>
              <w:ind w:left="200"/>
              <w:spacing w:after="0"/>
              <w:rPr>
                <w:sz w:val="20"/>
                <w:szCs w:val="20"/>
                <w:color w:val="auto"/>
              </w:rPr>
            </w:pPr>
            <w:r>
              <w:rPr>
                <w:rFonts w:ascii="Arial" w:cs="Arial" w:eastAsia="Arial" w:hAnsi="Arial"/>
                <w:sz w:val="18"/>
                <w:szCs w:val="18"/>
                <w:color w:val="auto"/>
              </w:rPr>
              <w:t>Adoption of ASU 2016-13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2,874</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(166 )</w:t>
            </w:r>
          </w:p>
        </w:tc>
        <w:tc>
          <w:tcPr>
            <w:tcW w:w="3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(650 )</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(2,165 )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Pr>
          <w:p>
            <w:pPr>
              <w:spacing w:after="0"/>
              <w:rPr>
                <w:sz w:val="20"/>
                <w:szCs w:val="20"/>
                <w:color w:val="auto"/>
              </w:rPr>
            </w:pP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Provision for credit losses-loans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(50 )</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(462 )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FF0FC"/>
          </w:tcPr>
          <w:p>
            <w:pPr>
              <w:spacing w:after="0"/>
              <w:rPr>
                <w:sz w:val="21"/>
                <w:szCs w:val="21"/>
                <w:color w:val="auto"/>
              </w:rPr>
            </w:pPr>
          </w:p>
        </w:tc>
      </w:tr>
      <w:tr>
        <w:trPr>
          <w:trHeight w:val="237"/>
        </w:trPr>
        <w:tc>
          <w:tcPr>
            <w:tcW w:w="274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(182 )</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(182 )</w:t>
            </w:r>
          </w:p>
        </w:tc>
      </w:tr>
      <w:tr>
        <w:trPr>
          <w:trHeight w:val="249"/>
        </w:trPr>
        <w:tc>
          <w:tcPr>
            <w:tcW w:w="2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right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FF0FC"/>
          </w:tcPr>
          <w:p>
            <w:pPr>
              <w:spacing w:after="0"/>
              <w:rPr>
                <w:sz w:val="21"/>
                <w:szCs w:val="21"/>
                <w:color w:val="auto"/>
              </w:rPr>
            </w:pPr>
          </w:p>
        </w:tc>
      </w:tr>
      <w:tr>
        <w:trPr>
          <w:trHeight w:val="236"/>
        </w:trPr>
        <w:tc>
          <w:tcPr>
            <w:tcW w:w="27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16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24,910</w:t>
            </w:r>
          </w:p>
        </w:tc>
        <w:tc>
          <w:tcPr>
            <w:tcW w:w="14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37"/>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2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break down the activity in the AULC for the three and six months ended June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Loan</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Commitment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&amp; Letters of</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Credit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Three Months Ended June 30, 2023</w:t>
            </w:r>
          </w:p>
        </w:tc>
        <w:tc>
          <w:tcPr>
            <w:tcW w:w="20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ALLOWANCE FOR UNFUNDED LOAN COMMITMENTS AND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LETTERS OF CREDIT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Provision for credit losses - off balance sheet credit exposures</w:t>
            </w:r>
          </w:p>
        </w:tc>
        <w:tc>
          <w:tcPr>
            <w:tcW w:w="2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(129 )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60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Charge-offs</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86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7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 Thousands)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Unfunded</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Loan</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Commitment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&amp; Letters of</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Credit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2023</w:t>
            </w:r>
          </w:p>
        </w:tc>
        <w:tc>
          <w:tcPr>
            <w:tcW w:w="20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ALLOWANCE FOR UNFUNDED LOAN COMMITMENTS AND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LETTERS OF CREDIT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Adoption of ASU 2016-13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60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Provision for credit losses-off balance sheet credit exposures</w:t>
            </w:r>
          </w:p>
        </w:tc>
        <w:tc>
          <w:tcPr>
            <w:tcW w:w="2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Charge-offs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860" w:type="dxa"/>
            <w:vAlign w:val="bottom"/>
            <w:vMerge w:val="restart"/>
          </w:tcPr>
          <w:p>
            <w:pPr>
              <w:ind w:left="3840"/>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170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5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-3016885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-2999740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-3180080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Additional analysis, presented in thousands, related to the ALLL for the three and six months ended June 30, 2022 in addition to the ending balances as of December 31, 2022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89"/>
              </w:rPr>
              <w:t>Unfunded</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Commit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Consume</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Agricultu</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89"/>
              </w:rPr>
              <w:t>Commerc</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89"/>
              </w:rPr>
              <w:t>Commerc</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ment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ral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ial</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ial</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9"/>
              </w:rPr>
              <w:t>&amp; Letters</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7"/>
              </w:rPr>
              <w:t>Real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Real</w:t>
            </w: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Agricultu</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Real</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and</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0"/>
              </w:rPr>
              <w:t>Consume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2"/>
              </w:rPr>
              <w:t>of</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Unallocat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0"/>
              </w:rPr>
              <w:t>Estate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ral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w w:val="90"/>
              </w:rPr>
              <w:t>Estate</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5"/>
              </w:rPr>
              <w:t>Industrial</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11"/>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7"/>
              </w:rPr>
              <w:t>Three Months Ended June</w:t>
            </w: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30, 2022</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49"/>
        </w:trPr>
        <w:tc>
          <w:tcPr>
            <w:tcW w:w="2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Non-interest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expense related to</w:t>
            </w: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unfunded</w:t>
            </w: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1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individually evaluated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w w:val="99"/>
              </w:rPr>
              <w:t>Ending balance: collectively</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evaluated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10,427</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2,946</w:t>
            </w:r>
          </w:p>
        </w:tc>
        <w:tc>
          <w:tcPr>
            <w:tcW w:w="160" w:type="dxa"/>
            <w:vAlign w:val="bottom"/>
            <w:tcBorders>
              <w:right w:val="single" w:sz="8" w:color="auto"/>
            </w:tcBorders>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loans</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with</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deteriorated credit quality</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FINANCING</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2,034,8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410,468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199,650</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127,340</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977,588</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264,124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55,648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individually evaluated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4,133</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Borders>
              <w:right w:val="single" w:sz="8" w:color="auto"/>
            </w:tcBorders>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10,669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Ending balance: collectively</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2,023,1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evaluated</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409,318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197,039</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126,044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973,258</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261,854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55,628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rPr>
              <w:t>Ending balance: loans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acquired with</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right w:val="single" w:sz="8" w:color="auto"/>
            </w:tcBorders>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deteriorated credit quality</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-3788410</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-3788410</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-3788410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-3788410</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-3788410</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-3788410</wp:posOffset>
            </wp:positionV>
            <wp:extent cx="85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-3788410</wp:posOffset>
            </wp:positionV>
            <wp:extent cx="857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-3788410</wp:posOffset>
            </wp:positionV>
            <wp:extent cx="85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-3788410</wp:posOffset>
            </wp:positionV>
            <wp:extent cx="85725"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-3196590</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-3180080</wp:posOffset>
            </wp:positionV>
            <wp:extent cx="857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-3196590</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-3180080</wp:posOffset>
            </wp:positionV>
            <wp:extent cx="857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-3196590</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-3180080</wp:posOffset>
            </wp:positionV>
            <wp:extent cx="857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-3196590</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-3180080</wp:posOffset>
            </wp:positionV>
            <wp:extent cx="857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-3196590</wp:posOffset>
            </wp:positionV>
            <wp:extent cx="857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-3180080</wp:posOffset>
            </wp:positionV>
            <wp:extent cx="857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-3196590</wp:posOffset>
            </wp:positionV>
            <wp:extent cx="857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-3180080</wp:posOffset>
            </wp:positionV>
            <wp:extent cx="857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-3196590</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-3180080</wp:posOffset>
            </wp:positionV>
            <wp:extent cx="857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-3196590</wp:posOffset>
            </wp:positionV>
            <wp:extent cx="857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-3180080</wp:posOffset>
            </wp:positionV>
            <wp:extent cx="857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-3196590</wp:posOffset>
            </wp:positionV>
            <wp:extent cx="857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-3180080</wp:posOffset>
            </wp:positionV>
            <wp:extent cx="857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-2339340</wp:posOffset>
            </wp:positionV>
            <wp:extent cx="857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-2322195</wp:posOffset>
            </wp:positionV>
            <wp:extent cx="85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-2339340</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-2322195</wp:posOffset>
            </wp:positionV>
            <wp:extent cx="857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-2339340</wp:posOffset>
            </wp:positionV>
            <wp:extent cx="857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-2322195</wp:posOffset>
            </wp:positionV>
            <wp:extent cx="857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-2339340</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-2322195</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-2339340</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-2322195</wp:posOffset>
            </wp:positionV>
            <wp:extent cx="857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-2339340</wp:posOffset>
            </wp:positionV>
            <wp:extent cx="857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-2322195</wp:posOffset>
            </wp:positionV>
            <wp:extent cx="857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-2339340</wp:posOffset>
            </wp:positionV>
            <wp:extent cx="857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-2322195</wp:posOffset>
            </wp:positionV>
            <wp:extent cx="857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-2339340</wp:posOffset>
            </wp:positionV>
            <wp:extent cx="85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-2322195</wp:posOffset>
            </wp:positionV>
            <wp:extent cx="857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-2339340</wp:posOffset>
            </wp:positionV>
            <wp:extent cx="85725" cy="3175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-1731010</wp:posOffset>
            </wp:positionV>
            <wp:extent cx="857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-1713865</wp:posOffset>
            </wp:positionV>
            <wp:extent cx="857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-1731010</wp:posOffset>
            </wp:positionV>
            <wp:extent cx="8572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-1713865</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-1731010</wp:posOffset>
            </wp:positionV>
            <wp:extent cx="857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-1713865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-1731010</wp:posOffset>
            </wp:positionV>
            <wp:extent cx="8572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-1713865</wp:posOffset>
            </wp:positionV>
            <wp:extent cx="857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-1731010</wp:posOffset>
            </wp:positionV>
            <wp:extent cx="857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-1713865</wp:posOffset>
            </wp:positionV>
            <wp:extent cx="857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-1731010</wp:posOffset>
            </wp:positionV>
            <wp:extent cx="8572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-1713865</wp:posOffset>
            </wp:positionV>
            <wp:extent cx="857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-1731010</wp:posOffset>
            </wp:positionV>
            <wp:extent cx="857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-1713865</wp:posOffset>
            </wp:positionV>
            <wp:extent cx="857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-1731010</wp:posOffset>
            </wp:positionV>
            <wp:extent cx="8572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-1713865</wp:posOffset>
            </wp:positionV>
            <wp:extent cx="857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-1731010</wp:posOffset>
            </wp:positionV>
            <wp:extent cx="8572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-1713865</wp:posOffset>
            </wp:positionV>
            <wp:extent cx="857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-873760</wp:posOffset>
            </wp:positionV>
            <wp:extent cx="857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-856615</wp:posOffset>
            </wp:positionV>
            <wp:extent cx="857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-873760</wp:posOffset>
            </wp:positionV>
            <wp:extent cx="85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-856615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-873760</wp:posOffset>
            </wp:positionV>
            <wp:extent cx="857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-856615</wp:posOffset>
            </wp:positionV>
            <wp:extent cx="85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-873760</wp:posOffset>
            </wp:positionV>
            <wp:extent cx="857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-856615</wp:posOffset>
            </wp:positionV>
            <wp:extent cx="857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-873760</wp:posOffset>
            </wp:positionV>
            <wp:extent cx="857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-856615</wp:posOffset>
            </wp:positionV>
            <wp:extent cx="857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-873760</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-856615</wp:posOffset>
            </wp:positionV>
            <wp:extent cx="85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-873760</wp:posOffset>
            </wp:positionV>
            <wp:extent cx="857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-873760</wp:posOffset>
            </wp:positionV>
            <wp:extent cx="857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-856615</wp:posOffset>
            </wp:positionV>
            <wp:extent cx="857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-873760</wp:posOffset>
            </wp:positionV>
            <wp:extent cx="857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-856615</wp:posOffset>
            </wp:positionV>
            <wp:extent cx="857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8320" w:type="dxa"/>
            <w:vAlign w:val="bottom"/>
            <w:gridSpan w:val="25"/>
          </w:tcPr>
          <w:p>
            <w:pPr>
              <w:spacing w:after="0"/>
              <w:rPr>
                <w:sz w:val="20"/>
                <w:szCs w:val="20"/>
                <w:color w:val="auto"/>
              </w:rPr>
            </w:pPr>
            <w:r>
              <w:rPr>
                <w:rFonts w:ascii="Arial" w:cs="Arial" w:eastAsia="Arial" w:hAnsi="Arial"/>
                <w:sz w:val="18"/>
                <w:szCs w:val="18"/>
                <w:color w:val="auto"/>
                <w:w w:val="96"/>
              </w:rPr>
              <w:t>ITEM 1 NOTES TO CONDENSED CONSOLIDATED UNAUDITED FINANCIAL STATEMENTS (Continued)</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color w:val="auto"/>
                <w:w w:val="89"/>
              </w:rPr>
              <w:t>Unfunded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4"/>
              </w:rPr>
              <w:t>Loan</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3"/>
              </w:rPr>
              <w:t>Commit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0"/>
              </w:rPr>
              <w:t>Consume</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Agricultu</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89"/>
              </w:rPr>
              <w:t>Commerc</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Commerc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ment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r</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ral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9"/>
              </w:rPr>
              <w:t>ial</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ial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9"/>
              </w:rPr>
              <w:t>&amp; Letters</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86"/>
              </w:rPr>
              <w:t>Real</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1"/>
              </w:rPr>
              <w:t>Real</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9"/>
              </w:rPr>
              <w:t>Agricultu</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1"/>
              </w:rPr>
              <w:t>Real</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and</w:t>
            </w:r>
          </w:p>
        </w:tc>
        <w:tc>
          <w:tcPr>
            <w:tcW w:w="100" w:type="dxa"/>
            <w:vAlign w:val="bottom"/>
          </w:tcPr>
          <w:p>
            <w:pPr>
              <w:spacing w:after="0"/>
              <w:rPr>
                <w:sz w:val="18"/>
                <w:szCs w:val="18"/>
                <w:color w:val="auto"/>
              </w:rPr>
            </w:pPr>
          </w:p>
        </w:tc>
        <w:tc>
          <w:tcPr>
            <w:tcW w:w="9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2"/>
              </w:rPr>
              <w:t>of</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Unallocat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6"/>
              </w:rPr>
              <w:t>Estate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ral</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86"/>
              </w:rPr>
              <w:t>Estate</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5"/>
              </w:rPr>
              <w:t>Credit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11"/>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Six Months Ended June</w:t>
            </w: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30, 2022</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60" w:type="dxa"/>
            <w:vAlign w:val="bottom"/>
            <w:tcBorders>
              <w:right w:val="single" w:sz="8" w:color="auto"/>
            </w:tcBorders>
            <w:shd w:val="clear" w:color="auto" w:fill="CFF0FC"/>
          </w:tcPr>
          <w:p>
            <w:pPr>
              <w:spacing w:after="0"/>
              <w:rPr>
                <w:sz w:val="21"/>
                <w:szCs w:val="21"/>
                <w:color w:val="auto"/>
              </w:rPr>
            </w:pP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Borders>
              <w:right w:val="single" w:sz="8" w:color="auto"/>
            </w:tcBorders>
            <w:shd w:val="clear" w:color="auto" w:fill="CFF0FC"/>
          </w:tcPr>
          <w:p>
            <w:pPr>
              <w:spacing w:after="0"/>
              <w:rPr>
                <w:sz w:val="21"/>
                <w:szCs w:val="21"/>
                <w:color w:val="auto"/>
              </w:rPr>
            </w:pP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49"/>
        </w:trPr>
        <w:tc>
          <w:tcPr>
            <w:tcW w:w="2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(694 )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Non-interest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expense related to</w:t>
            </w: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unfunded</w:t>
            </w: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16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individually evaluated</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vMerge w:val="continue"/>
            <w:shd w:val="clear" w:color="auto" w:fill="CFF0FC"/>
          </w:tcPr>
          <w:p>
            <w:pPr>
              <w:spacing w:after="0"/>
              <w:rPr>
                <w:sz w:val="22"/>
                <w:szCs w:val="22"/>
                <w:color w:val="auto"/>
              </w:rPr>
            </w:pPr>
          </w:p>
        </w:tc>
        <w:tc>
          <w:tcPr>
            <w:tcW w:w="58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56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Arial" w:cs="Arial" w:eastAsia="Arial" w:hAnsi="Arial"/>
                <w:sz w:val="18"/>
                <w:szCs w:val="18"/>
                <w:color w:val="auto"/>
                <w:w w:val="99"/>
              </w:rPr>
              <w:t>Ending balance: collectively</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evaluated</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10,427</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2,946</w:t>
            </w:r>
          </w:p>
        </w:tc>
        <w:tc>
          <w:tcPr>
            <w:tcW w:w="160" w:type="dxa"/>
            <w:vAlign w:val="bottom"/>
            <w:tcBorders>
              <w:right w:val="single" w:sz="8" w:color="auto"/>
            </w:tcBorders>
          </w:tcPr>
          <w:p>
            <w:pPr>
              <w:spacing w:after="0"/>
              <w:rPr>
                <w:sz w:val="18"/>
                <w:szCs w:val="18"/>
                <w:color w:val="auto"/>
              </w:rPr>
            </w:pPr>
          </w:p>
        </w:tc>
        <w:tc>
          <w:tcPr>
            <w:tcW w:w="2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loans</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with</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deteriorated credit quality</w:t>
            </w: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vMerge w:val="continue"/>
            <w:shd w:val="clear" w:color="auto" w:fill="CFF0FC"/>
          </w:tcPr>
          <w:p>
            <w:pPr>
              <w:spacing w:after="0"/>
              <w:rPr>
                <w:sz w:val="22"/>
                <w:szCs w:val="22"/>
                <w:color w:val="auto"/>
              </w:rPr>
            </w:pPr>
          </w:p>
        </w:tc>
        <w:tc>
          <w:tcPr>
            <w:tcW w:w="58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vMerge w:val="continue"/>
            <w:shd w:val="clear" w:color="auto" w:fill="CFF0FC"/>
          </w:tcPr>
          <w:p>
            <w:pPr>
              <w:spacing w:after="0"/>
              <w:rPr>
                <w:sz w:val="22"/>
                <w:szCs w:val="22"/>
                <w:color w:val="auto"/>
              </w:rPr>
            </w:pPr>
          </w:p>
        </w:tc>
        <w:tc>
          <w:tcPr>
            <w:tcW w:w="560" w:type="dxa"/>
            <w:vAlign w:val="bottom"/>
            <w:tcBorders>
              <w:bottom w:val="single" w:sz="8" w:color="auto"/>
            </w:tcBorders>
            <w:vMerge w:val="continue"/>
            <w:shd w:val="clear" w:color="auto" w:fill="CFF0FC"/>
          </w:tcPr>
          <w:p>
            <w:pPr>
              <w:spacing w:after="0"/>
              <w:rPr>
                <w:sz w:val="22"/>
                <w:szCs w:val="22"/>
                <w:color w:val="auto"/>
              </w:rPr>
            </w:pPr>
          </w:p>
        </w:tc>
        <w:tc>
          <w:tcPr>
            <w:tcW w:w="160" w:type="dxa"/>
            <w:vAlign w:val="bottom"/>
            <w:tcBorders>
              <w:bottom w:val="single" w:sz="8" w:color="CFF0FC"/>
              <w:right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vMerge w:val="continue"/>
            <w:shd w:val="clear" w:color="auto" w:fill="CFF0FC"/>
          </w:tcPr>
          <w:p>
            <w:pPr>
              <w:spacing w:after="0"/>
              <w:rPr>
                <w:sz w:val="22"/>
                <w:szCs w:val="22"/>
                <w:color w:val="auto"/>
              </w:rPr>
            </w:pPr>
          </w:p>
        </w:tc>
        <w:tc>
          <w:tcPr>
            <w:tcW w:w="620" w:type="dxa"/>
            <w:vAlign w:val="bottom"/>
            <w:tcBorders>
              <w:bottom w:val="single" w:sz="8" w:color="auto"/>
            </w:tcBorders>
            <w:vMerge w:val="continue"/>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240" w:type="dxa"/>
            <w:vAlign w:val="bottom"/>
          </w:tcPr>
          <w:p>
            <w:pPr>
              <w:ind w:left="20"/>
              <w:spacing w:after="0" w:line="172" w:lineRule="exact"/>
              <w:rPr>
                <w:sz w:val="20"/>
                <w:szCs w:val="20"/>
                <w:color w:val="auto"/>
              </w:rPr>
            </w:pPr>
            <w:r>
              <w:rPr>
                <w:rFonts w:ascii="Arial" w:cs="Arial" w:eastAsia="Arial" w:hAnsi="Arial"/>
                <w:sz w:val="18"/>
                <w:szCs w:val="18"/>
                <w:b w:val="1"/>
                <w:bCs w:val="1"/>
                <w:color w:val="auto"/>
              </w:rPr>
              <w:t>FINANCING</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2,034,8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410,468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199,650</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127,340</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977,588</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264,124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55,648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individually evaluated</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4,133</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2,149</w:t>
            </w:r>
          </w:p>
        </w:tc>
        <w:tc>
          <w:tcPr>
            <w:tcW w:w="160" w:type="dxa"/>
            <w:vAlign w:val="bottom"/>
            <w:tcBorders>
              <w:right w:val="single" w:sz="8" w:color="auto"/>
            </w:tcBorders>
          </w:tcPr>
          <w:p>
            <w:pPr>
              <w:spacing w:after="0"/>
              <w:rPr>
                <w:sz w:val="18"/>
                <w:szCs w:val="18"/>
                <w:color w:val="auto"/>
              </w:rPr>
            </w:pPr>
          </w:p>
        </w:tc>
        <w:tc>
          <w:tcPr>
            <w:tcW w:w="2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10,669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Ending balance: collectively</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2,023,1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evaluated</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4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for impairment</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409,318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197,039</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126,044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973,258</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261,854</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55,628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line="195" w:lineRule="exact"/>
              <w:rPr>
                <w:sz w:val="20"/>
                <w:szCs w:val="20"/>
                <w:color w:val="auto"/>
              </w:rPr>
            </w:pPr>
            <w:r>
              <w:rPr>
                <w:rFonts w:ascii="Arial" w:cs="Arial" w:eastAsia="Arial" w:hAnsi="Arial"/>
                <w:sz w:val="18"/>
                <w:szCs w:val="18"/>
                <w:color w:val="auto"/>
              </w:rPr>
              <w:t>Ending balance: loans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acquired with</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right w:val="single" w:sz="8" w:color="auto"/>
            </w:tcBorders>
          </w:tcPr>
          <w:p>
            <w:pPr>
              <w:spacing w:after="0"/>
              <w:rPr>
                <w:sz w:val="18"/>
                <w:szCs w:val="18"/>
                <w:color w:val="auto"/>
              </w:rPr>
            </w:pPr>
          </w:p>
        </w:tc>
        <w:tc>
          <w:tcPr>
            <w:tcW w:w="2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deteriorated credit quality</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-3788410</wp:posOffset>
            </wp:positionV>
            <wp:extent cx="857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-3788410</wp:posOffset>
            </wp:positionV>
            <wp:extent cx="857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-3788410</wp:posOffset>
            </wp:positionV>
            <wp:extent cx="857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-3788410</wp:posOffset>
            </wp:positionV>
            <wp:extent cx="857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-3788410</wp:posOffset>
            </wp:positionV>
            <wp:extent cx="857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-3788410</wp:posOffset>
            </wp:positionV>
            <wp:extent cx="857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-3788410</wp:posOffset>
            </wp:positionV>
            <wp:extent cx="857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-3788410</wp:posOffset>
            </wp:positionV>
            <wp:extent cx="857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-3788410</wp:posOffset>
            </wp:positionV>
            <wp:extent cx="85725" cy="1885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-3196590</wp:posOffset>
            </wp:positionV>
            <wp:extent cx="857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-3180080</wp:posOffset>
            </wp:positionV>
            <wp:extent cx="85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-3196590</wp:posOffset>
            </wp:positionV>
            <wp:extent cx="857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-3180080</wp:posOffset>
            </wp:positionV>
            <wp:extent cx="857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-3196590</wp:posOffset>
            </wp:positionV>
            <wp:extent cx="857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-3180080</wp:posOffset>
            </wp:positionV>
            <wp:extent cx="857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-3196590</wp:posOffset>
            </wp:positionV>
            <wp:extent cx="857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-3180080</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-3196590</wp:posOffset>
            </wp:positionV>
            <wp:extent cx="857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-3180080</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-3196590</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-3180080</wp:posOffset>
            </wp:positionV>
            <wp:extent cx="857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-3196590</wp:posOffset>
            </wp:positionV>
            <wp:extent cx="857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-3180080</wp:posOffset>
            </wp:positionV>
            <wp:extent cx="857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-3196590</wp:posOffset>
            </wp:positionV>
            <wp:extent cx="857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-3180080</wp:posOffset>
            </wp:positionV>
            <wp:extent cx="857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-3196590</wp:posOffset>
            </wp:positionV>
            <wp:extent cx="857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-3180080</wp:posOffset>
            </wp:positionV>
            <wp:extent cx="857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-2339340</wp:posOffset>
            </wp:positionV>
            <wp:extent cx="857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-2322830</wp:posOffset>
            </wp:positionV>
            <wp:extent cx="8572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-2339340</wp:posOffset>
            </wp:positionV>
            <wp:extent cx="857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-2322830</wp:posOffset>
            </wp:positionV>
            <wp:extent cx="8572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-2339340</wp:posOffset>
            </wp:positionV>
            <wp:extent cx="857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-2322830</wp:posOffset>
            </wp:positionV>
            <wp:extent cx="857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-2339340</wp:posOffset>
            </wp:positionV>
            <wp:extent cx="857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-2322830</wp:posOffset>
            </wp:positionV>
            <wp:extent cx="857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-2339340</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-2322830</wp:posOffset>
            </wp:positionV>
            <wp:extent cx="857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-2339340</wp:posOffset>
            </wp:positionV>
            <wp:extent cx="857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-2322830</wp:posOffset>
            </wp:positionV>
            <wp:extent cx="857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-2339340</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-2322830</wp:posOffset>
            </wp:positionV>
            <wp:extent cx="8572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-2339340</wp:posOffset>
            </wp:positionV>
            <wp:extent cx="857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-2322830</wp:posOffset>
            </wp:positionV>
            <wp:extent cx="857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-2339340</wp:posOffset>
            </wp:positionV>
            <wp:extent cx="85725" cy="3168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-1731010</wp:posOffset>
            </wp:positionV>
            <wp:extent cx="857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-1713865</wp:posOffset>
            </wp:positionV>
            <wp:extent cx="857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-1731010</wp:posOffset>
            </wp:positionV>
            <wp:extent cx="857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-1713865</wp:posOffset>
            </wp:positionV>
            <wp:extent cx="857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-1731010</wp:posOffset>
            </wp:positionV>
            <wp:extent cx="85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-1713865</wp:posOffset>
            </wp:positionV>
            <wp:extent cx="857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-1731010</wp:posOffset>
            </wp:positionV>
            <wp:extent cx="857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-1713865</wp:posOffset>
            </wp:positionV>
            <wp:extent cx="857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-1731010</wp:posOffset>
            </wp:positionV>
            <wp:extent cx="857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-1713865</wp:posOffset>
            </wp:positionV>
            <wp:extent cx="857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-1731010</wp:posOffset>
            </wp:positionV>
            <wp:extent cx="857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-1713865</wp:posOffset>
            </wp:positionV>
            <wp:extent cx="857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-1731010</wp:posOffset>
            </wp:positionV>
            <wp:extent cx="857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-1713865</wp:posOffset>
            </wp:positionV>
            <wp:extent cx="857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-1731010</wp:posOffset>
            </wp:positionV>
            <wp:extent cx="857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-1713865</wp:posOffset>
            </wp:positionV>
            <wp:extent cx="857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-1731010</wp:posOffset>
            </wp:positionV>
            <wp:extent cx="857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-1713865</wp:posOffset>
            </wp:positionV>
            <wp:extent cx="857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-873760</wp:posOffset>
            </wp:positionV>
            <wp:extent cx="857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-856615</wp:posOffset>
            </wp:positionV>
            <wp:extent cx="857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-873760</wp:posOffset>
            </wp:positionV>
            <wp:extent cx="8572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-856615</wp:posOffset>
            </wp:positionV>
            <wp:extent cx="857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-873760</wp:posOffset>
            </wp:positionV>
            <wp:extent cx="857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-856615</wp:posOffset>
            </wp:positionV>
            <wp:extent cx="857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-873760</wp:posOffset>
            </wp:positionV>
            <wp:extent cx="857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-856615</wp:posOffset>
            </wp:positionV>
            <wp:extent cx="857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-873760</wp:posOffset>
            </wp:positionV>
            <wp:extent cx="857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-856615</wp:posOffset>
            </wp:positionV>
            <wp:extent cx="857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-873760</wp:posOffset>
            </wp:positionV>
            <wp:extent cx="857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-856615</wp:posOffset>
            </wp:positionV>
            <wp:extent cx="857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-873760</wp:posOffset>
            </wp:positionV>
            <wp:extent cx="857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857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-873760</wp:posOffset>
            </wp:positionV>
            <wp:extent cx="857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-856615</wp:posOffset>
            </wp:positionV>
            <wp:extent cx="857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-873760</wp:posOffset>
            </wp:positionV>
            <wp:extent cx="857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-856615</wp:posOffset>
            </wp:positionV>
            <wp:extent cx="857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8420" w:type="dxa"/>
            <w:vAlign w:val="bottom"/>
            <w:gridSpan w:val="25"/>
          </w:tcPr>
          <w:p>
            <w:pPr>
              <w:spacing w:after="0"/>
              <w:rPr>
                <w:sz w:val="20"/>
                <w:szCs w:val="20"/>
                <w:color w:val="auto"/>
              </w:rPr>
            </w:pPr>
            <w:r>
              <w:rPr>
                <w:rFonts w:ascii="Arial" w:cs="Arial" w:eastAsia="Arial" w:hAnsi="Arial"/>
                <w:sz w:val="18"/>
                <w:szCs w:val="18"/>
                <w:color w:val="auto"/>
                <w:w w:val="98"/>
              </w:rPr>
              <w:t>ITEM 1 NOTES TO CONDENSED CONSOLIDATED UNAUDITED FINANCIAL STATEMENTS (Continued)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Unfunde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79"/>
              </w:rPr>
              <w:t>d</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89"/>
              </w:rPr>
              <w:t>Loan</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6"/>
              </w:rPr>
              <w:t>Commit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88"/>
              </w:rPr>
              <w:t>Consume</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Commer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89"/>
              </w:rPr>
              <w:t>ment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90"/>
              <w:spacing w:after="0"/>
              <w:rPr>
                <w:sz w:val="20"/>
                <w:szCs w:val="20"/>
                <w:color w:val="auto"/>
              </w:rPr>
            </w:pPr>
            <w:r>
              <w:rPr>
                <w:rFonts w:ascii="Arial" w:cs="Arial" w:eastAsia="Arial" w:hAnsi="Arial"/>
                <w:sz w:val="18"/>
                <w:szCs w:val="18"/>
                <w:color w:val="auto"/>
                <w:w w:val="99"/>
              </w:rPr>
              <w:t>r</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Agricultu</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w w:val="92"/>
              </w:rPr>
              <w:t>Commer</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cial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4"/>
              </w:rPr>
              <w:t>&amp; Letters</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90"/>
              <w:spacing w:after="0"/>
              <w:rPr>
                <w:sz w:val="20"/>
                <w:szCs w:val="20"/>
                <w:color w:val="auto"/>
              </w:rPr>
            </w:pPr>
            <w:r>
              <w:rPr>
                <w:rFonts w:ascii="Arial" w:cs="Arial" w:eastAsia="Arial" w:hAnsi="Arial"/>
                <w:sz w:val="18"/>
                <w:szCs w:val="18"/>
                <w:color w:val="auto"/>
                <w:w w:val="91"/>
              </w:rPr>
              <w:t>Real</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ral Real</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9"/>
              </w:rPr>
              <w:t>Agricultu</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8"/>
              </w:rPr>
              <w:t>cial Real</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and</w:t>
            </w:r>
          </w:p>
        </w:tc>
        <w:tc>
          <w:tcPr>
            <w:tcW w:w="100" w:type="dxa"/>
            <w:vAlign w:val="bottom"/>
          </w:tcPr>
          <w:p>
            <w:pPr>
              <w:spacing w:after="0"/>
              <w:rPr>
                <w:sz w:val="18"/>
                <w:szCs w:val="18"/>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Consume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rPr>
              <w:t>of</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Unalloca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6"/>
              </w:rPr>
              <w:t>Estate</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6"/>
              </w:rPr>
              <w:t>Estate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ral</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86"/>
              </w:rPr>
              <w:t>Estate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1"/>
              </w:rPr>
              <w:t>Credit</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b w:val="1"/>
                <w:bCs w:val="1"/>
                <w:color w:val="auto"/>
              </w:rPr>
              <w:t>ALLOWANCE FOR CREDIT</w:t>
            </w: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LOSSES:</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right w:val="single" w:sz="8" w:color="auto"/>
            </w:tcBorders>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Borders>
              <w:right w:val="single" w:sz="8" w:color="auto"/>
            </w:tcBorders>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9,130</w:t>
            </w:r>
          </w:p>
        </w:tc>
        <w:tc>
          <w:tcPr>
            <w:tcW w:w="160" w:type="dxa"/>
            <w:vAlign w:val="bottom"/>
            <w:tcBorders>
              <w:right w:val="single" w:sz="8" w:color="auto"/>
            </w:tcBorders>
          </w:tcPr>
          <w:p>
            <w:pPr>
              <w:spacing w:after="0"/>
              <w:rPr>
                <w:sz w:val="20"/>
                <w:szCs w:val="20"/>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3,847</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Borders>
              <w:right w:val="single" w:sz="8" w:color="auto"/>
            </w:tcBorders>
          </w:tcPr>
          <w:p>
            <w:pPr>
              <w:spacing w:after="0"/>
              <w:rPr>
                <w:sz w:val="20"/>
                <w:szCs w:val="20"/>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Charge Offs</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(409 )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(827 )</w:t>
            </w:r>
          </w:p>
        </w:tc>
        <w:tc>
          <w:tcPr>
            <w:tcW w:w="0" w:type="dxa"/>
            <w:vAlign w:val="bottom"/>
          </w:tcPr>
          <w:p>
            <w:pPr>
              <w:spacing w:after="0"/>
              <w:rPr>
                <w:sz w:val="1"/>
                <w:szCs w:val="1"/>
                <w:color w:val="auto"/>
              </w:rPr>
            </w:pPr>
          </w:p>
        </w:tc>
      </w:tr>
      <w:tr>
        <w:trPr>
          <w:trHeight w:val="237"/>
        </w:trPr>
        <w:tc>
          <w:tcPr>
            <w:tcW w:w="2540" w:type="dxa"/>
            <w:vAlign w:val="bottom"/>
          </w:tcPr>
          <w:p>
            <w:pPr>
              <w:ind w:left="20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(Credit)</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(691 )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0"/>
              <w:spacing w:after="0"/>
              <w:rPr>
                <w:sz w:val="20"/>
                <w:szCs w:val="20"/>
                <w:color w:val="auto"/>
              </w:rPr>
            </w:pPr>
            <w:r>
              <w:rPr>
                <w:rFonts w:ascii="Arial" w:cs="Arial" w:eastAsia="Arial" w:hAnsi="Arial"/>
                <w:sz w:val="18"/>
                <w:szCs w:val="18"/>
                <w:color w:val="auto"/>
              </w:rPr>
              <w:t>Other Non-interest expense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related to</w:t>
            </w: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unfunded</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6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6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Borders>
              <w:bottom w:val="single" w:sz="8" w:color="CFF0FC"/>
              <w:right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right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21,575</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Ending balance: individually</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evaluated</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Borders>
              <w:right w:val="single" w:sz="8" w:color="auto"/>
            </w:tcBorders>
          </w:tcPr>
          <w:p>
            <w:pPr>
              <w:spacing w:after="0"/>
              <w:rPr>
                <w:sz w:val="18"/>
                <w:szCs w:val="18"/>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collectively</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evaluated</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11,486</w:t>
            </w:r>
          </w:p>
        </w:tc>
        <w:tc>
          <w:tcPr>
            <w:tcW w:w="16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right w:val="single" w:sz="8" w:color="auto"/>
            </w:tcBorders>
            <w:shd w:val="clear" w:color="auto" w:fill="CFF0FC"/>
          </w:tcPr>
          <w:p>
            <w:pPr>
              <w:spacing w:after="0"/>
              <w:rPr>
                <w:sz w:val="18"/>
                <w:szCs w:val="18"/>
                <w:color w:val="auto"/>
              </w:rPr>
            </w:pPr>
          </w:p>
        </w:tc>
        <w:tc>
          <w:tcPr>
            <w:tcW w:w="30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19,579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58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56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56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00" w:type="dxa"/>
            <w:vAlign w:val="bottom"/>
            <w:gridSpan w:val="2"/>
            <w:vMerge w:val="continue"/>
            <w:shd w:val="clear" w:color="auto" w:fill="CFF0FC"/>
          </w:tcPr>
          <w:p>
            <w:pPr>
              <w:spacing w:after="0"/>
              <w:rPr>
                <w:sz w:val="21"/>
                <w:szCs w:val="21"/>
                <w:color w:val="auto"/>
              </w:rPr>
            </w:pPr>
          </w:p>
        </w:tc>
        <w:tc>
          <w:tcPr>
            <w:tcW w:w="54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580" w:type="dxa"/>
            <w:vAlign w:val="bottom"/>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color w:val="auto"/>
                <w:w w:val="99"/>
              </w:rPr>
              <w:t>Ending balance: loans acquired</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with</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60"/>
              <w:spacing w:after="0" w:line="203" w:lineRule="exact"/>
              <w:rPr>
                <w:sz w:val="20"/>
                <w:szCs w:val="20"/>
                <w:color w:val="auto"/>
              </w:rPr>
            </w:pPr>
            <w:r>
              <w:rPr>
                <w:rFonts w:ascii="Arial" w:cs="Arial" w:eastAsia="Arial" w:hAnsi="Arial"/>
                <w:sz w:val="18"/>
                <w:szCs w:val="18"/>
                <w:color w:val="auto"/>
              </w:rPr>
              <w:t>deteriorated credit quality</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shd w:val="clear" w:color="auto" w:fill="CFF0FC"/>
          </w:tcPr>
          <w:p>
            <w:pPr>
              <w:ind w:left="20"/>
              <w:spacing w:after="0" w:line="192" w:lineRule="exact"/>
              <w:rPr>
                <w:sz w:val="20"/>
                <w:szCs w:val="20"/>
                <w:color w:val="auto"/>
              </w:rPr>
            </w:pPr>
            <w:r>
              <w:rPr>
                <w:rFonts w:ascii="Arial" w:cs="Arial" w:eastAsia="Arial" w:hAnsi="Arial"/>
                <w:sz w:val="18"/>
                <w:szCs w:val="18"/>
                <w:b w:val="1"/>
                <w:bCs w:val="1"/>
                <w:color w:val="auto"/>
              </w:rPr>
              <w:t>FINANCING</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RECEIVABLES:</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494,42</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220,51</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128,92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1,150,5</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272,11</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2,356,3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5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21"/>
                <w:szCs w:val="21"/>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89,894</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Ending balance: individually</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evaluated</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Borders>
              <w:right w:val="single" w:sz="8" w:color="auto"/>
            </w:tcBorders>
            <w:shd w:val="clear" w:color="auto" w:fill="CFF0FC"/>
          </w:tcPr>
          <w:p>
            <w:pPr>
              <w:spacing w:after="0"/>
              <w:rPr>
                <w:sz w:val="18"/>
                <w:szCs w:val="18"/>
                <w:color w:val="auto"/>
              </w:rPr>
            </w:pP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30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8,857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for impairment</w:t>
            </w:r>
          </w:p>
        </w:tc>
        <w:tc>
          <w:tcPr>
            <w:tcW w:w="14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58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56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vMerge w:val="continue"/>
            <w:shd w:val="clear" w:color="auto" w:fill="CFF0FC"/>
          </w:tcPr>
          <w:p>
            <w:pPr>
              <w:spacing w:after="0"/>
              <w:rPr>
                <w:sz w:val="21"/>
                <w:szCs w:val="21"/>
                <w:color w:val="auto"/>
              </w:rPr>
            </w:pPr>
          </w:p>
        </w:tc>
        <w:tc>
          <w:tcPr>
            <w:tcW w:w="560" w:type="dxa"/>
            <w:vAlign w:val="bottom"/>
            <w:vMerge w:val="continue"/>
            <w:shd w:val="clear" w:color="auto" w:fill="CFF0FC"/>
          </w:tcPr>
          <w:p>
            <w:pPr>
              <w:spacing w:after="0"/>
              <w:rPr>
                <w:sz w:val="21"/>
                <w:szCs w:val="21"/>
                <w:color w:val="auto"/>
              </w:rPr>
            </w:pP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300" w:type="dxa"/>
            <w:vAlign w:val="bottom"/>
            <w:gridSpan w:val="2"/>
            <w:vMerge w:val="continue"/>
            <w:shd w:val="clear" w:color="auto" w:fill="CFF0FC"/>
          </w:tcPr>
          <w:p>
            <w:pPr>
              <w:spacing w:after="0"/>
              <w:rPr>
                <w:sz w:val="21"/>
                <w:szCs w:val="21"/>
                <w:color w:val="auto"/>
              </w:rPr>
            </w:pPr>
          </w:p>
        </w:tc>
        <w:tc>
          <w:tcPr>
            <w:tcW w:w="540" w:type="dxa"/>
            <w:vAlign w:val="bottom"/>
            <w:vMerge w:val="continue"/>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vMerge w:val="continue"/>
            <w:shd w:val="clear" w:color="auto" w:fill="CFF0FC"/>
          </w:tcPr>
          <w:p>
            <w:pPr>
              <w:spacing w:after="0"/>
              <w:rPr>
                <w:sz w:val="21"/>
                <w:szCs w:val="21"/>
                <w:color w:val="auto"/>
              </w:rPr>
            </w:pPr>
          </w:p>
        </w:tc>
        <w:tc>
          <w:tcPr>
            <w:tcW w:w="580" w:type="dxa"/>
            <w:vAlign w:val="bottom"/>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color w:val="auto"/>
              </w:rPr>
              <w:t>Ending balance: collectively</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493,44</w:t>
            </w: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218,03</w:t>
            </w: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128,77</w:t>
            </w:r>
          </w:p>
        </w:tc>
        <w:tc>
          <w:tcPr>
            <w:tcW w:w="14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6"/>
              </w:rPr>
              <w:t>1,146,3</w:t>
            </w: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270,49</w:t>
            </w: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2,346,8</w:t>
            </w: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Arial" w:cs="Arial" w:eastAsia="Arial" w:hAnsi="Arial"/>
                <w:sz w:val="18"/>
                <w:szCs w:val="18"/>
                <w:color w:val="auto"/>
              </w:rPr>
              <w:t>evaluated</w:t>
            </w: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160"/>
              <w:spacing w:after="0"/>
              <w:rPr>
                <w:sz w:val="20"/>
                <w:szCs w:val="20"/>
                <w:color w:val="auto"/>
              </w:rPr>
            </w:pPr>
            <w:r>
              <w:rPr>
                <w:rFonts w:ascii="Arial" w:cs="Arial" w:eastAsia="Arial" w:hAnsi="Arial"/>
                <w:sz w:val="18"/>
                <w:szCs w:val="18"/>
                <w:color w:val="auto"/>
              </w:rPr>
              <w:t>for impairment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auto"/>
            </w:tcBorders>
          </w:tcPr>
          <w:p>
            <w:pPr>
              <w:spacing w:after="0"/>
              <w:rPr>
                <w:sz w:val="21"/>
                <w:szCs w:val="21"/>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89,727</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9"/>
              </w:rPr>
              <w:t>Ending balance: loans acquired</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18"/>
                <w:szCs w:val="18"/>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vMerge w:val="restart"/>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18"/>
                <w:szCs w:val="18"/>
                <w:color w:val="auto"/>
              </w:rPr>
            </w:pP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deteriorated credit quality</w:t>
            </w: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right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right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5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gridSpan w:val="4"/>
          </w:tcPr>
          <w:p>
            <w:pPr>
              <w:ind w:left="3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-3634105</wp:posOffset>
            </wp:positionV>
            <wp:extent cx="5057775" cy="4546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057775" cy="45466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-2776855</wp:posOffset>
            </wp:positionV>
            <wp:extent cx="5057775" cy="4546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057775" cy="45466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-1310640</wp:posOffset>
            </wp:positionV>
            <wp:extent cx="5057775" cy="4540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057775" cy="45402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-453390</wp:posOffset>
            </wp:positionV>
            <wp:extent cx="774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-436880</wp:posOffset>
            </wp:positionV>
            <wp:extent cx="774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-453390</wp:posOffset>
            </wp:positionV>
            <wp:extent cx="857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-436880</wp:posOffset>
            </wp:positionV>
            <wp:extent cx="857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-453390</wp:posOffset>
            </wp:positionV>
            <wp:extent cx="768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-436880</wp:posOffset>
            </wp:positionV>
            <wp:extent cx="768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-453390</wp:posOffset>
            </wp:positionV>
            <wp:extent cx="857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-436880</wp:posOffset>
            </wp:positionV>
            <wp:extent cx="8572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-453390</wp:posOffset>
            </wp:positionV>
            <wp:extent cx="774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-436880</wp:posOffset>
            </wp:positionV>
            <wp:extent cx="774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-453390</wp:posOffset>
            </wp:positionV>
            <wp:extent cx="857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-436880</wp:posOffset>
            </wp:positionV>
            <wp:extent cx="8572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-453390</wp:posOffset>
            </wp:positionV>
            <wp:extent cx="774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-436880</wp:posOffset>
            </wp:positionV>
            <wp:extent cx="7747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-453390</wp:posOffset>
            </wp:positionV>
            <wp:extent cx="774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-436880</wp:posOffset>
            </wp:positionV>
            <wp:extent cx="7747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-453390</wp:posOffset>
            </wp:positionV>
            <wp:extent cx="857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-436880</wp:posOffset>
            </wp:positionV>
            <wp:extent cx="857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jc w:val="both"/>
        <w:ind w:left="840"/>
        <w:spacing w:after="0" w:line="269"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45" w:lineRule="exact"/>
        <w:rPr>
          <w:sz w:val="20"/>
          <w:szCs w:val="20"/>
          <w:color w:val="auto"/>
        </w:rPr>
      </w:pPr>
    </w:p>
    <w:p>
      <w:pPr>
        <w:jc w:val="both"/>
        <w:ind w:left="840"/>
        <w:spacing w:after="0" w:line="269" w:lineRule="auto"/>
        <w:rPr>
          <w:sz w:val="20"/>
          <w:szCs w:val="20"/>
          <w:color w:val="auto"/>
        </w:rPr>
      </w:pPr>
      <w:r>
        <w:rPr>
          <w:rFonts w:ascii="Arial" w:cs="Arial" w:eastAsia="Arial" w:hAnsi="Arial"/>
          <w:sz w:val="17"/>
          <w:szCs w:val="17"/>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On June 3, 2022, twelve Directors each received $10,013 which equated to 240 shares. On June 2, 2023, twelve Directors each received $14,997 which equated to 754 shares. The use of stock for Directors’ retainer, does not have an effect on diluted earnings per share as it is immediately vested.</w:t>
      </w:r>
    </w:p>
    <w:p>
      <w:pPr>
        <w:spacing w:after="0" w:line="155" w:lineRule="exact"/>
        <w:rPr>
          <w:sz w:val="20"/>
          <w:szCs w:val="20"/>
          <w:color w:val="auto"/>
        </w:rPr>
      </w:pPr>
    </w:p>
    <w:p>
      <w:pPr>
        <w:jc w:val="both"/>
        <w:ind w:left="840"/>
        <w:spacing w:after="0" w:line="277" w:lineRule="auto"/>
        <w:rPr>
          <w:sz w:val="20"/>
          <w:szCs w:val="20"/>
          <w:color w:val="auto"/>
        </w:rPr>
      </w:pPr>
      <w:r>
        <w:rPr>
          <w:rFonts w:ascii="Arial" w:cs="Arial" w:eastAsia="Arial" w:hAnsi="Arial"/>
          <w:sz w:val="18"/>
          <w:szCs w:val="18"/>
          <w:color w:val="auto"/>
        </w:rPr>
        <w:t>Any stock awards to senior management are made in March with other members of management receiving any awards in August. On March 1, 2023, senior management received stock awards of 21,700 shares worth approximately $562,030.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color w:val="auto"/>
                <w:w w:val="92"/>
              </w:rPr>
              <w:t>(In thousands of dollars, except per share data)</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7"/>
          </w:tcPr>
          <w:p>
            <w:pPr>
              <w:jc w:val="right"/>
              <w:ind w:right="11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780" w:type="dxa"/>
            <w:vAlign w:val="bottom"/>
            <w:gridSpan w:val="5"/>
          </w:tcPr>
          <w:p>
            <w:pPr>
              <w:jc w:val="right"/>
              <w:ind w:right="690"/>
              <w:spacing w:after="0"/>
              <w:rPr>
                <w:sz w:val="20"/>
                <w:szCs w:val="20"/>
                <w:color w:val="auto"/>
              </w:rPr>
            </w:pPr>
            <w:r>
              <w:rPr>
                <w:rFonts w:ascii="Arial" w:cs="Arial" w:eastAsia="Arial" w:hAnsi="Arial"/>
                <w:sz w:val="18"/>
                <w:szCs w:val="18"/>
                <w:color w:val="auto"/>
              </w:rPr>
              <w:t>Six Months Ended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June 30, 2023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June 30, 2022</w:t>
            </w:r>
          </w:p>
        </w:tc>
        <w:tc>
          <w:tcPr>
            <w:tcW w:w="140" w:type="dxa"/>
            <w:vAlign w:val="bottom"/>
          </w:tcPr>
          <w:p>
            <w:pPr>
              <w:spacing w:after="0"/>
              <w:rPr>
                <w:sz w:val="21"/>
                <w:szCs w:val="21"/>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June 30, 2022</w:t>
            </w: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16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8,271</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distributed earnings allocated to participating</w:t>
            </w:r>
          </w:p>
        </w:tc>
        <w:tc>
          <w:tcPr>
            <w:tcW w:w="140" w:type="dxa"/>
            <w:vAlign w:val="bottom"/>
            <w:shd w:val="clear" w:color="auto" w:fill="CFF0FC"/>
          </w:tcPr>
          <w:p>
            <w:pPr>
              <w:spacing w:after="0"/>
              <w:rPr>
                <w:sz w:val="19"/>
                <w:szCs w:val="19"/>
                <w:color w:val="auto"/>
              </w:rPr>
            </w:pPr>
          </w:p>
        </w:tc>
        <w:tc>
          <w:tcPr>
            <w:tcW w:w="1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(31 )</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FF0FC"/>
          </w:tcPr>
          <w:p>
            <w:pPr>
              <w:spacing w:after="0"/>
              <w:rPr>
                <w:sz w:val="19"/>
                <w:szCs w:val="19"/>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(62 )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22"/>
        </w:trPr>
        <w:tc>
          <w:tcPr>
            <w:tcW w:w="486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5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8"/>
                <w:szCs w:val="18"/>
                <w:color w:val="auto"/>
              </w:rPr>
              <w:t>Less: undistributed earnings allocated to participating</w:t>
            </w:r>
          </w:p>
        </w:tc>
        <w:tc>
          <w:tcPr>
            <w:tcW w:w="140" w:type="dxa"/>
            <w:vAlign w:val="bottom"/>
          </w:tcPr>
          <w:p>
            <w:pPr>
              <w:spacing w:after="0"/>
              <w:rPr>
                <w:sz w:val="18"/>
                <w:szCs w:val="18"/>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(69 )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109"/>
        </w:trPr>
        <w:tc>
          <w:tcPr>
            <w:tcW w:w="4860" w:type="dxa"/>
            <w:vAlign w:val="bottom"/>
            <w:vMerge w:val="restart"/>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6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8,202</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16,235</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including</w:t>
            </w:r>
          </w:p>
        </w:tc>
        <w:tc>
          <w:tcPr>
            <w:tcW w:w="1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13,632,440</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13,065,975</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13,624,094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13,066,123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60" w:type="dxa"/>
            <w:vAlign w:val="bottom"/>
            <w:vMerge w:val="restart"/>
            <w:shd w:val="clear" w:color="auto" w:fill="CFF0FC"/>
          </w:tcPr>
          <w:p>
            <w:pPr>
              <w:ind w:left="160"/>
              <w:spacing w:after="0"/>
              <w:rPr>
                <w:sz w:val="20"/>
                <w:szCs w:val="20"/>
                <w:color w:val="auto"/>
              </w:rPr>
            </w:pPr>
            <w:r>
              <w:rPr>
                <w:rFonts w:ascii="Arial" w:cs="Arial" w:eastAsia="Arial" w:hAnsi="Arial"/>
                <w:sz w:val="18"/>
                <w:szCs w:val="18"/>
                <w:color w:val="auto"/>
              </w:rPr>
              <w:t>participating securities</w:t>
            </w:r>
          </w:p>
        </w:tc>
        <w:tc>
          <w:tcPr>
            <w:tcW w:w="14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Less: average unvested restricted shares</w:t>
            </w:r>
          </w:p>
        </w:tc>
        <w:tc>
          <w:tcPr>
            <w:tcW w:w="1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(150,065 )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(108,849 )</w:t>
            </w:r>
          </w:p>
        </w:tc>
        <w:tc>
          <w:tcPr>
            <w:tcW w:w="1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(143,163 )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(110,004 )</w:t>
            </w:r>
          </w:p>
        </w:tc>
        <w:tc>
          <w:tcPr>
            <w:tcW w:w="0" w:type="dxa"/>
            <w:vAlign w:val="bottom"/>
          </w:tcPr>
          <w:p>
            <w:pPr>
              <w:spacing w:after="0"/>
              <w:rPr>
                <w:sz w:val="1"/>
                <w:szCs w:val="1"/>
                <w:color w:val="auto"/>
              </w:rPr>
            </w:pPr>
          </w:p>
        </w:tc>
      </w:tr>
      <w:tr>
        <w:trPr>
          <w:trHeight w:val="276"/>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13,482,375</w:t>
            </w:r>
          </w:p>
        </w:tc>
        <w:tc>
          <w:tcPr>
            <w:tcW w:w="1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12,957,126</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13,480,931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12,956,119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Basic and 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0.63</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-1696720</wp:posOffset>
            </wp:positionV>
            <wp:extent cx="3215005" cy="1797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215005" cy="17970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-908050</wp:posOffset>
            </wp:positionV>
            <wp:extent cx="3215005" cy="2057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21500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7"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5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2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2023 and December 31, 2022, segregated by level or the valuation inputs within the fair value hierarchy utilized to measure fair value:</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Assets and Liabilities Measured at Fair Value on a Recurring Basis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0" w:type="dxa"/>
            <w:vAlign w:val="bottom"/>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Quoted Prices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9"/>
              </w:rPr>
              <w:t>in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6"/>
              </w:rPr>
              <w:t>Significant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86"/>
              </w:rPr>
              <w:t>Observable</w:t>
            </w:r>
          </w:p>
        </w:tc>
        <w:tc>
          <w:tcPr>
            <w:tcW w:w="2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Assets (Level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89"/>
              </w:rPr>
              <w:t>Inputs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2023</w:t>
            </w:r>
          </w:p>
        </w:tc>
        <w:tc>
          <w:tcPr>
            <w:tcW w:w="1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7"/>
              </w:rPr>
              <w:t>(Level 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Treasury</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86,127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127,891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81,656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64,442</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Total Securities Available-for-Sale</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86,127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273,989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40" w:type="dxa"/>
            <w:vAlign w:val="bottom"/>
            <w:vMerge w:val="restart"/>
          </w:tcPr>
          <w:p>
            <w:pPr>
              <w:jc w:val="right"/>
              <w:ind w:right="39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-608330</wp:posOffset>
            </wp:positionV>
            <wp:extent cx="76835" cy="1885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-608330</wp:posOffset>
            </wp:positionV>
            <wp:extent cx="85725" cy="1885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-608330</wp:posOffset>
            </wp:positionV>
            <wp:extent cx="77470" cy="1885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Quoted Prices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9"/>
              </w:rPr>
              <w:t>in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4"/>
              </w:rPr>
              <w:t>Active Markets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6"/>
              </w:rPr>
              <w:t>Significant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4"/>
              </w:rPr>
              <w:t>for Identical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86"/>
              </w:rPr>
              <w:t>Observable</w:t>
            </w:r>
          </w:p>
        </w:tc>
        <w:tc>
          <w:tcPr>
            <w:tcW w:w="2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Assets (Level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89"/>
              </w:rPr>
              <w:t>Inputs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2022</w:t>
            </w:r>
          </w:p>
        </w:tc>
        <w:tc>
          <w:tcPr>
            <w:tcW w:w="1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7"/>
              </w:rPr>
              <w:t>(Level 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U.S. Treasury</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94,678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86,927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66,072</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Total Securities Available-for-Sale</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94,678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292,766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40" w:type="dxa"/>
            <w:vAlign w:val="bottom"/>
            <w:vMerge w:val="restart"/>
          </w:tcPr>
          <w:p>
            <w:pPr>
              <w:jc w:val="right"/>
              <w:ind w:right="39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-607695</wp:posOffset>
            </wp:positionV>
            <wp:extent cx="76835" cy="1885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-607695</wp:posOffset>
            </wp:positionV>
            <wp:extent cx="85725" cy="1885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-607695</wp:posOffset>
            </wp:positionV>
            <wp:extent cx="77470" cy="1885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The following tables represent the changes in the Level 3 fair-value category of which unobservable inputs are relied upon as of the three and six month periods ended June 30, 2023 and June 30, 2022. During the three month period ended March 31, 2022, there was one security transferred from Level 3 to Level 2.</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8"/>
          </w:tcPr>
          <w:p>
            <w:pPr>
              <w:jc w:val="center"/>
              <w:ind w:right="110"/>
              <w:spacing w:after="0"/>
              <w:rPr>
                <w:sz w:val="20"/>
                <w:szCs w:val="20"/>
                <w:color w:val="auto"/>
              </w:rPr>
            </w:pPr>
            <w:r>
              <w:rPr>
                <w:rFonts w:ascii="Arial" w:cs="Arial" w:eastAsia="Arial" w:hAnsi="Arial"/>
                <w:sz w:val="18"/>
                <w:szCs w:val="18"/>
                <w:color w:val="auto"/>
                <w:w w:val="90"/>
              </w:rPr>
              <w:t>Fair Value Measurements Using Significant</w:t>
            </w:r>
          </w:p>
        </w:tc>
        <w:tc>
          <w:tcPr>
            <w:tcW w:w="120" w:type="dxa"/>
            <w:vAlign w:val="bottom"/>
          </w:tcPr>
          <w:p>
            <w:pPr>
              <w:spacing w:after="0"/>
              <w:rPr>
                <w:sz w:val="20"/>
                <w:szCs w:val="20"/>
                <w:color w:val="auto"/>
              </w:rPr>
            </w:pPr>
          </w:p>
        </w:tc>
      </w:tr>
      <w:tr>
        <w:trPr>
          <w:trHeight w:val="242"/>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7"/>
          </w:tcPr>
          <w:p>
            <w:pPr>
              <w:jc w:val="center"/>
              <w:ind w:left="470"/>
              <w:spacing w:after="0"/>
              <w:rPr>
                <w:sz w:val="20"/>
                <w:szCs w:val="20"/>
                <w:color w:val="auto"/>
              </w:rPr>
            </w:pPr>
            <w:r>
              <w:rPr>
                <w:rFonts w:ascii="Arial" w:cs="Arial" w:eastAsia="Arial" w:hAnsi="Arial"/>
                <w:sz w:val="18"/>
                <w:szCs w:val="18"/>
                <w:color w:val="auto"/>
                <w:w w:val="91"/>
              </w:rPr>
              <w:t>Unobservable Inputs (Level 3)</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9"/>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State and Local</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8"/>
              </w:rPr>
              <w:t>Governments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Taxable</w:t>
            </w:r>
          </w:p>
        </w:tc>
        <w:tc>
          <w:tcPr>
            <w:tcW w:w="3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20"/>
                <w:szCs w:val="20"/>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April 1, 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(27 )</w:t>
            </w:r>
          </w:p>
        </w:tc>
        <w:tc>
          <w:tcPr>
            <w:tcW w:w="3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(31 )</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&amp; Maturities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Reclassification &amp; Adjustments</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60"/>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8"/>
          </w:tcPr>
          <w:p>
            <w:pPr>
              <w:jc w:val="center"/>
              <w:ind w:right="110"/>
              <w:spacing w:after="0"/>
              <w:rPr>
                <w:sz w:val="20"/>
                <w:szCs w:val="20"/>
                <w:color w:val="auto"/>
              </w:rPr>
            </w:pPr>
            <w:r>
              <w:rPr>
                <w:rFonts w:ascii="Arial" w:cs="Arial" w:eastAsia="Arial" w:hAnsi="Arial"/>
                <w:sz w:val="18"/>
                <w:szCs w:val="18"/>
                <w:color w:val="auto"/>
                <w:w w:val="90"/>
              </w:rPr>
              <w:t>Fair Value Measurements Using Significant</w:t>
            </w:r>
          </w:p>
        </w:tc>
        <w:tc>
          <w:tcPr>
            <w:tcW w:w="120" w:type="dxa"/>
            <w:vAlign w:val="bottom"/>
          </w:tcPr>
          <w:p>
            <w:pPr>
              <w:spacing w:after="0"/>
              <w:rPr>
                <w:sz w:val="20"/>
                <w:szCs w:val="20"/>
                <w:color w:val="auto"/>
              </w:rPr>
            </w:pPr>
          </w:p>
        </w:tc>
      </w:tr>
      <w:tr>
        <w:trPr>
          <w:trHeight w:val="242"/>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7"/>
          </w:tcPr>
          <w:p>
            <w:pPr>
              <w:jc w:val="center"/>
              <w:ind w:left="470"/>
              <w:spacing w:after="0"/>
              <w:rPr>
                <w:sz w:val="20"/>
                <w:szCs w:val="20"/>
                <w:color w:val="auto"/>
              </w:rPr>
            </w:pPr>
            <w:r>
              <w:rPr>
                <w:rFonts w:ascii="Arial" w:cs="Arial" w:eastAsia="Arial" w:hAnsi="Arial"/>
                <w:sz w:val="18"/>
                <w:szCs w:val="18"/>
                <w:color w:val="auto"/>
                <w:w w:val="91"/>
              </w:rPr>
              <w:t>Unobservable Inputs (Level 3)</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9"/>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State and Local</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8"/>
              </w:rPr>
              <w:t>Governments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Taxable</w:t>
            </w:r>
          </w:p>
        </w:tc>
        <w:tc>
          <w:tcPr>
            <w:tcW w:w="3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20"/>
                <w:szCs w:val="20"/>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April 1, 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(69 )</w:t>
            </w:r>
          </w:p>
        </w:tc>
        <w:tc>
          <w:tcPr>
            <w:tcW w:w="3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(88 )</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&amp; Maturities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Reclassification &amp; Adjustments</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60"/>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8"/>
          </w:tcPr>
          <w:p>
            <w:pPr>
              <w:jc w:val="center"/>
              <w:ind w:right="110"/>
              <w:spacing w:after="0"/>
              <w:rPr>
                <w:sz w:val="20"/>
                <w:szCs w:val="20"/>
                <w:color w:val="auto"/>
              </w:rPr>
            </w:pPr>
            <w:r>
              <w:rPr>
                <w:rFonts w:ascii="Arial" w:cs="Arial" w:eastAsia="Arial" w:hAnsi="Arial"/>
                <w:sz w:val="18"/>
                <w:szCs w:val="18"/>
                <w:color w:val="auto"/>
                <w:w w:val="90"/>
              </w:rPr>
              <w:t>Fair Value Measurements Using Significant</w:t>
            </w:r>
          </w:p>
        </w:tc>
        <w:tc>
          <w:tcPr>
            <w:tcW w:w="120" w:type="dxa"/>
            <w:vAlign w:val="bottom"/>
          </w:tcPr>
          <w:p>
            <w:pPr>
              <w:spacing w:after="0"/>
              <w:rPr>
                <w:sz w:val="20"/>
                <w:szCs w:val="20"/>
                <w:color w:val="auto"/>
              </w:rPr>
            </w:pPr>
          </w:p>
        </w:tc>
      </w:tr>
      <w:tr>
        <w:trPr>
          <w:trHeight w:val="242"/>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7"/>
          </w:tcPr>
          <w:p>
            <w:pPr>
              <w:jc w:val="center"/>
              <w:ind w:left="470"/>
              <w:spacing w:after="0"/>
              <w:rPr>
                <w:sz w:val="20"/>
                <w:szCs w:val="20"/>
                <w:color w:val="auto"/>
              </w:rPr>
            </w:pPr>
            <w:r>
              <w:rPr>
                <w:rFonts w:ascii="Arial" w:cs="Arial" w:eastAsia="Arial" w:hAnsi="Arial"/>
                <w:sz w:val="18"/>
                <w:szCs w:val="18"/>
                <w:color w:val="auto"/>
                <w:w w:val="91"/>
              </w:rPr>
              <w:t>Unobservable Inputs (Level 3)</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9"/>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State and Local</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8"/>
              </w:rPr>
              <w:t>Governments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Taxable</w:t>
            </w:r>
          </w:p>
        </w:tc>
        <w:tc>
          <w:tcPr>
            <w:tcW w:w="3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20"/>
                <w:szCs w:val="20"/>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&amp; Maturities</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(245 )</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Reclassification &amp; Adjustments</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-5365750</wp:posOffset>
            </wp:positionV>
            <wp:extent cx="68580" cy="1631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-5365750</wp:posOffset>
            </wp:positionV>
            <wp:extent cx="68580" cy="1631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-5365750</wp:posOffset>
            </wp:positionV>
            <wp:extent cx="77470" cy="1631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-5048250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-5031105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-5048250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-5031105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-5048250</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-5031105</wp:posOffset>
            </wp:positionV>
            <wp:extent cx="774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-2854325</wp:posOffset>
            </wp:positionV>
            <wp:extent cx="68580" cy="16319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-2854325</wp:posOffset>
            </wp:positionV>
            <wp:extent cx="68580" cy="1631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-2854325</wp:posOffset>
            </wp:positionV>
            <wp:extent cx="77470" cy="1631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-2536825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-2519680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-2536825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-2519680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-2536825</wp:posOffset>
            </wp:positionV>
            <wp:extent cx="7747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-2519680</wp:posOffset>
            </wp:positionV>
            <wp:extent cx="774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-342265</wp:posOffset>
            </wp:positionV>
            <wp:extent cx="68580" cy="1625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-342265</wp:posOffset>
            </wp:positionV>
            <wp:extent cx="68580" cy="1625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-342265</wp:posOffset>
            </wp:positionV>
            <wp:extent cx="77470" cy="16256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90"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89"/>
              </w:rPr>
              <w:t>(In Thousands)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8"/>
          </w:tcPr>
          <w:p>
            <w:pPr>
              <w:jc w:val="center"/>
              <w:ind w:right="110"/>
              <w:spacing w:after="0"/>
              <w:rPr>
                <w:sz w:val="20"/>
                <w:szCs w:val="20"/>
                <w:color w:val="auto"/>
              </w:rPr>
            </w:pPr>
            <w:r>
              <w:rPr>
                <w:rFonts w:ascii="Arial" w:cs="Arial" w:eastAsia="Arial" w:hAnsi="Arial"/>
                <w:sz w:val="18"/>
                <w:szCs w:val="18"/>
                <w:color w:val="auto"/>
                <w:w w:val="90"/>
              </w:rPr>
              <w:t>Fair Value Measurements Using Significant</w:t>
            </w:r>
          </w:p>
        </w:tc>
        <w:tc>
          <w:tcPr>
            <w:tcW w:w="120" w:type="dxa"/>
            <w:vAlign w:val="bottom"/>
          </w:tcPr>
          <w:p>
            <w:pPr>
              <w:spacing w:after="0"/>
              <w:rPr>
                <w:sz w:val="20"/>
                <w:szCs w:val="20"/>
                <w:color w:val="auto"/>
              </w:rPr>
            </w:pPr>
          </w:p>
        </w:tc>
      </w:tr>
      <w:tr>
        <w:trPr>
          <w:trHeight w:val="242"/>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7"/>
          </w:tcPr>
          <w:p>
            <w:pPr>
              <w:jc w:val="center"/>
              <w:ind w:left="470"/>
              <w:spacing w:after="0"/>
              <w:rPr>
                <w:sz w:val="20"/>
                <w:szCs w:val="20"/>
                <w:color w:val="auto"/>
              </w:rPr>
            </w:pPr>
            <w:r>
              <w:rPr>
                <w:rFonts w:ascii="Arial" w:cs="Arial" w:eastAsia="Arial" w:hAnsi="Arial"/>
                <w:sz w:val="18"/>
                <w:szCs w:val="18"/>
                <w:color w:val="auto"/>
                <w:w w:val="91"/>
              </w:rPr>
              <w:t>Unobservable Inputs (Level 3)</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9"/>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State and Local</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88"/>
              </w:rPr>
              <w:t>Governments</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Tax-Exempt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Taxable</w:t>
            </w:r>
          </w:p>
        </w:tc>
        <w:tc>
          <w:tcPr>
            <w:tcW w:w="3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20"/>
                <w:szCs w:val="20"/>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2022</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(152 )</w:t>
            </w:r>
          </w:p>
        </w:tc>
        <w:tc>
          <w:tcPr>
            <w:tcW w:w="3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(210 )</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&amp; Maturities</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(160 )</w:t>
            </w: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Reclassification &amp; Adjustments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(989 )</w:t>
            </w:r>
          </w:p>
        </w:tc>
        <w:tc>
          <w:tcPr>
            <w:tcW w:w="3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(989 )</w:t>
            </w:r>
          </w:p>
        </w:tc>
      </w:tr>
      <w:tr>
        <w:trPr>
          <w:trHeight w:val="237"/>
        </w:trPr>
        <w:tc>
          <w:tcPr>
            <w:tcW w:w="51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r>
      <w:tr>
        <w:trPr>
          <w:trHeight w:val="28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-342265</wp:posOffset>
            </wp:positionV>
            <wp:extent cx="68580" cy="1631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-342265</wp:posOffset>
            </wp:positionV>
            <wp:extent cx="68580" cy="16319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-342265</wp:posOffset>
            </wp:positionV>
            <wp:extent cx="77470" cy="1631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June 30, 2023 and December 31, 2022, such assets consist primarily of collateral dependent loans. Collateral dependent loans categorized as Level 3 assets consist of non-homogeneous loans that have expected credit losses.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49"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At June 30, 2023 and December 31, 2022, fair value of collateral dependent loans categorized as Level 3 was $45 thousand and $2.7 million, respectively.</w:t>
      </w:r>
    </w:p>
    <w:p>
      <w:pPr>
        <w:spacing w:after="0" w:line="130"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During 2023, impairment was recognized on real estate servicing rights based upon the independent third party's quarterly valuation. A valuation allowance was established by strata to quantify the likely impairment of the value of the real estate servicing rights to the Company. If the carrying amount of an individual strata exceeds the fair value, impairment was recorded on that strata so the servicing asset was carried at fair value. Impairment was $2 thousand at June 30, 2023. There was no impairment at December 31, 2022.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 Thousands)</w:t>
            </w: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4"/>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0"/>
              </w:rPr>
              <w:t>Fair Value at</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49"/>
        </w:trPr>
        <w:tc>
          <w:tcPr>
            <w:tcW w:w="2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June 30, 2023</w:t>
            </w:r>
          </w:p>
        </w:tc>
        <w:tc>
          <w:tcPr>
            <w:tcW w:w="300" w:type="dxa"/>
            <w:vAlign w:val="bottom"/>
          </w:tcPr>
          <w:p>
            <w:pPr>
              <w:spacing w:after="0"/>
              <w:rPr>
                <w:sz w:val="21"/>
                <w:szCs w:val="21"/>
                <w:color w:val="auto"/>
              </w:rPr>
            </w:pP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Valuation Technique</w:t>
            </w:r>
          </w:p>
        </w:tc>
        <w:tc>
          <w:tcPr>
            <w:tcW w:w="180" w:type="dxa"/>
            <w:vAlign w:val="bottom"/>
          </w:tcPr>
          <w:p>
            <w:pPr>
              <w:spacing w:after="0"/>
              <w:rPr>
                <w:sz w:val="21"/>
                <w:szCs w:val="21"/>
                <w:color w:val="auto"/>
              </w:rPr>
            </w:pPr>
          </w:p>
        </w:tc>
        <w:tc>
          <w:tcPr>
            <w:tcW w:w="34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Unobservable Inputs</w:t>
            </w:r>
          </w:p>
        </w:tc>
        <w:tc>
          <w:tcPr>
            <w:tcW w:w="16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Average)</w:t>
            </w:r>
          </w:p>
        </w:tc>
      </w:tr>
      <w:tr>
        <w:trPr>
          <w:trHeight w:val="215"/>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3.49-</w:t>
            </w:r>
          </w:p>
        </w:tc>
      </w:tr>
      <w:tr>
        <w:trPr>
          <w:trHeight w:val="216"/>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1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0"/>
              </w:rPr>
              <w:t>5.48%</w:t>
            </w:r>
          </w:p>
        </w:tc>
      </w:tr>
      <w:tr>
        <w:trPr>
          <w:trHeight w:val="244"/>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and local government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Discounted Cash Flow</w:t>
            </w:r>
          </w:p>
        </w:tc>
        <w:tc>
          <w:tcPr>
            <w:tcW w:w="180" w:type="dxa"/>
            <w:vAlign w:val="bottom"/>
            <w:shd w:val="clear" w:color="auto" w:fill="CFF0FC"/>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(4.78%)</w:t>
            </w: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r>
      <w:tr>
        <w:trPr>
          <w:trHeight w:val="215"/>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25.00-</w:t>
            </w:r>
          </w:p>
        </w:tc>
      </w:tr>
      <w:tr>
        <w:trPr>
          <w:trHeight w:val="216"/>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 dependent</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 based</w:t>
            </w: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1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25.00%</w:t>
            </w:r>
          </w:p>
        </w:tc>
      </w:tr>
      <w:tr>
        <w:trPr>
          <w:trHeight w:val="244"/>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measurements</w:t>
            </w:r>
          </w:p>
        </w:tc>
        <w:tc>
          <w:tcPr>
            <w:tcW w:w="180" w:type="dxa"/>
            <w:vAlign w:val="bottom"/>
            <w:shd w:val="clear" w:color="auto" w:fill="CFF0FC"/>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110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3"/>
              </w:rPr>
              <w:t>(25.00%)</w:t>
            </w: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r>
      <w:tr>
        <w:trPr>
          <w:trHeight w:val="215"/>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4.03-</w:t>
            </w:r>
          </w:p>
        </w:tc>
      </w:tr>
      <w:tr>
        <w:trPr>
          <w:trHeight w:val="216"/>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w w:val="96"/>
              </w:rPr>
              <w:t>Constant prepayment rate and probability of</w:t>
            </w:r>
          </w:p>
        </w:tc>
        <w:tc>
          <w:tcPr>
            <w:tcW w:w="11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0"/>
              </w:rPr>
              <w:t>4.65%</w:t>
            </w:r>
          </w:p>
        </w:tc>
      </w:tr>
      <w:tr>
        <w:trPr>
          <w:trHeight w:val="244"/>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 estate servicing rights</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Discounted Cash Flow</w:t>
            </w:r>
          </w:p>
        </w:tc>
        <w:tc>
          <w:tcPr>
            <w:tcW w:w="180" w:type="dxa"/>
            <w:vAlign w:val="bottom"/>
            <w:shd w:val="clear" w:color="auto" w:fill="CFF0FC"/>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default / Discount rate</w:t>
            </w: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(4.63%)</w:t>
            </w:r>
          </w:p>
        </w:tc>
      </w:tr>
      <w:tr>
        <w:trPr>
          <w:trHeight w:val="702"/>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 Thousands)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4"/>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0"/>
              </w:rPr>
              <w:t>Fair Value at</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(Weighted</w:t>
            </w:r>
          </w:p>
        </w:tc>
      </w:tr>
      <w:tr>
        <w:trPr>
          <w:trHeight w:val="249"/>
        </w:trPr>
        <w:tc>
          <w:tcPr>
            <w:tcW w:w="2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2022</w:t>
            </w:r>
          </w:p>
        </w:tc>
        <w:tc>
          <w:tcPr>
            <w:tcW w:w="300" w:type="dxa"/>
            <w:vAlign w:val="bottom"/>
          </w:tcPr>
          <w:p>
            <w:pPr>
              <w:spacing w:after="0"/>
              <w:rPr>
                <w:sz w:val="21"/>
                <w:szCs w:val="21"/>
                <w:color w:val="auto"/>
              </w:rPr>
            </w:pPr>
          </w:p>
        </w:tc>
        <w:tc>
          <w:tcPr>
            <w:tcW w:w="1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Valuation Technique</w:t>
            </w:r>
          </w:p>
        </w:tc>
        <w:tc>
          <w:tcPr>
            <w:tcW w:w="180" w:type="dxa"/>
            <w:vAlign w:val="bottom"/>
          </w:tcPr>
          <w:p>
            <w:pPr>
              <w:spacing w:after="0"/>
              <w:rPr>
                <w:sz w:val="21"/>
                <w:szCs w:val="21"/>
                <w:color w:val="auto"/>
              </w:rPr>
            </w:pPr>
          </w:p>
        </w:tc>
        <w:tc>
          <w:tcPr>
            <w:tcW w:w="34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Unobservable Inputs</w:t>
            </w:r>
          </w:p>
        </w:tc>
        <w:tc>
          <w:tcPr>
            <w:tcW w:w="16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Average)</w:t>
            </w:r>
          </w:p>
        </w:tc>
      </w:tr>
      <w:tr>
        <w:trPr>
          <w:trHeight w:val="215"/>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2.08-5.01%</w:t>
            </w:r>
          </w:p>
        </w:tc>
      </w:tr>
      <w:tr>
        <w:trPr>
          <w:trHeight w:val="244"/>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and local government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Discounted Cash Flow</w:t>
            </w:r>
          </w:p>
        </w:tc>
        <w:tc>
          <w:tcPr>
            <w:tcW w:w="180" w:type="dxa"/>
            <w:vAlign w:val="bottom"/>
            <w:shd w:val="clear" w:color="auto" w:fill="CFF0FC"/>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1"/>
              </w:rPr>
              <w:t>(4.38%)</w:t>
            </w: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r>
      <w:tr>
        <w:trPr>
          <w:trHeight w:val="215"/>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20.00-</w:t>
            </w:r>
          </w:p>
        </w:tc>
      </w:tr>
      <w:tr>
        <w:trPr>
          <w:trHeight w:val="216"/>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 dependent</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Collateral based</w:t>
            </w: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1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1"/>
              </w:rPr>
              <w:t>29.01%</w:t>
            </w:r>
          </w:p>
        </w:tc>
      </w:tr>
      <w:tr>
        <w:trPr>
          <w:trHeight w:val="244"/>
        </w:trPr>
        <w:tc>
          <w:tcPr>
            <w:tcW w:w="2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impaired loans</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measurements</w:t>
            </w:r>
          </w:p>
        </w:tc>
        <w:tc>
          <w:tcPr>
            <w:tcW w:w="180" w:type="dxa"/>
            <w:vAlign w:val="bottom"/>
            <w:shd w:val="clear" w:color="auto" w:fill="CFF0FC"/>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110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3"/>
              </w:rPr>
              <w:t>(24.13%)</w:t>
            </w: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5"/>
        </w:trPr>
        <w:tc>
          <w:tcPr>
            <w:tcW w:w="2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w w:val="96"/>
              </w:rPr>
              <w:t>Constant prepayment rate and probability of</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44"/>
        </w:trPr>
        <w:tc>
          <w:tcPr>
            <w:tcW w:w="2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 estate servicing rights</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Discounted Cash Flow</w:t>
            </w:r>
          </w:p>
        </w:tc>
        <w:tc>
          <w:tcPr>
            <w:tcW w:w="180" w:type="dxa"/>
            <w:vAlign w:val="bottom"/>
            <w:shd w:val="clear" w:color="auto" w:fill="CFF0FC"/>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default / Discount rate</w:t>
            </w:r>
          </w:p>
        </w:tc>
        <w:tc>
          <w:tcPr>
            <w:tcW w:w="11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assets measured at fair value on a nonrecurring basis at June 30, 2023 and December 31, 2022:</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10"/>
          </w:tcPr>
          <w:p>
            <w:pPr>
              <w:jc w:val="center"/>
              <w:ind w:right="110"/>
              <w:spacing w:after="0"/>
              <w:rPr>
                <w:sz w:val="20"/>
                <w:szCs w:val="20"/>
                <w:color w:val="auto"/>
              </w:rPr>
            </w:pPr>
            <w:r>
              <w:rPr>
                <w:rFonts w:ascii="Arial" w:cs="Arial" w:eastAsia="Arial" w:hAnsi="Arial"/>
                <w:sz w:val="18"/>
                <w:szCs w:val="18"/>
                <w:color w:val="auto"/>
                <w:w w:val="89"/>
              </w:rPr>
              <w:t>Assets Measured at Fair Value on a Nonrecurring Basis at June 30, 2023</w:t>
            </w:r>
          </w:p>
        </w:tc>
        <w:tc>
          <w:tcPr>
            <w:tcW w:w="120" w:type="dxa"/>
            <w:vAlign w:val="bottom"/>
          </w:tcPr>
          <w:p>
            <w:pPr>
              <w:spacing w:after="0"/>
              <w:rPr>
                <w:sz w:val="20"/>
                <w:szCs w:val="20"/>
                <w:color w:val="auto"/>
              </w:rPr>
            </w:pPr>
          </w:p>
        </w:tc>
      </w:tr>
      <w:tr>
        <w:trPr>
          <w:trHeight w:val="215"/>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Markets for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Balance at</w:t>
            </w:r>
          </w:p>
        </w:tc>
        <w:tc>
          <w:tcPr>
            <w:tcW w:w="2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8"/>
              </w:rPr>
              <w:t>Observable Inputs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Unobservable Inputs</w:t>
            </w:r>
          </w:p>
        </w:tc>
        <w:tc>
          <w:tcPr>
            <w:tcW w:w="120" w:type="dxa"/>
            <w:vAlign w:val="bottom"/>
          </w:tcPr>
          <w:p>
            <w:pPr>
              <w:spacing w:after="0"/>
              <w:rPr>
                <w:sz w:val="18"/>
                <w:szCs w:val="18"/>
                <w:color w:val="auto"/>
              </w:rPr>
            </w:pPr>
          </w:p>
        </w:tc>
      </w:tr>
      <w:tr>
        <w:trPr>
          <w:trHeight w:val="237"/>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June 30, 2023</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7"/>
              </w:rPr>
              <w:t>(Level 3)</w:t>
            </w:r>
          </w:p>
        </w:tc>
        <w:tc>
          <w:tcPr>
            <w:tcW w:w="1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700" w:type="dxa"/>
            <w:vAlign w:val="bottom"/>
            <w:gridSpan w:val="2"/>
            <w:shd w:val="clear" w:color="auto" w:fill="CFF0FC"/>
          </w:tcPr>
          <w:p>
            <w:pPr>
              <w:jc w:val="right"/>
              <w:ind w:right="1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21"/>
                <w:szCs w:val="2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Real estate servicing rights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r>
      <w:tr>
        <w:trPr>
          <w:trHeight w:val="708"/>
        </w:trPr>
        <w:tc>
          <w:tcPr>
            <w:tcW w:w="2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10"/>
          </w:tcPr>
          <w:p>
            <w:pPr>
              <w:jc w:val="center"/>
              <w:ind w:right="110"/>
              <w:spacing w:after="0"/>
              <w:rPr>
                <w:sz w:val="20"/>
                <w:szCs w:val="20"/>
                <w:color w:val="auto"/>
              </w:rPr>
            </w:pPr>
            <w:r>
              <w:rPr>
                <w:rFonts w:ascii="Arial" w:cs="Arial" w:eastAsia="Arial" w:hAnsi="Arial"/>
                <w:sz w:val="18"/>
                <w:szCs w:val="18"/>
                <w:color w:val="auto"/>
                <w:w w:val="89"/>
              </w:rPr>
              <w:t>Assets Measured at Fair Value on a Nonrecurring Basis at December 31, 2022</w:t>
            </w:r>
          </w:p>
        </w:tc>
        <w:tc>
          <w:tcPr>
            <w:tcW w:w="120" w:type="dxa"/>
            <w:vAlign w:val="bottom"/>
          </w:tcPr>
          <w:p>
            <w:pPr>
              <w:spacing w:after="0"/>
              <w:rPr>
                <w:sz w:val="20"/>
                <w:szCs w:val="20"/>
                <w:color w:val="auto"/>
              </w:rPr>
            </w:pPr>
          </w:p>
        </w:tc>
      </w:tr>
      <w:tr>
        <w:trPr>
          <w:trHeight w:val="215"/>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Markets for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Balance at</w:t>
            </w:r>
          </w:p>
        </w:tc>
        <w:tc>
          <w:tcPr>
            <w:tcW w:w="28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8"/>
              </w:rPr>
              <w:t>Observable Inputs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Unobservable Inputs</w:t>
            </w:r>
          </w:p>
        </w:tc>
        <w:tc>
          <w:tcPr>
            <w:tcW w:w="120" w:type="dxa"/>
            <w:vAlign w:val="bottom"/>
          </w:tcPr>
          <w:p>
            <w:pPr>
              <w:spacing w:after="0"/>
              <w:rPr>
                <w:sz w:val="18"/>
                <w:szCs w:val="18"/>
                <w:color w:val="auto"/>
              </w:rPr>
            </w:pPr>
          </w:p>
        </w:tc>
      </w:tr>
      <w:tr>
        <w:trPr>
          <w:trHeight w:val="237"/>
        </w:trPr>
        <w:tc>
          <w:tcPr>
            <w:tcW w:w="29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2022</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7"/>
              </w:rPr>
              <w:t>(Level 3)</w:t>
            </w:r>
          </w:p>
        </w:tc>
        <w:tc>
          <w:tcPr>
            <w:tcW w:w="120" w:type="dxa"/>
            <w:vAlign w:val="bottom"/>
          </w:tcPr>
          <w:p>
            <w:pPr>
              <w:spacing w:after="0"/>
              <w:rPr>
                <w:sz w:val="20"/>
                <w:szCs w:val="20"/>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700" w:type="dxa"/>
            <w:vAlign w:val="bottom"/>
            <w:gridSpan w:val="2"/>
            <w:shd w:val="clear" w:color="auto" w:fill="CFF0FC"/>
          </w:tcPr>
          <w:p>
            <w:pPr>
              <w:jc w:val="right"/>
              <w:ind w:right="12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FF0FC"/>
          </w:tcPr>
          <w:p>
            <w:pPr>
              <w:spacing w:after="0"/>
              <w:rPr>
                <w:sz w:val="21"/>
                <w:szCs w:val="21"/>
                <w:color w:val="auto"/>
              </w:rPr>
            </w:pPr>
          </w:p>
        </w:tc>
      </w:tr>
    </w:tbl>
    <w:p>
      <w:pPr>
        <w:spacing w:after="0" w:line="364" w:lineRule="exact"/>
        <w:rPr>
          <w:sz w:val="20"/>
          <w:szCs w:val="20"/>
          <w:color w:val="auto"/>
        </w:rPr>
      </w:pPr>
    </w:p>
    <w:p>
      <w:pPr>
        <w:ind w:left="760"/>
        <w:spacing w:after="0" w:line="273"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2023 and December 31, 2022 are reflected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4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June 30, 2023</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Carrying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1"/>
                <w:szCs w:val="2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71,193</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71,193</w:t>
            </w:r>
          </w:p>
        </w:tc>
        <w:tc>
          <w:tcPr>
            <w:tcW w:w="4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71,193</w:t>
            </w:r>
          </w:p>
        </w:tc>
        <w:tc>
          <w:tcPr>
            <w:tcW w:w="12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Securities - available-for-sale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363,225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363,225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273,989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3,109</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17,535</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Loans, net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2,490,883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2,316,031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2,316,031</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11,145</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1,351,305</w:t>
            </w:r>
          </w:p>
        </w:tc>
        <w:tc>
          <w:tcPr>
            <w:tcW w:w="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1,351,263</w:t>
            </w:r>
          </w:p>
        </w:tc>
        <w:tc>
          <w:tcPr>
            <w:tcW w:w="46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1,351,263</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Non-interest bearing deposits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488,678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488,678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628,757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616,958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616,958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4960" w:type="dxa"/>
            <w:vAlign w:val="bottom"/>
          </w:tcPr>
          <w:p>
            <w:pPr>
              <w:ind w:left="38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2,468,740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2,456,899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1,968,221</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4960" w:type="dxa"/>
            <w:vAlign w:val="bottom"/>
          </w:tcPr>
          <w:p>
            <w:pPr>
              <w:ind w:left="200"/>
              <w:spacing w:after="0"/>
              <w:rPr>
                <w:sz w:val="20"/>
                <w:szCs w:val="20"/>
                <w:color w:val="auto"/>
              </w:rPr>
            </w:pPr>
            <w:r>
              <w:rPr>
                <w:rFonts w:ascii="Arial" w:cs="Arial" w:eastAsia="Arial" w:hAnsi="Arial"/>
                <w:sz w:val="18"/>
                <w:szCs w:val="18"/>
                <w:color w:val="auto"/>
              </w:rPr>
              <w:t>Federal funds purchased and securities sold under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60" w:type="dxa"/>
            <w:vAlign w:val="bottom"/>
          </w:tcPr>
          <w:p>
            <w:pPr>
              <w:ind w:left="340"/>
              <w:spacing w:after="0"/>
              <w:rPr>
                <w:sz w:val="20"/>
                <w:szCs w:val="20"/>
                <w:color w:val="auto"/>
              </w:rPr>
            </w:pPr>
            <w:r>
              <w:rPr>
                <w:rFonts w:ascii="Arial" w:cs="Arial" w:eastAsia="Arial" w:hAnsi="Arial"/>
                <w:sz w:val="18"/>
                <w:szCs w:val="18"/>
                <w:color w:val="auto"/>
              </w:rPr>
              <w:t>agreement to repurchase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51,567</w:t>
            </w:r>
          </w:p>
        </w:tc>
        <w:tc>
          <w:tcPr>
            <w:tcW w:w="140" w:type="dxa"/>
            <w:vAlign w:val="bottom"/>
          </w:tcPr>
          <w:p>
            <w:pPr>
              <w:spacing w:after="0"/>
              <w:rPr>
                <w:sz w:val="20"/>
                <w:szCs w:val="20"/>
                <w:color w:val="auto"/>
              </w:rPr>
            </w:pPr>
          </w:p>
        </w:tc>
      </w:tr>
      <w:tr>
        <w:trPr>
          <w:trHeight w:val="250"/>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266,818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263,316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263,316</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Subordinated notes, net of unamortized issuance costs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0"/>
        </w:trPr>
        <w:tc>
          <w:tcPr>
            <w:tcW w:w="4960" w:type="dxa"/>
            <w:vAlign w:val="bottom"/>
          </w:tcPr>
          <w:p>
            <w:pPr>
              <w:ind w:left="20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3,655</w:t>
            </w:r>
          </w:p>
        </w:tc>
        <w:tc>
          <w:tcPr>
            <w:tcW w:w="140" w:type="dxa"/>
            <w:vAlign w:val="bottom"/>
          </w:tcPr>
          <w:p>
            <w:pPr>
              <w:spacing w:after="0"/>
              <w:rPr>
                <w:sz w:val="20"/>
                <w:szCs w:val="20"/>
                <w:color w:val="auto"/>
              </w:rPr>
            </w:pPr>
          </w:p>
        </w:tc>
      </w:tr>
      <w:tr>
        <w:trPr>
          <w:trHeight w:val="553"/>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-1645285</wp:posOffset>
            </wp:positionV>
            <wp:extent cx="85725" cy="1631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-1645285</wp:posOffset>
            </wp:positionV>
            <wp:extent cx="85725" cy="1631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-1645285</wp:posOffset>
            </wp:positionV>
            <wp:extent cx="77470" cy="1631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-1645285</wp:posOffset>
            </wp:positionV>
            <wp:extent cx="85725" cy="1631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-1645285</wp:posOffset>
            </wp:positionV>
            <wp:extent cx="85725" cy="1631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8800" w:type="dxa"/>
            <w:vAlign w:val="bottom"/>
            <w:gridSpan w:val="13"/>
          </w:tcPr>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88"/>
        </w:trPr>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color w:val="auto"/>
                <w:w w:val="90"/>
              </w:rPr>
              <w:t>(In Thousands)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4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December 31, 2022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Carrying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Level 1</w:t>
            </w: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9"/>
              </w:rPr>
              <w:t>Level 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1"/>
                <w:szCs w:val="2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84,409</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84,409</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Securities - available-for-sale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390,789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390,789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292,766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3,345</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9,799</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Loans, net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2,336,074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2,171,152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2,171,152</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10,440</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1,378,090</w:t>
            </w:r>
          </w:p>
        </w:tc>
        <w:tc>
          <w:tcPr>
            <w:tcW w:w="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1,377,944</w:t>
            </w:r>
          </w:p>
        </w:tc>
        <w:tc>
          <w:tcPr>
            <w:tcW w:w="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1,377,944</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Non-interest bearing deposits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532,794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532,794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532,794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557,980</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543,737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543,737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4960" w:type="dxa"/>
            <w:vAlign w:val="bottom"/>
          </w:tcPr>
          <w:p>
            <w:pPr>
              <w:ind w:left="38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2,468,864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2,454,475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532,794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1,921,681</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4960" w:type="dxa"/>
            <w:vAlign w:val="bottom"/>
          </w:tcPr>
          <w:p>
            <w:pPr>
              <w:ind w:left="200"/>
              <w:spacing w:after="0"/>
              <w:rPr>
                <w:sz w:val="20"/>
                <w:szCs w:val="20"/>
                <w:color w:val="auto"/>
              </w:rPr>
            </w:pPr>
            <w:r>
              <w:rPr>
                <w:rFonts w:ascii="Arial" w:cs="Arial" w:eastAsia="Arial" w:hAnsi="Arial"/>
                <w:sz w:val="18"/>
                <w:szCs w:val="18"/>
                <w:color w:val="auto"/>
              </w:rPr>
              <w:t>Federal funds purchased and securities sold under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60" w:type="dxa"/>
            <w:vAlign w:val="bottom"/>
          </w:tcPr>
          <w:p>
            <w:pPr>
              <w:ind w:left="340"/>
              <w:spacing w:after="0"/>
              <w:rPr>
                <w:sz w:val="20"/>
                <w:szCs w:val="20"/>
                <w:color w:val="auto"/>
              </w:rPr>
            </w:pPr>
            <w:r>
              <w:rPr>
                <w:rFonts w:ascii="Arial" w:cs="Arial" w:eastAsia="Arial" w:hAnsi="Arial"/>
                <w:sz w:val="18"/>
                <w:szCs w:val="18"/>
                <w:color w:val="auto"/>
              </w:rPr>
              <w:t>agreement to repurchase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54,206</w:t>
            </w:r>
          </w:p>
        </w:tc>
        <w:tc>
          <w:tcPr>
            <w:tcW w:w="140" w:type="dxa"/>
            <w:vAlign w:val="bottom"/>
          </w:tcPr>
          <w:p>
            <w:pPr>
              <w:spacing w:after="0"/>
              <w:rPr>
                <w:sz w:val="20"/>
                <w:szCs w:val="20"/>
                <w:color w:val="auto"/>
              </w:rPr>
            </w:pPr>
          </w:p>
        </w:tc>
      </w:tr>
      <w:tr>
        <w:trPr>
          <w:trHeight w:val="250"/>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125,761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125,761</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Other borrowings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Subordinated notes, net of unamortized issuance costs</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0"/>
        </w:trPr>
        <w:tc>
          <w:tcPr>
            <w:tcW w:w="4960" w:type="dxa"/>
            <w:vAlign w:val="bottom"/>
          </w:tcPr>
          <w:p>
            <w:pPr>
              <w:ind w:left="200"/>
              <w:spacing w:after="0"/>
              <w:rPr>
                <w:sz w:val="20"/>
                <w:szCs w:val="20"/>
                <w:color w:val="auto"/>
              </w:rPr>
            </w:pPr>
            <w:r>
              <w:rPr>
                <w:rFonts w:ascii="Arial" w:cs="Arial" w:eastAsia="Arial" w:hAnsi="Arial"/>
                <w:sz w:val="18"/>
                <w:szCs w:val="18"/>
                <w:color w:val="auto"/>
              </w:rPr>
              <w:t>Interest payable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20"/>
                <w:szCs w:val="20"/>
                <w:color w:val="auto"/>
              </w:rPr>
            </w:pPr>
          </w:p>
        </w:tc>
      </w:tr>
      <w:tr>
        <w:trPr>
          <w:trHeight w:val="553"/>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-1653540</wp:posOffset>
            </wp:positionV>
            <wp:extent cx="85725" cy="1631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-1653540</wp:posOffset>
            </wp:positionV>
            <wp:extent cx="85725" cy="16319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-1653540</wp:posOffset>
            </wp:positionV>
            <wp:extent cx="77470" cy="1631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-1653540</wp:posOffset>
            </wp:positionV>
            <wp:extent cx="85725" cy="1631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-1653540</wp:posOffset>
            </wp:positionV>
            <wp:extent cx="85725" cy="1631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2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had $21 million federal funds purchased as of June 30, 2023 and $22.6 million as of December 31, 2022. During the same time periods, the Company had $30.6 million and $31.6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June 30, 2023</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12"/>
          </w:tcPr>
          <w:p>
            <w:pPr>
              <w:jc w:val="center"/>
              <w:ind w:left="57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60" w:type="dxa"/>
            <w:vAlign w:val="bottom"/>
          </w:tcPr>
          <w:p>
            <w:pPr>
              <w:spacing w:after="0"/>
              <w:rPr>
                <w:sz w:val="24"/>
                <w:szCs w:val="24"/>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Overnight &amp;</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7"/>
              </w:rPr>
              <w:t>30-90 days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Greater Than</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Continuous</w:t>
            </w:r>
          </w:p>
        </w:tc>
        <w:tc>
          <w:tcPr>
            <w:tcW w:w="2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1"/>
              </w:rPr>
              <w:t>Up to 30 days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color w:val="auto"/>
                <w:w w:val="85"/>
              </w:rPr>
              <w:t>90 days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funds purchased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&amp; agency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22,599</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28,968</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2022</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12"/>
          </w:tcPr>
          <w:p>
            <w:pPr>
              <w:jc w:val="center"/>
              <w:ind w:left="570"/>
              <w:spacing w:after="0"/>
              <w:rPr>
                <w:sz w:val="20"/>
                <w:szCs w:val="20"/>
                <w:color w:val="auto"/>
              </w:rPr>
            </w:pPr>
            <w:r>
              <w:rPr>
                <w:rFonts w:ascii="Arial" w:cs="Arial" w:eastAsia="Arial" w:hAnsi="Arial"/>
                <w:sz w:val="18"/>
                <w:szCs w:val="18"/>
                <w:color w:val="auto"/>
                <w:w w:val="91"/>
              </w:rPr>
              <w:t>Remaining Contractual Maturity of the Agreements (In Thousands)</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660" w:type="dxa"/>
            <w:vAlign w:val="bottom"/>
          </w:tcPr>
          <w:p>
            <w:pPr>
              <w:spacing w:after="0"/>
              <w:rPr>
                <w:sz w:val="24"/>
                <w:szCs w:val="24"/>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Overnight &amp;</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7"/>
              </w:rPr>
              <w:t>30-90 days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Greater Than</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Continuous</w:t>
            </w:r>
          </w:p>
        </w:tc>
        <w:tc>
          <w:tcPr>
            <w:tcW w:w="2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1"/>
              </w:rPr>
              <w:t>Up to 30 days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color w:val="auto"/>
                <w:w w:val="85"/>
              </w:rPr>
              <w:t>90 days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funds purchased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28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&amp; agency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31,633</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23,688</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30,518</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54,206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-2348230</wp:posOffset>
            </wp:positionV>
            <wp:extent cx="85725" cy="18859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-2348230</wp:posOffset>
            </wp:positionV>
            <wp:extent cx="85725" cy="18859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-2348230</wp:posOffset>
            </wp:positionV>
            <wp:extent cx="85725" cy="18859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-2348230</wp:posOffset>
            </wp:positionV>
            <wp:extent cx="76835" cy="18859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18859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-753745</wp:posOffset>
            </wp:positionV>
            <wp:extent cx="85725" cy="18859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-753745</wp:posOffset>
            </wp:positionV>
            <wp:extent cx="85725" cy="1885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-753745</wp:posOffset>
            </wp:positionV>
            <wp:extent cx="85725" cy="1885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-753745</wp:posOffset>
            </wp:positionV>
            <wp:extent cx="76835" cy="1885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-753745</wp:posOffset>
            </wp:positionV>
            <wp:extent cx="85725" cy="18859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8 SUBORDINATED NOTES</w:t>
      </w:r>
    </w:p>
    <w:p>
      <w:pPr>
        <w:spacing w:after="0" w:line="22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p>
    <w:p>
      <w:pPr>
        <w:spacing w:after="0" w:line="14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June 30, 2023</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jc w:val="right"/>
              <w:ind w:right="790"/>
              <w:spacing w:after="0"/>
              <w:rPr>
                <w:sz w:val="20"/>
                <w:szCs w:val="20"/>
                <w:color w:val="auto"/>
              </w:rPr>
            </w:pPr>
            <w:r>
              <w:rPr>
                <w:rFonts w:ascii="Arial" w:cs="Arial" w:eastAsia="Arial" w:hAnsi="Arial"/>
                <w:sz w:val="18"/>
                <w:szCs w:val="18"/>
                <w:color w:val="auto"/>
              </w:rPr>
              <w:t>December 31, 2022</w:t>
            </w:r>
          </w:p>
        </w:tc>
        <w:tc>
          <w:tcPr>
            <w:tcW w:w="1120" w:type="dxa"/>
            <w:vAlign w:val="bottom"/>
          </w:tcPr>
          <w:p>
            <w:pPr>
              <w:spacing w:after="0"/>
              <w:rPr>
                <w:sz w:val="20"/>
                <w:szCs w:val="20"/>
                <w:color w:val="auto"/>
              </w:rPr>
            </w:pPr>
          </w:p>
        </w:tc>
      </w:tr>
      <w:tr>
        <w:trPr>
          <w:trHeight w:val="215"/>
        </w:trPr>
        <w:tc>
          <w:tcPr>
            <w:tcW w:w="1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2"/>
              </w:rPr>
              <w:t>Unamortized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right="470"/>
              <w:spacing w:after="0"/>
              <w:rPr>
                <w:sz w:val="20"/>
                <w:szCs w:val="20"/>
                <w:color w:val="auto"/>
              </w:rPr>
            </w:pPr>
            <w:r>
              <w:rPr>
                <w:rFonts w:ascii="Arial" w:cs="Arial" w:eastAsia="Arial" w:hAnsi="Arial"/>
                <w:sz w:val="18"/>
                <w:szCs w:val="18"/>
                <w:color w:val="auto"/>
                <w:w w:val="88"/>
              </w:rPr>
              <w:t>Note Issuance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Note Issuance</w:t>
            </w:r>
          </w:p>
        </w:tc>
        <w:tc>
          <w:tcPr>
            <w:tcW w:w="1120" w:type="dxa"/>
            <w:vAlign w:val="bottom"/>
          </w:tcPr>
          <w:p>
            <w:pPr>
              <w:spacing w:after="0"/>
              <w:rPr>
                <w:sz w:val="18"/>
                <w:szCs w:val="18"/>
                <w:color w:val="auto"/>
              </w:rPr>
            </w:pPr>
          </w:p>
        </w:tc>
      </w:tr>
      <w:tr>
        <w:trPr>
          <w:trHeight w:val="237"/>
        </w:trPr>
        <w:tc>
          <w:tcPr>
            <w:tcW w:w="1120" w:type="dxa"/>
            <w:vAlign w:val="bottom"/>
          </w:tcPr>
          <w:p>
            <w:pPr>
              <w:spacing w:after="0"/>
              <w:rPr>
                <w:sz w:val="20"/>
                <w:szCs w:val="20"/>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Principal</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right"/>
              <w:ind w:right="870"/>
              <w:spacing w:after="0"/>
              <w:rPr>
                <w:sz w:val="20"/>
                <w:szCs w:val="20"/>
                <w:color w:val="auto"/>
              </w:rPr>
            </w:pPr>
            <w:r>
              <w:rPr>
                <w:rFonts w:ascii="Arial" w:cs="Arial" w:eastAsia="Arial" w:hAnsi="Arial"/>
                <w:sz w:val="18"/>
                <w:szCs w:val="18"/>
                <w:color w:val="auto"/>
                <w:w w:val="95"/>
              </w:rPr>
              <w:t>Costs</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Principal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90"/>
              <w:spacing w:after="0"/>
              <w:rPr>
                <w:sz w:val="20"/>
                <w:szCs w:val="20"/>
                <w:color w:val="auto"/>
              </w:rPr>
            </w:pPr>
            <w:r>
              <w:rPr>
                <w:rFonts w:ascii="Arial" w:cs="Arial" w:eastAsia="Arial" w:hAnsi="Arial"/>
                <w:sz w:val="18"/>
                <w:szCs w:val="18"/>
                <w:color w:val="auto"/>
              </w:rPr>
              <w:t>Costs</w:t>
            </w:r>
          </w:p>
        </w:tc>
        <w:tc>
          <w:tcPr>
            <w:tcW w:w="1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2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Subordinated Notes</w:t>
            </w:r>
          </w:p>
        </w:tc>
        <w:tc>
          <w:tcPr>
            <w:tcW w:w="1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1"/>
                <w:szCs w:val="21"/>
                <w:color w:val="auto"/>
              </w:rPr>
            </w:pPr>
          </w:p>
        </w:tc>
      </w:tr>
      <w:tr>
        <w:trPr>
          <w:trHeight w:val="945"/>
        </w:trPr>
        <w:tc>
          <w:tcPr>
            <w:tcW w:w="1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10 RECENT ACCOUNTING PRONOUNCEMENTS</w:t>
      </w:r>
    </w:p>
    <w:p>
      <w:pPr>
        <w:spacing w:after="0" w:line="225"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No. 2016-13 “Financial Instruments – Credit Losses (Topic 326): Measurement of Credit Losses on Financial Instruments.” This ASU required the measurement of all expected credit losses for financial assets held at the reporting date to be based on historical experience, current conditions, and reasonable and supportable forecasts. Financial institutions and other organizations now use forward-looking information to better calculate their credit loss estimates. Many of the loss estimation techniques used prior to adoption of the ASU are still permitted, although the inputs to those techniques were changed to reflect the full amount of expected credit losses. Organizations continue to use judgment to determine which loss estimation method is appropriate for their circumstances. The ASU required enhanced disclosures to help investors and other financial statement users better understand significant estimates and judgments used in estimating credit losses, as well as the credit quality and underwriting standards of an organization’s portfolio. These disclosures included qualitative and quantitative requirements that provided additional information about the amounts recorded in the financial statements. In addition, the ASU amended the accounting for credit losses on available-for-sale debt securities and purchased financial assets with credit deterioration.</w:t>
      </w:r>
    </w:p>
    <w:p>
      <w:pPr>
        <w:spacing w:after="0" w:line="14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had completed an analysis to determine that it qualifies as a Smaller Reporting Company. As such, adoption was postponed until January 1, 2023.</w:t>
      </w:r>
    </w:p>
    <w:p>
      <w:pPr>
        <w:spacing w:after="0" w:line="160"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The Current Expected Credit Losses (“CECL”) methodology applies to loans held for investment, held to maturity debt securities, and off balance-sheet credit exposures. The ASU allows for several different methods of computing the ACL: closed pool, vintage, average charge-off, migration, probability of default / loss given default, discounted cash flow, and regression. Based on its analysis of observable data, the Company concluded the average charge-off method to be the most appropriate and statistically relevant. A 20-year lookback will be utilized as the historical loss period due to its inclusion of several economic cycles and relevance to real estate secured assets.</w:t>
      </w:r>
    </w:p>
    <w:p>
      <w:pPr>
        <w:spacing w:after="0" w:line="352"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Company began working with its third-party service provider to review parallel reports in June 2019. At the end of first quarter 2022, the Company evaluated and refined its methodology and produced a parallel report for the calculation of the ACL under the ASU guidance. The Company contracted with a third party to perform an independent validation of its processes and methodology. This validation has been completed and, at this time, is anticipated to be performed on an annual basis. As the Company conducts its own risk-based audits, the audit risk assessment will determine the scope and frequency of future model validations.</w:t>
      </w:r>
    </w:p>
    <w:p>
      <w:pPr>
        <w:spacing w:after="0" w:line="147"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qualitative impact of the new accounting standard will still be directed by many of the same factors that impacted the previous methodology for computing the allowance including, but not limited to, quality and experience of staff, changes in the value of collateral, concentrations of credit in loan types or industries and changes to lending policies. In addition to this, the Company will also use reasonable and supportable forecasts. Examples of this are regression analyses of data from the Federal Open Market Committee, quarterly economic projections for change in real GDP and of national unemployment.</w:t>
      </w:r>
    </w:p>
    <w:p>
      <w:pPr>
        <w:spacing w:after="0" w:line="37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adopted ASU 2016-13 on January 1, 2023, using the modified retrospective method for all financial assets measured at amortized cost and off-balance sheet credit exposures. Results for reporting periods beginning after January 1, 2023 are presented under CECL while prior period amounts continue to be reported in accordance with the incurred loss accounting standards. The Company did not make any material changes to its business practices as a result of implementing the ASU.</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transition adjustment of the CECL adoption included an increase in the allowance for loan losses of $3.6 million, increase in the allowance for unfunded loan commitment and letters of credit of $0.9 million and a $3.4 million decrease to the retained earnings account to reflect the cumulative effect of adopting CECL on our Condensed Consolidated Balance Sheets, with the $1.1 million tax impact portion being recorded as part of the deferred tax asset in other assets on our Condensed Consolidated Balance Sheets.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illustrates the impact of adopting the ASU:</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89"/>
              </w:rPr>
              <w:t>January 1, 2023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4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0"/>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1"/>
              </w:rPr>
              <w:t>As Reported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1"/>
              </w:rPr>
              <w:t>Impact of</w:t>
            </w:r>
          </w:p>
        </w:tc>
        <w:tc>
          <w:tcPr>
            <w:tcW w:w="140" w:type="dxa"/>
            <w:vAlign w:val="bottom"/>
          </w:tcPr>
          <w:p>
            <w:pPr>
              <w:spacing w:after="0"/>
              <w:rPr>
                <w:sz w:val="20"/>
                <w:szCs w:val="20"/>
                <w:color w:val="auto"/>
              </w:rPr>
            </w:pPr>
          </w:p>
        </w:tc>
      </w:tr>
      <w:tr>
        <w:trPr>
          <w:trHeight w:val="242"/>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Under</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2"/>
              </w:rPr>
              <w:t>Pre-ASU 2016-13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ASU 2016-13</w:t>
            </w:r>
          </w:p>
        </w:tc>
      </w:tr>
      <w:tr>
        <w:trPr>
          <w:trHeight w:val="250"/>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2"/>
              </w:rPr>
              <w:t>ASU 2016-13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center"/>
              <w:ind w:right="90"/>
              <w:spacing w:after="0"/>
              <w:rPr>
                <w:sz w:val="20"/>
                <w:szCs w:val="20"/>
                <w:color w:val="auto"/>
              </w:rPr>
            </w:pPr>
            <w:r>
              <w:rPr>
                <w:rFonts w:ascii="Arial" w:cs="Arial" w:eastAsia="Arial" w:hAnsi="Arial"/>
                <w:sz w:val="18"/>
                <w:szCs w:val="18"/>
                <w:color w:val="auto"/>
                <w:w w:val="95"/>
              </w:rPr>
              <w:t>Adoption</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Adoption</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Real Estate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140" w:type="dxa"/>
            <w:vAlign w:val="bottom"/>
            <w:shd w:val="clear" w:color="auto" w:fill="CFF0FC"/>
          </w:tcPr>
          <w:p>
            <w:pPr>
              <w:spacing w:after="0"/>
              <w:rPr>
                <w:sz w:val="21"/>
                <w:szCs w:val="21"/>
                <w:color w:val="auto"/>
              </w:rPr>
            </w:pPr>
          </w:p>
        </w:tc>
        <w:tc>
          <w:tcPr>
            <w:tcW w:w="4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FF0FC"/>
          </w:tcPr>
          <w:p>
            <w:pPr>
              <w:spacing w:after="0"/>
              <w:rPr>
                <w:sz w:val="21"/>
                <w:szCs w:val="21"/>
                <w:color w:val="auto"/>
              </w:rPr>
            </w:pPr>
          </w:p>
        </w:tc>
        <w:tc>
          <w:tcPr>
            <w:tcW w:w="46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(166 )</w:t>
            </w: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(650 )</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11,924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3,501</w:t>
            </w: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&amp; Industrial</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(2,165 )</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r>
      <w:tr>
        <w:trPr>
          <w:trHeight w:val="249"/>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Unfunded Loan Commitment &amp; Letters of Credit</w:t>
            </w:r>
          </w:p>
        </w:tc>
        <w:tc>
          <w:tcPr>
            <w:tcW w:w="24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980" w:type="dxa"/>
            <w:vAlign w:val="bottom"/>
          </w:tcPr>
          <w:p>
            <w:pPr>
              <w:ind w:left="240"/>
              <w:spacing w:after="0"/>
              <w:rPr>
                <w:sz w:val="20"/>
                <w:szCs w:val="20"/>
                <w:color w:val="auto"/>
              </w:rPr>
            </w:pPr>
            <w:r>
              <w:rPr>
                <w:rFonts w:ascii="Arial" w:cs="Arial" w:eastAsia="Arial" w:hAnsi="Arial"/>
                <w:sz w:val="18"/>
                <w:szCs w:val="18"/>
                <w:color w:val="auto"/>
              </w:rPr>
              <w:t>Current Expected Credit Losses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26,043</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21,575</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-187960</wp:posOffset>
            </wp:positionV>
            <wp:extent cx="85725" cy="1885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85725" cy="1885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In March 2022, the FASB issued ASU 2022-02 "Financial Instruments - Credit Losses (Topic 326): Troubled Debt Restructurings and Vintage Disclosures." This ASU eliminates the accounting guidance on troubled debt restructurings for creditors in ASC 310-40 and requires entities to evaluate all receivable modifications under ASC 310-20 to determine whether a modification made to a borrower results in a new loan or a continuation of the existing loan. The amended guidance adds enhanced disclosures for creditors with respect to loan refinancings and restructurings for borrowers experiencing financial difficulty. The amended guidance also requires disclosure of current period gross charge-offs by year of origination within the vintage disclosures required by ASC 326. The amended guidance is effective for the Company on January 1, 2023, with early adoption permitted. The Company adopted ASU 2022-02 effective January 1, 2023. There was no financial impact as a result of adopting the standard.</w:t>
      </w:r>
    </w:p>
    <w:p>
      <w:pPr>
        <w:spacing w:after="0" w:line="151"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are expected to be issued in Q4 2023. Management and its advisors are in the process of evaluating the impact of these proposed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continues to prudently monitor its loan growth to best serve its customers. Year over year, the growth has been 23.6% (excluding</w:t>
      </w:r>
    </w:p>
    <w:p>
      <w:pPr>
        <w:spacing w:after="0" w:line="46" w:lineRule="exact"/>
        <w:rPr>
          <w:sz w:val="20"/>
          <w:szCs w:val="20"/>
          <w:color w:val="auto"/>
        </w:rPr>
      </w:pPr>
    </w:p>
    <w:p>
      <w:pPr>
        <w:jc w:val="both"/>
        <w:ind w:left="760" w:hanging="3"/>
        <w:spacing w:after="0" w:line="277" w:lineRule="auto"/>
        <w:tabs>
          <w:tab w:leader="none" w:pos="111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balances) of which organic growth accounted for 18.5% (excluding PPP and acquisitions). In terms of dollars, the largest increase was in commercial real estate, $301.7 million, or 30.5%, year over year. In terms of percentage, the largest increase was in consumer at 59.4% or $32.9 million year over year.</w:t>
      </w:r>
    </w:p>
    <w:p>
      <w:pPr>
        <w:spacing w:after="0" w:line="146"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F&amp;M Commercial Banking Division entered 2023 with a strong loan pipeline but demand has softened throughout F&amp;M’s footprint. Client results from 2022 and YTD performance were good; however, client concerns remain about availability of workforce, interruptions and delays in the supply chain and energy prices. Rising interest rates have slowed loan demand in some sectors. Credit quality of the portfolio remains good.</w:t>
      </w:r>
    </w:p>
    <w:p>
      <w:pPr>
        <w:spacing w:after="0" w:line="108"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F&amp;M Agricultural Banking Division also experienced double digit growth as comparing June 30, 2023 to June 30, 2022. Commodity prices have remained high and at profitable levels. The overall outlook for grain, livestock and agri-businesses is optimistic for 2023 as our agricultural base appears positioned to make positive financial strides. Land values have continued to remain strong. The agriculture portfolio remains healthy with a positive future outlook.</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F&amp;M has seen a slow-down in production in the 1-4 family consumer real estate portfolio. Refinances have slowed significantly with the increase in rates. For the six months ended June 30, 2023, the Bank originated $12.1 million 1-4 family loans for sale compared to $26.7 million for the prior comparable period. This impact correlates to the lower gain on sale of assets, nearly $686 thousand lower than last year as of the same time period year-to-date June 30th.</w:t>
      </w:r>
    </w:p>
    <w:p>
      <w:pPr>
        <w:spacing w:after="0" w:line="16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increased loan growth along with rate increases has positively impacted the interest earnings. Interest income was $10.6 million higher year over year. Funding of the loan growth has resulted in increased borrowings. Increased rates have driven both deposit rates and borrowing rates significantly higher. Net interest margin decreased 43 basis points in comparing the six months ended June 30, 2023, to June 30, 2022. The largest areas impacted by the increased rates is in the public fund offerings, higher net worth individuals and borrowing opportunities. The increases are beginning to show in the consumer deposits as the Bank offers special promotions to raise additional deposits to fund loan growth. The Company remains comfortable with its ability to raise funds as the Bank’s loan to deposit ratio is approximately 100.9%. Further discussion of the balance sheet composition movements and the impact on the earnings can be viewed in the Material Results of Operations section that follows.</w:t>
      </w:r>
    </w:p>
    <w:p>
      <w:pPr>
        <w:spacing w:after="0" w:line="151"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F&amp;M is halfway through the first year of its new three year strategic plan to be positioned to be a $4 - $5 billion dollar bank. As F&amp;M positions itself for moderate growth, there will be continued emphasis on the investment in back office staff. Core and loan software systems are also being reviewed as part of the strategic plan. Three new offices were opened in the second quarter and two more are anticipated in the third quarter. This planned growth will continue to contribute to increased noninterest expense in future periods.</w:t>
      </w:r>
    </w:p>
    <w:p>
      <w:pPr>
        <w:spacing w:after="0" w:line="131" w:lineRule="exact"/>
        <w:rPr>
          <w:sz w:val="20"/>
          <w:szCs w:val="20"/>
          <w:color w:val="auto"/>
        </w:rPr>
      </w:pPr>
    </w:p>
    <w:p>
      <w:pPr>
        <w:jc w:val="both"/>
        <w:ind w:left="760"/>
        <w:spacing w:after="0" w:line="287" w:lineRule="auto"/>
        <w:rPr>
          <w:sz w:val="20"/>
          <w:szCs w:val="20"/>
          <w:color w:val="auto"/>
        </w:rPr>
      </w:pPr>
      <w:r>
        <w:rPr>
          <w:rFonts w:ascii="Arial" w:cs="Arial" w:eastAsia="Arial" w:hAnsi="Arial"/>
          <w:sz w:val="16"/>
          <w:szCs w:val="16"/>
          <w:color w:val="auto"/>
        </w:rPr>
        <w:t>As mentioned previously in our comments regarding our commercial customers, F&amp;M too is experiencing pressure for staffing – both in the cost of recruiting new talent and in retaining existing. Salary expenses were $1.2 million higher in first half 2023 year over year as compared with 2022. Pension plan expense increased $354 thousand and payroll taxes increased $196 thousand as compared to the six months ended June 30,</w:t>
      </w:r>
    </w:p>
    <w:p>
      <w:pPr>
        <w:spacing w:after="0" w:line="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2022. As mentioned earlier, F&amp;M has continued to invest in its back office staffing as part of its strategic plan. The opening of three new offices in the second quarter of 2023 has also contributed to staffing costs. At June 30, 2023, the Bank had 460 full time equivalent employees compared to 431 at December 31, 2022 and 390 at June 30, 2022. The operating efficiency ratio has increased as part of our investment into our strategic vision.</w:t>
      </w:r>
    </w:p>
    <w:p>
      <w:pPr>
        <w:spacing w:after="0" w:line="16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Noninterest expense saw an increase in advertising expense of $807 thousand over the first half of 2022. This was due to the unveiling of our new branding and logo during the second quarter. FDIC assessments also increased during the six months ended June 30, 2023 as compared to the prior year.</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Overall, net income decreased 23.6% for the first half of 2023 as compared to the same time period 2022. Return on assets decreased to 0.81% as compared to 1.22% and return on equity decreased to 8.21% compared to 11.32% for the same time period. Year to date earnings per share are $0.92 compared to $1.25.</w:t>
      </w:r>
    </w:p>
    <w:p>
      <w:pPr>
        <w:spacing w:after="0" w:line="14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remains well capitalized as it operates in a volatile rate environment and the size and footprint of its operations continues to grow. We continue to work towards our long-term objectives while we report and recognize many of the one-time costs incurred along the way. Asset quality remains strong. Our historical prudent approach to lending remains the foundation of our operations. We continue to embrace the opportunities presented and remain diligent to accomplishing our mission.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NATURE OF ACTIVITIES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Farmers &amp; Merchants Bancorp, Inc. (the “Company”) is a financial holding company incorporated under the laws of Ohio in 1985. Our subsidiaries are The Farmers &amp; Merchants State Bank (the “Bank”), a local independent community bank that has been primarily serving Northwest Ohio and Northeast Indiana since 1897, and Farmers &amp; Merchants Risk Management, Inc., a captive insurance company formed in December 2014 and located in Nevada. We report our financial condition and net income on a consolidated basis and we have only one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thirty-five full-service banking offices throughout Northwest Ohio and Northeast Indiana and a drive-up facility in Archbold. These include a new office in downtown Toledo and in Oxford, Ohio which formerly was a successful LPO for the Bank. The Bank also operates three Loan Production Offices (LPOs), one each in Ohio, Indiana and Michigan.</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and Northeast Indiana,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mortgages into the secondary market with the aid of brokers. With the acquisition of Perpetual Federal Savings Bank in the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quarter of 2021 and the addition of Peoples Federal Savings in the 4th quarter of 2022, the Bank saw an increase in fixed rate, long-term mortgage loans to our portfolio from that banking service area.</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660" w:hanging="28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Maximum loan to value (LTV) for cars, SUVs, and trucks is 110% depending on whether direct or indirect.</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Loans above 100% are generally the result of sales tax.</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1st or 2nd mortgages on 1-4 family homes maximum range from 80-85%.</w:t>
      </w:r>
    </w:p>
    <w:p>
      <w:pPr>
        <w:spacing w:after="0" w:line="9" w:lineRule="exact"/>
        <w:rPr>
          <w:rFonts w:ascii="Arial" w:cs="Arial" w:eastAsia="Arial" w:hAnsi="Arial"/>
          <w:sz w:val="18"/>
          <w:szCs w:val="18"/>
          <w:color w:val="auto"/>
        </w:rPr>
      </w:pPr>
    </w:p>
    <w:p>
      <w:pPr>
        <w:ind w:left="660" w:hanging="28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0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1040" w:hanging="29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80% LTV less retainages and greater than 90 days.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040" w:hanging="29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Livestock and grain up to 80% LTV, crops (insured) up to 75% and Warehouse Receipts up to 87%.</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w:t>
      </w:r>
    </w:p>
    <w:p>
      <w:pPr>
        <w:spacing w:after="0" w:line="9" w:lineRule="exact"/>
        <w:rPr>
          <w:rFonts w:ascii="Arial" w:cs="Arial" w:eastAsia="Arial" w:hAnsi="Arial"/>
          <w:sz w:val="18"/>
          <w:szCs w:val="18"/>
          <w:color w:val="auto"/>
        </w:rPr>
      </w:pPr>
    </w:p>
    <w:p>
      <w:pPr>
        <w:ind w:left="1780" w:hanging="379"/>
        <w:spacing w:after="0"/>
        <w:tabs>
          <w:tab w:leader="none" w:pos="17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Maximum LTV of 50% on raw and finished goods.</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Floor plan:</w:t>
      </w:r>
    </w:p>
    <w:p>
      <w:pPr>
        <w:spacing w:after="0" w:line="9" w:lineRule="exact"/>
        <w:rPr>
          <w:rFonts w:ascii="Arial" w:cs="Arial" w:eastAsia="Arial" w:hAnsi="Arial"/>
          <w:sz w:val="18"/>
          <w:szCs w:val="18"/>
          <w:color w:val="auto"/>
        </w:rPr>
      </w:pPr>
    </w:p>
    <w:p>
      <w:pPr>
        <w:ind w:left="1780" w:hanging="379"/>
        <w:spacing w:after="0"/>
        <w:tabs>
          <w:tab w:leader="none" w:pos="17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9" w:lineRule="exact"/>
        <w:rPr>
          <w:rFonts w:ascii="Arial" w:cs="Arial" w:eastAsia="Arial" w:hAnsi="Arial"/>
          <w:sz w:val="18"/>
          <w:szCs w:val="18"/>
          <w:color w:val="auto"/>
        </w:rPr>
      </w:pPr>
    </w:p>
    <w:p>
      <w:pPr>
        <w:ind w:left="1780" w:hanging="379"/>
        <w:spacing w:after="0"/>
        <w:tabs>
          <w:tab w:leader="none" w:pos="17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020" w:hanging="27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not to exceed (NTE) 80% of invoice, used NTE 50% of listed book or 75% of appraised value.</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Heavy trucks, titled trailers NTE 75% LTV and aircraft up to 75% of appraised value.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Real Estate:</w:t>
      </w:r>
    </w:p>
    <w:p>
      <w:pPr>
        <w:spacing w:after="0" w:line="23" w:lineRule="exact"/>
        <w:rPr>
          <w:sz w:val="20"/>
          <w:szCs w:val="20"/>
          <w:color w:val="auto"/>
        </w:rPr>
      </w:pPr>
    </w:p>
    <w:p>
      <w:pPr>
        <w:ind w:left="1020" w:hanging="27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020" w:hanging="27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Maximum LTV on non-traditional loan up to 85%.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Bank’s primary market includes communities located in the Ohio counties of Champaign, Defiance, Fulton, Hancock, Henry, Lucas, Shelby,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June 30, 2023, we had 460 full time equivalent employees. The employees are not represented by a collective bargaining unit. We provide our employees with a comprehensive benefit program, some of which is contributory. We consider our employee relations to be good.</w:t>
      </w: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RECENT REGULATORY DEVELOPMENTS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CARES Act. The CARES Act, among other matters, resulted in expansion of SBA Lending Programs; provided for a financial election to suspend GAAP principles and regulatory determinations for COVID-19 related loan modifications that would otherwise be deemed Troubled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the PPP was reauthorized with passage of the Economic Aid to Hard-Hit Small Businesses, Nonprofits, and Venues Act. It was originally intended to run through March 31, 2021 and was subsequently extended to May 31, 2021. Under the new legislation, $284 billion in funding for first and second-time PPP loan borrowers was provided to the SBA. Three categories of businesses were eligible to apply for PPP: 1) 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applied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was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7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56" w:name="page57"/>
    <w:bookmarkEnd w:id="56"/>
    <w:p>
      <w:pPr>
        <w:spacing w:after="0" w:line="308" w:lineRule="auto"/>
        <w:rPr>
          <w:sz w:val="20"/>
          <w:szCs w:val="20"/>
          <w:color w:val="auto"/>
        </w:rPr>
      </w:pPr>
      <w:r>
        <w:rPr>
          <w:rFonts w:ascii="Arial" w:cs="Arial" w:eastAsia="Arial" w:hAnsi="Arial"/>
          <w:sz w:val="17"/>
          <w:szCs w:val="17"/>
          <w:color w:val="auto"/>
        </w:rPr>
        <w:t>The Coronavirus Response and Relief Supplemental Appropriations Act, passed by Congress in December 2020, extended certain provisions of the CARES Act and affected the Company into 2021. Key banking provisions under this legislation include the following:</w:t>
      </w:r>
    </w:p>
    <w:p>
      <w:pPr>
        <w:spacing w:after="0" w:line="119" w:lineRule="exact"/>
        <w:rPr>
          <w:sz w:val="20"/>
          <w:szCs w:val="20"/>
          <w:color w:val="auto"/>
        </w:rPr>
      </w:pPr>
    </w:p>
    <w:p>
      <w:pPr>
        <w:ind w:left="740" w:hanging="369"/>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Provided an additional $284.6 billion in Paycheck Protection Program (PPP) funding for loans to small businesses, including for borrowers who have previously received a PPP loan.</w:t>
      </w:r>
    </w:p>
    <w:p>
      <w:pPr>
        <w:spacing w:after="0" w:line="129" w:lineRule="exact"/>
        <w:rPr>
          <w:rFonts w:ascii="Arial" w:cs="Arial" w:eastAsia="Arial" w:hAnsi="Arial"/>
          <w:sz w:val="18"/>
          <w:szCs w:val="18"/>
          <w:color w:val="auto"/>
        </w:rPr>
      </w:pPr>
    </w:p>
    <w:p>
      <w:pPr>
        <w:ind w:left="740" w:hanging="36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one-page simplified forgiveness process for PPP loans under $150,000.</w:t>
      </w:r>
    </w:p>
    <w:p>
      <w:pPr>
        <w:spacing w:after="0" w:line="184"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Clarification to various CARES Act provisions, the tax treatment of PPP expenses, lender responsibilities for agent fees, and lender “hold harmless” protections under the PPP and other laws.</w:t>
      </w:r>
    </w:p>
    <w:p>
      <w:pPr>
        <w:spacing w:after="0" w:line="143" w:lineRule="exact"/>
        <w:rPr>
          <w:rFonts w:ascii="Arial" w:cs="Arial" w:eastAsia="Arial" w:hAnsi="Arial"/>
          <w:sz w:val="18"/>
          <w:szCs w:val="18"/>
          <w:color w:val="auto"/>
        </w:rPr>
      </w:pPr>
    </w:p>
    <w:p>
      <w:pPr>
        <w:jc w:val="both"/>
        <w:ind w:left="740" w:hanging="369"/>
        <w:spacing w:after="0" w:line="26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spacing w:after="0" w:line="143"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further optional delay in Current Expected Credit Loss (CECL) accounting until January 1, 2022 which was further delayed until January 1, 2023.</w:t>
      </w:r>
    </w:p>
    <w:p>
      <w:pPr>
        <w:spacing w:after="0" w:line="129"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round of Economic Impact Payments (EIPs) for consumers, with aggressive distribution timelines and new exemptions from garnishments.</w:t>
      </w:r>
    </w:p>
    <w:p>
      <w:pPr>
        <w:spacing w:after="0" w:line="143" w:lineRule="exact"/>
        <w:rPr>
          <w:rFonts w:ascii="Arial" w:cs="Arial" w:eastAsia="Arial" w:hAnsi="Arial"/>
          <w:sz w:val="18"/>
          <w:szCs w:val="18"/>
          <w:color w:val="auto"/>
        </w:rPr>
      </w:pPr>
    </w:p>
    <w:p>
      <w:pPr>
        <w:ind w:left="740" w:hanging="369"/>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added support for Community Development Financial Institutions (CDFIs) and Minority Depository Institutions (MDIs).</w:t>
      </w:r>
    </w:p>
    <w:p>
      <w:pPr>
        <w:spacing w:after="0" w:line="196" w:lineRule="exact"/>
        <w:rPr>
          <w:rFonts w:ascii="Arial" w:cs="Arial" w:eastAsia="Arial" w:hAnsi="Arial"/>
          <w:sz w:val="17"/>
          <w:szCs w:val="17"/>
          <w:color w:val="auto"/>
        </w:rPr>
      </w:pPr>
    </w:p>
    <w:p>
      <w:pPr>
        <w:ind w:left="740" w:hanging="36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for agricultural support programs and for renter assistance programs.</w:t>
      </w:r>
    </w:p>
    <w:p>
      <w:pPr>
        <w:spacing w:after="0" w:line="184" w:lineRule="exact"/>
        <w:rPr>
          <w:rFonts w:ascii="Arial" w:cs="Arial" w:eastAsia="Arial" w:hAnsi="Arial"/>
          <w:sz w:val="18"/>
          <w:szCs w:val="18"/>
          <w:color w:val="auto"/>
        </w:rPr>
      </w:pPr>
    </w:p>
    <w:p>
      <w:pPr>
        <w:ind w:left="740" w:hanging="369"/>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of existing Federal Reserve emergency lending authority under the CARES Act, while preserving the Fed’s general 13(3) emergency authority existing prior to that Act.</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The Company now complies with the revised price-based new General QM Loan definition and its requirements. Since the Company sells fixed rate consumer mortgage loans to the Federal Home Loan Mortgage Corporation, it must remain attentive to their current loan underwriting requirements.</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30, 2023, the CFPB issued final rules which amend Regulation B to implement changes to the Equal Credit Opportunity Act (ECOA) as made by Section 1071 of the Dodd-Frank Act. Covered financial institutions are required to collect and report data on covered credit applications involving small businesses, including those businesses owned by women or minorities. Small businesses are defined as those businesses (including agricultural businesses) which had gross annual revenue of $5 million of less during its most recent fiscal year. Data will be reported to the CFPB which will then make aggregated information publicly available. These new final rules have a phased implementation period with the largest lenders being required to collect and report data first.</w:t>
      </w:r>
    </w:p>
    <w:p>
      <w:pPr>
        <w:spacing w:after="0" w:line="3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Lenders that originated at least 2,500 small business loans annually must begin data collection on October 1, 2024. Lenders that originated at least 500 small business loans annually will be required to begin data collection as of April 1, 2025. For those Lenders that originated at least 100 small business loans annually, data collection will be required to begin as of January 1, 2026. The Bank conducted a preliminary assessment based on the number of covered loans originated in 2022. Based on the preliminary assessment, the Bank would be subject to the data collection requirements as of April 1, 2025. Data collection and reporting of small business loans does not include nonprofit or government entities or businesses with gross annual revenues that exceed $5 million. Additionally, data collection involves demographic information collected from a loan applicant regarding that applicant’s status as a minority-owned business, a women-owned business, and an LGBTQI+-owned business, as well as the applicant’s principal owners’ ethnicity, race, and sex. Applicants can refuse to provide demographic information.</w:t>
      </w:r>
    </w:p>
    <w:p>
      <w:pPr>
        <w:spacing w:after="0" w:line="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Implementation of these final rules will involve significant changes to processes and procedures in conjunction with new software configurations to accommodate and capture required data points regarding applications and final action taken.</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2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ACL, the valuation of its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Agricultural Real Estate Servicing Rights are included in Servicing Rights. The Company has contracted with a third party to assist in the calculation of the valuation of the Agricultural Real Estate Servicing Rights.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7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June 30, 2023, December 31, 2022, and June 30, 2022 there were no OREO property holdings.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$9.7 million at June 30, 2023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represents management’s estimate of probable credit losses inherent in the Bank’s loan portfolio, unfunded loan commitments, and letters of credit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our methodology to groupings based on similar risk characteristics.</w:t>
      </w:r>
    </w:p>
    <w:p>
      <w:pPr>
        <w:spacing w:after="0" w:line="2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loan portfolio was grouped based on loans with similar risk characteristics. The following groupings are utilized in the CECL calculation:</w:t>
      </w:r>
    </w:p>
    <w:p>
      <w:pPr>
        <w:sectPr>
          <w:pgSz w:w="11900" w:h="16838" w:orient="portrait"/>
          <w:cols w:equalWidth="0" w:num="1">
            <w:col w:w="10480"/>
          </w:cols>
          <w:pgMar w:left="1080" w:top="517"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Multifamily</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Single Family HELOC</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Construction &amp; Land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Commercial Real Estate</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Consumer</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Single Family Sr Lien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Single Family Jr Lien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Commercial &amp; Industrial</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Agriculture</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Commercial Real Estate: Construction &amp; Land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Paycheck Protection Program - 100%: C&amp;I</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Commercial Real Estate</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Single Family Sr Lien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Single Family Jr Lien</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Farmland</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Consumer</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Multifamily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Farmland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Acquired: Commercial &amp; Industrial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Impaired: Construction &amp; 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Impaired: Consumer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Impaired: Commercial Real Estate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Impaired: Single Family Sr Lien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Impaired: Single Family Jr Lien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Impaired: Commercial &amp; Industrial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Acquired: Agriculture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Acquired: Single Family HELOC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Acquired: Construction &amp; 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Impaired: Farmland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Impaired: Single Family HELOC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Impaired: Agriculture</w:t>
      </w:r>
    </w:p>
    <w:p>
      <w:pPr>
        <w:spacing w:after="0" w:line="927" w:lineRule="exact"/>
        <w:rPr>
          <w:sz w:val="20"/>
          <w:szCs w:val="20"/>
          <w:color w:val="auto"/>
        </w:rPr>
      </w:pPr>
    </w:p>
    <w:p>
      <w:pPr>
        <w:sectPr>
          <w:pgSz w:w="11900" w:h="16838" w:orient="portrait"/>
          <w:cols w:equalWidth="0" w:num="2">
            <w:col w:w="4160" w:space="720"/>
            <w:col w:w="5600"/>
          </w:cols>
          <w:pgMar w:left="1080" w:top="517" w:right="339" w:bottom="1440" w:gutter="0" w:footer="0" w:header="0"/>
          <w:type w:val="continuous"/>
        </w:sectPr>
      </w:pPr>
    </w:p>
    <w:p>
      <w:pPr>
        <w:spacing w:after="0"/>
        <w:rPr>
          <w:sz w:val="20"/>
          <w:szCs w:val="20"/>
          <w:color w:val="auto"/>
        </w:rPr>
      </w:pPr>
      <w:r>
        <w:rPr>
          <w:rFonts w:ascii="Arial" w:cs="Arial" w:eastAsia="Arial" w:hAnsi="Arial"/>
          <w:sz w:val="18"/>
          <w:szCs w:val="18"/>
          <w:color w:val="auto"/>
        </w:rPr>
        <w:t>All groups use the average charge-off method for calculating the ACL.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Groups using the average charge-off method utilize a 20-year lookback historical loss period. This includes several economic cycles and is more appropriate for real estate secured assets. Due to the Company's loss history not being sufficient and relevant enough to predict future losses, the Company is utilizing peer data from a peer group of 327 banks in the region with asset sizes less than $5 billion. The Company will compare our loan loss reserves against peer to determine if we are in line with the group. The Company's loan portfolio has changed significantly as loan growth has occurred. Thus, we don't deem the Company's historical portfolio to be quite as indicative of the future portfolio and, subsequently, loss exposure.</w:t>
      </w:r>
    </w:p>
    <w:p>
      <w:pPr>
        <w:spacing w:after="0" w:line="1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reserves are calculated at the loan level and based on the note characteristics, essentially balances times loss rate + Q-factors + forward look, with the forward looking forecast eliminated after 12 months. As a percentage, the reserves are the highest against construction and land loans due to the life of loan being down and several larger loans being converted to permanent financing and therefore coming out of the construction bucket during 2023 thus affecting the reserves. The second largest reserve pool is the CRE construction and land loan, as these are loans that will convert to normal CRE loans after construction with permanent financing already in place, typically based on some leases signed before construction starts to reduce the risk profile of the loan. CRE loans are naturally reserved higher than multifamily loans given the stability in the multifamily sector. Ag loans have a low overall reserve, but they also have the lowest loss rates. Commercial and industrial loans have a lower reserve than CRE considering the average life of loan is much less (i.e., shorter amortization and lines of credit). The other loan groups did not have material changes during the quarter. We expect the Construction groups to have the most variability in the reserve, though having those higher reserves is important during this environment of construction delays and overruns.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provide a consistent and supportable forward looking forecast from period-to-period, management is performing a regression analysis of the (Bank's/State's) historical loss rates against the following Federal Open Market Committee (FOMC) quarterly economic projections for Change in real GDP and National Unemployment. Annual projections are broken down using a straight-line approach for quarterly changes. Accounting guidance indicates the forecast period should be reasonable and supportable. Management believes that a forecast period of 12 months is reasonable as one year corresponds to the expected change in Fed policy given the current spreads between 1- and 10-year T-bills, the Company has annual line of credit maturities on many credits which gives the Company the ability to reassess risk, and the economic forecast in general is usually only feasible out to one year.</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that do not share risk characteristics are evaluated on an individual basis. Loans evaluated individually are not also included in the collective evaluation. When management determines that foreclosure is probable expected credit losses are based on the fair value of the collateral at the reporting date, adjusted for selling costs as appropriate.</w:t>
      </w:r>
    </w:p>
    <w:p>
      <w:pPr>
        <w:spacing w:after="0" w:line="2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type w:val="continuous"/>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 For more information regarding the estimates and calculations used to establish the ACL please see Note 4 to the consolidated financial statements provided herewith.</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categories of off-balance sheet exposures are the same as the categories for the ACL presented prior. The construction funding assumptions for the first six months were based on a sample of loans in the portfolio and their weighted average draw percentages. The remaining amounts are assumed to be drawn during the second six months. For all term loan groupings that are solely term loans, (e.g., CRE, Single Family, Farmland and Consumer), we have assumed 100% utilization after one year. For HELOC, we forecast utilization will return to 2019's level of 46% (pre-pandemic), which would result in a 9% increase - we have straight-lined that over the next year. For Agriculture loans, we assume year end 2022's line of credit usage will increase to 2019's level as well given the runoff of PPP, impact of inflation on input costs, which means Ag line utilization will increase. For C&amp;I loans, we assume year end 2022's line of credit usage will increase to 2018's level given the runoff of PPP, impact of inflation on input costs, and slower inventory turns, which mean C&amp;I loans (including term debt) will increase. As the Company adjusted funding assumptions, it did not have material effects on the calculation. We have utilized internal data to make these assumptions, which we believe is representative of our portfolio.</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also required to estimate the value of its servicing rights. These rights are composed of servicing rights for single-family mortgage loans and agricultural real estate loans. The Bank’s servicing rights relating to fixed rate single-family mortgage loans and agricultural real estate loans that it has sold without recourse but services for others for a fee represent an asset on the Bank’s balance sheet. The valuations are completed by independent third parties.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second quarter of 2023, the Company engaged an independent third party with expertise in the valuation of agricultural real estate servicing rights. The independent third party’s valuation of the agricultural real estate servicing rights is based on relevant characteristics of the Company’s agricultural real estate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mortgage servicing income. Changes are reflected in the current quarter’s analysis related to the mortgage servicing asset.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process is similar to the process for valuing single family mortgage servicing rights, the ag servicing valuation utilizes different strata, prepayment speeds and other assumptions in order to account for the differences in behavior between ag loans and single 1-4 family mortgages. USDA rate indications, SBA market indications and Farmer Mac 3-month Cost of Funds Index adjustments are utilized in the quarterly valuation process.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this refined analysis, representing a change in accounting estimate, management recognized an additional $712 thousand of agricultural loan servicing rights during the quarter ended June 30, 2023. This change in estimate took place during the quarter ended June 30, 2023, and had no effect on past periods. Management intends to obtain the appraisal of the agricultural real estate loan servicing rights from the independent third party specialist on a quarterly basis.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servicing assets. Increases in mortgage loan prepayments reduce estimated future net servicing cash flows because the life of the underlying loan is reduced.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Bank’s servicing rights relating to loans serviced for others represent an asset. This asset is initially capitalized and included on the Company's Condensed Consolidated Balance Sheets. The servicing rights are then amortized as noninterest expense in proportion to, and over the period of the estimated future net servicing income of the underlying servicing rights. There are a number of factors, however, that can affect the ultimate value of the servicing rights to the Bank. The expected and actual rates of ag loans and single 1-4 family loan prepayments are the most significant factors driving the potential for the impairment of</w:t>
      </w:r>
    </w:p>
    <w:p>
      <w:pPr>
        <w:spacing w:after="0" w:line="8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2" w:name="page63"/>
    <w:bookmarkEnd w:id="62"/>
    <w:p>
      <w:pPr>
        <w:jc w:val="both"/>
        <w:spacing w:after="0" w:line="342" w:lineRule="auto"/>
        <w:rPr>
          <w:sz w:val="20"/>
          <w:szCs w:val="20"/>
          <w:color w:val="auto"/>
        </w:rPr>
      </w:pPr>
      <w:r>
        <w:rPr>
          <w:rFonts w:ascii="Arial" w:cs="Arial" w:eastAsia="Arial" w:hAnsi="Arial"/>
          <w:sz w:val="16"/>
          <w:szCs w:val="16"/>
          <w:color w:val="auto"/>
        </w:rPr>
        <w:t>the value of servicing assets. Increases in loan prepayments reduce estimated future net servicing cash flows because the life of the underlying loan is reduced, meaning that the present value of the servicing rights is less than the carrying value of those rights on the Bank's balance sheet.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in an attempt to reflect an accurate expected value to the Bank of the servicing rights, the Bank receives a valuation of its servicing rights from an independent third party. The independent third party's valuation of the servicing rights is based on relevant characteristics of the Bank's loan servicing portfolio, such as loan terms, interest rates and recent national prepayment experience, as well as current national market interest rate levels, market forecasts and other economic conditions.</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purposes of determining impairment, the mortgage servicing assets are stratified into like groups based on loan type, term, new versus seasoned and interest rate. Management, with the advice from its third-party valuation firm, reviews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servicing rights, management then establishes a valuation allowance by each stratum, if necessary, to quantify the likely impairment of the value of the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servicing rights based on market conditions.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2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63" w:name="page64"/>
    <w:bookmarkEnd w:id="63"/>
    <w:p>
      <w:pPr>
        <w:ind w:left="76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202"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The Company has begun to experience a slowdown in its growth mode. It is partly due to a natural decrease in borrowers loan demand as higher interest rates have made projected capital outlays too costly. The Bank has also experienced a more challenging environment in which to raise lower cost core deposits. Therefore, the Bank has maintained an emphasis on servicing existing clients and focus on prudent growth within our newer markets. The Bank is focused on funding the loan growth with the least expensive source of deposits or borrowings. While securities are generally considered as a source of cash, in the current environment, it is unlikely that they would be sold for such funding needs. Growing deposits will be a focus especially in our newer markets. The Bank offers the Insured Cash Sweep (“ICS”) product accessed through the IntraFi network of financial institutions which helps to reduce the amount of pledged securities. This has provided more availability for runoff of securities by the Bank if warranted to fund loan growth.</w:t>
      </w:r>
    </w:p>
    <w:p>
      <w:pPr>
        <w:spacing w:after="0" w:line="138"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As the competition for deposits has increased, the Company has increased emphasis on its liquidity position. The frequency of management liquidity meetings has increased to weekly in order to be more responsive to opportunities and threats as they arise. As a result of this increased emphasis on its liquidity position, additional real estate backed collateral has been pledged to the FHLB in order to increase borrowing capacity. The additional collateral of $165.2 million as of June 30, 2023 is tied to specific commercial real estate loans. Additional capacity has also been created through enrollment and pledging $64.5 million of securities, having a par value of $74.1 million, to the Federal Reserve's Bank Term Funding Program (BTFP). The BTFP collateral values are based on the par value of the securities rather than the fair values most other lenders utilize. Currently, par values are higher than fair value which results in a higher available balance for borrowings. As of June 30, 2023, the Company had not utilized any funding from the BTFP.</w:t>
      </w:r>
    </w:p>
    <w:p>
      <w:pPr>
        <w:spacing w:after="0" w:line="138"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Liquidity in terms of cash and cash equivalents ended $13.2 million lower as of June 30, 2023 than it was at December 31, 2022. Cash and cash equivalents increased $6.9 million over March 31, 2023. Prior year’s excess liquidity along with an increase of Federal Home Loan Bank advances of $139.3 million helped to fund the $154.8 million increase in net loans since year end 2022. All loan portfolios with the exception of the Agricultural portfolio, Consumer Portfolio and Other portfolio increased compared to December 31, 2022 with the largest increase in the commercial real estate portfolio.</w:t>
      </w:r>
    </w:p>
    <w:p>
      <w:pPr>
        <w:spacing w:after="0" w:line="161"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In comparing to the same prior year period, the June 30, 2023 (net of deferred fees and cost) loan balances of $2.5 billion accounted for $481.0 million or 23.6% increase when compared to 2022’s $2.0 billion. The year over year improvement was made up of a combined increase in commercial and industrial related loans of 26.5%, 18.5% of which was attributed to organic growth. Individual growth was comprised of 30.8% in commercial real estate loans and 8.7% in non-real estate commercial loans. Consumer real estate loans increased by 23.5% and consumer loans by 60.2%. Agricultural related loans increased 9.8% year over year. Individual growth was comprised of 15.5% in agricultural real estate and an increase of 1.0% in non-real estate agricultural loans. Other loans decreased by 7.2%. The Company credits the growth to the strong team of lenders focused on providing customers valuable localized services and thereby increasing our market share. The acquisition of Peoples Federal Savings and Loan Association in 2022 brought $101.8 million of loans to the portfolio. See Note 2 to the consolidated financial statements.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chart below shows the breakdown of the loan portfolio category as of June 30, for the last three years, net of deferred fees and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89"/>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89"/>
              </w:rPr>
              <w:t>June 30,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6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506,842</w:t>
            </w:r>
          </w:p>
        </w:tc>
        <w:tc>
          <w:tcPr>
            <w:tcW w:w="100" w:type="dxa"/>
            <w:vAlign w:val="bottom"/>
            <w:shd w:val="clear" w:color="auto" w:fill="CFF0FC"/>
          </w:tcPr>
          <w:p>
            <w:pPr>
              <w:spacing w:after="0"/>
              <w:rPr>
                <w:sz w:val="21"/>
                <w:szCs w:val="21"/>
                <w:color w:val="auto"/>
              </w:rPr>
            </w:pPr>
          </w:p>
        </w:tc>
        <w:tc>
          <w:tcPr>
            <w:tcW w:w="2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410,468</w:t>
            </w:r>
          </w:p>
        </w:tc>
        <w:tc>
          <w:tcPr>
            <w:tcW w:w="100" w:type="dxa"/>
            <w:vAlign w:val="bottom"/>
            <w:shd w:val="clear" w:color="auto" w:fill="CFF0FC"/>
          </w:tcPr>
          <w:p>
            <w:pPr>
              <w:spacing w:after="0"/>
              <w:rPr>
                <w:sz w:val="21"/>
                <w:szCs w:val="21"/>
                <w:color w:val="auto"/>
              </w:rPr>
            </w:pPr>
          </w:p>
        </w:tc>
        <w:tc>
          <w:tcPr>
            <w:tcW w:w="2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194,574</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230,531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189,426</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128,593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100,905</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1,278,445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977,588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689,728</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253,248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232,881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213,707</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Consumer</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56,534</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31,243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3"/>
        </w:trPr>
        <w:tc>
          <w:tcPr>
            <w:tcW w:w="1700" w:type="dxa"/>
            <w:vAlign w:val="bottom"/>
          </w:tcPr>
          <w:p>
            <w:pPr>
              <w:spacing w:after="0"/>
              <w:rPr>
                <w:sz w:val="24"/>
                <w:szCs w:val="24"/>
                <w:color w:val="auto"/>
              </w:rPr>
            </w:pPr>
          </w:p>
        </w:tc>
        <w:tc>
          <w:tcPr>
            <w:tcW w:w="354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7"/>
              </w:rPr>
              <w:t>Total Loans, net of deferred fees and costs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2,515,793</w:t>
            </w: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2,034,818</w:t>
            </w:r>
          </w:p>
        </w:tc>
        <w:tc>
          <w:tcPr>
            <w:tcW w:w="10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1,458,423</w:t>
            </w:r>
          </w:p>
        </w:tc>
        <w:tc>
          <w:tcPr>
            <w:tcW w:w="10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0"/>
        </w:trPr>
        <w:tc>
          <w:tcPr>
            <w:tcW w:w="1700" w:type="dxa"/>
            <w:vAlign w:val="bottom"/>
          </w:tcPr>
          <w:p>
            <w:pPr>
              <w:spacing w:after="0"/>
              <w:rPr>
                <w:sz w:val="24"/>
                <w:szCs w:val="24"/>
                <w:color w:val="auto"/>
              </w:rPr>
            </w:pPr>
          </w:p>
        </w:tc>
        <w:tc>
          <w:tcPr>
            <w:tcW w:w="354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jc w:val="right"/>
              <w:ind w:right="110"/>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-770890</wp:posOffset>
            </wp:positionV>
            <wp:extent cx="60325" cy="1631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-770890</wp:posOffset>
            </wp:positionV>
            <wp:extent cx="60325" cy="16319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-770890</wp:posOffset>
            </wp:positionV>
            <wp:extent cx="59690" cy="1631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-453390</wp:posOffset>
            </wp:positionV>
            <wp:extent cx="6032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-436880</wp:posOffset>
            </wp:positionV>
            <wp:extent cx="6032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-453390</wp:posOffset>
            </wp:positionV>
            <wp:extent cx="603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-436880</wp:posOffset>
            </wp:positionV>
            <wp:extent cx="603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596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-436880</wp:posOffset>
            </wp:positionV>
            <wp:extent cx="596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ind w:left="180"/>
        <w:spacing w:after="0"/>
        <w:rPr>
          <w:sz w:val="20"/>
          <w:szCs w:val="20"/>
          <w:color w:val="auto"/>
        </w:rPr>
      </w:pPr>
      <w:r>
        <w:rPr>
          <w:rFonts w:ascii="Arial" w:cs="Arial" w:eastAsia="Arial" w:hAnsi="Arial"/>
          <w:sz w:val="18"/>
          <w:szCs w:val="18"/>
          <w:color w:val="auto"/>
        </w:rPr>
        <w:t>The following is a contractual maturity schedule by major category of loans excluding fair value adjustments as of June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3"/>
              </w:rPr>
              <w:t>After One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6"/>
              </w:rPr>
              <w:t>After Five</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2"/>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Within</w:t>
            </w:r>
          </w:p>
        </w:tc>
        <w:tc>
          <w:tcPr>
            <w:tcW w:w="120" w:type="dxa"/>
            <w:vAlign w:val="bottom"/>
          </w:tcPr>
          <w:p>
            <w:pPr>
              <w:spacing w:after="0"/>
              <w:rPr>
                <w:sz w:val="21"/>
                <w:szCs w:val="21"/>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Year Within</w:t>
            </w:r>
          </w:p>
        </w:tc>
        <w:tc>
          <w:tcPr>
            <w:tcW w:w="120" w:type="dxa"/>
            <w:vAlign w:val="bottom"/>
          </w:tcPr>
          <w:p>
            <w:pPr>
              <w:spacing w:after="0"/>
              <w:rPr>
                <w:sz w:val="21"/>
                <w:szCs w:val="21"/>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Years Within</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After</w:t>
            </w:r>
          </w:p>
        </w:tc>
        <w:tc>
          <w:tcPr>
            <w:tcW w:w="120" w:type="dxa"/>
            <w:vAlign w:val="bottom"/>
          </w:tcPr>
          <w:p>
            <w:pPr>
              <w:spacing w:after="0"/>
              <w:rPr>
                <w:sz w:val="21"/>
                <w:szCs w:val="21"/>
                <w:color w:val="auto"/>
              </w:rPr>
            </w:pPr>
          </w:p>
        </w:tc>
      </w:tr>
      <w:tr>
        <w:trPr>
          <w:trHeight w:val="250"/>
        </w:trPr>
        <w:tc>
          <w:tcPr>
            <w:tcW w:w="5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One Year</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Five Years</w:t>
            </w:r>
          </w:p>
        </w:tc>
        <w:tc>
          <w:tcPr>
            <w:tcW w:w="120" w:type="dxa"/>
            <w:vAlign w:val="bottom"/>
          </w:tcPr>
          <w:p>
            <w:pPr>
              <w:spacing w:after="0"/>
              <w:rPr>
                <w:sz w:val="21"/>
                <w:szCs w:val="21"/>
                <w:color w:val="auto"/>
              </w:rPr>
            </w:pPr>
          </w:p>
        </w:tc>
        <w:tc>
          <w:tcPr>
            <w:tcW w:w="11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7"/>
              </w:rPr>
              <w:t>Fifteen Years</w:t>
            </w:r>
          </w:p>
        </w:tc>
        <w:tc>
          <w:tcPr>
            <w:tcW w:w="12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Fifteen Years</w:t>
            </w:r>
          </w:p>
        </w:tc>
        <w:tc>
          <w:tcPr>
            <w:tcW w:w="120" w:type="dxa"/>
            <w:vAlign w:val="bottom"/>
          </w:tcPr>
          <w:p>
            <w:pPr>
              <w:spacing w:after="0"/>
              <w:rPr>
                <w:sz w:val="21"/>
                <w:szCs w:val="21"/>
                <w:color w:val="auto"/>
              </w:rPr>
            </w:pPr>
          </w:p>
        </w:tc>
      </w:tr>
      <w:tr>
        <w:trPr>
          <w:trHeight w:val="24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150,558</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315,924</w:t>
            </w:r>
          </w:p>
        </w:tc>
        <w:tc>
          <w:tcPr>
            <w:tcW w:w="120" w:type="dxa"/>
            <w:vAlign w:val="bottom"/>
            <w:shd w:val="clear" w:color="auto" w:fill="CFF0F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159,584</w:t>
            </w:r>
          </w:p>
        </w:tc>
        <w:tc>
          <w:tcPr>
            <w:tcW w:w="120" w:type="dxa"/>
            <w:vAlign w:val="bottom"/>
          </w:tcPr>
          <w:p>
            <w:pPr>
              <w:spacing w:after="0"/>
              <w:rPr>
                <w:sz w:val="20"/>
                <w:szCs w:val="20"/>
                <w:color w:val="auto"/>
              </w:rPr>
            </w:pPr>
          </w:p>
        </w:tc>
      </w:tr>
      <w:tr>
        <w:trPr>
          <w:trHeight w:val="24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22,615</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120" w:type="dxa"/>
            <w:vAlign w:val="bottom"/>
            <w:shd w:val="clear" w:color="auto" w:fill="CFF0F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411,987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603,288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231,602</w:t>
            </w:r>
          </w:p>
        </w:tc>
        <w:tc>
          <w:tcPr>
            <w:tcW w:w="120" w:type="dxa"/>
            <w:vAlign w:val="bottom"/>
          </w:tcPr>
          <w:p>
            <w:pPr>
              <w:spacing w:after="0"/>
              <w:rPr>
                <w:sz w:val="20"/>
                <w:szCs w:val="20"/>
                <w:color w:val="auto"/>
              </w:rPr>
            </w:pPr>
          </w:p>
        </w:tc>
      </w:tr>
      <w:tr>
        <w:trPr>
          <w:trHeight w:val="24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85,552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108,645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58,965</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21"/>
                <w:szCs w:val="21"/>
                <w:color w:val="auto"/>
              </w:rPr>
            </w:pPr>
          </w:p>
        </w:tc>
      </w:tr>
      <w:tr>
        <w:trPr>
          <w:trHeight w:val="237"/>
        </w:trPr>
        <w:tc>
          <w:tcPr>
            <w:tcW w:w="50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r>
      <w:tr>
        <w:trPr>
          <w:trHeight w:val="24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9,696</w:t>
            </w:r>
          </w:p>
        </w:tc>
        <w:tc>
          <w:tcPr>
            <w:tcW w:w="12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from the security portfolio, increased deposits and additional borrowings. For short term needs, the Bank has $113 million and $73 million of unsecured borrowing capacity through its correspondent banks as of June 30, 2023 and December 31, 2022 respectively. The Bank also had access to $150.1 million through a Cash Management Advance with the Federal Home Loan Bank as of June 30, 2023 and December 31, 2022. Additionally, the BTFP had a borrowing capacity of $74.1 million at June 30, 2023.</w:t>
      </w:r>
    </w:p>
    <w:p>
      <w:pPr>
        <w:spacing w:after="0" w:line="188"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While the security portfolio has been utilized to fund loan growth in previous periods, additional sources have been cultivated during 2021, 2022, and 2023. The security portfolio decreased $27.6 million in the first six months of 2023 from year end 2022 due to the sale of $21.6 million of securities which was partially offset by a $2.9 million decrease in unrealized losses. The security portfolio decreased $36.5 million from June 2022 due to an increase of gross unrealized losses of $5.9 million and the aforementioned sale. The amount of pledged investment securities increased by $107.7 million as compared to year end and $112.4 million as compared to June 30, 2022. As of June 30, 2023, pledged investment securities totaled $242.5 million.</w:t>
      </w:r>
    </w:p>
    <w:p>
      <w:pPr>
        <w:spacing w:after="0" w:line="152" w:lineRule="exact"/>
        <w:rPr>
          <w:sz w:val="20"/>
          <w:szCs w:val="20"/>
          <w:color w:val="auto"/>
        </w:rPr>
      </w:pPr>
    </w:p>
    <w:p>
      <w:pPr>
        <w:jc w:val="both"/>
        <w:ind w:left="180"/>
        <w:spacing w:after="0" w:line="308" w:lineRule="auto"/>
        <w:rPr>
          <w:sz w:val="20"/>
          <w:szCs w:val="20"/>
          <w:color w:val="auto"/>
        </w:rPr>
      </w:pPr>
      <w:r>
        <w:rPr>
          <w:rFonts w:ascii="Arial" w:cs="Arial" w:eastAsia="Arial" w:hAnsi="Arial"/>
          <w:sz w:val="17"/>
          <w:szCs w:val="17"/>
          <w:color w:val="auto"/>
        </w:rPr>
        <w:t>An additional $1.6 million is also available to the Bank from the Federal Home Loan Bank based on current amounts of pledged collateral. At the present time, only 1-4 family, home equity, limited commercial real estate portfolios and some securities are pledged.</w:t>
      </w:r>
    </w:p>
    <w:p>
      <w:pPr>
        <w:spacing w:after="0" w:line="119"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p>
    <w:p>
      <w:pPr>
        <w:spacing w:after="0" w:line="14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30" w:lineRule="exact"/>
        <w:rPr>
          <w:sz w:val="20"/>
          <w:szCs w:val="20"/>
          <w:color w:val="auto"/>
        </w:rPr>
      </w:pPr>
    </w:p>
    <w:p>
      <w:pPr>
        <w:jc w:val="both"/>
        <w:ind w:left="180"/>
        <w:spacing w:after="0" w:line="342" w:lineRule="auto"/>
        <w:rPr>
          <w:sz w:val="20"/>
          <w:szCs w:val="20"/>
          <w:color w:val="auto"/>
        </w:rPr>
      </w:pPr>
      <w:r>
        <w:rPr>
          <w:rFonts w:ascii="Arial" w:cs="Arial" w:eastAsia="Arial" w:hAnsi="Arial"/>
          <w:sz w:val="16"/>
          <w:szCs w:val="16"/>
          <w:color w:val="auto"/>
        </w:rPr>
        <w:t>Overall total assets increased 4.4% since year end 2022 and grew 17.7% since June 30, 2022. The largest growth in both periods was in the loan portfolios. Goodwill also increased $5.9 million compared to June 30, 2022. Refer to Note 2 for information on assets acquired from PPSF.</w:t>
      </w:r>
    </w:p>
    <w:p>
      <w:pPr>
        <w:spacing w:after="0" w:line="97" w:lineRule="exact"/>
        <w:rPr>
          <w:sz w:val="20"/>
          <w:szCs w:val="20"/>
          <w:color w:val="auto"/>
        </w:rPr>
      </w:pPr>
    </w:p>
    <w:p>
      <w:pPr>
        <w:jc w:val="both"/>
        <w:ind w:left="180"/>
        <w:spacing w:after="0" w:line="293" w:lineRule="auto"/>
        <w:rPr>
          <w:sz w:val="20"/>
          <w:szCs w:val="20"/>
          <w:color w:val="auto"/>
        </w:rPr>
      </w:pPr>
      <w:r>
        <w:rPr>
          <w:rFonts w:ascii="Arial" w:cs="Arial" w:eastAsia="Arial" w:hAnsi="Arial"/>
          <w:sz w:val="16"/>
          <w:szCs w:val="16"/>
          <w:color w:val="auto"/>
        </w:rPr>
        <w:t>Federal Home Loan Bank advances accounted for the largest growth within liabilities, up 109.3% or $139.3 million since year end and 525.8% or $224.2 million over June 30, 2022 balances. Deposits decreased slightly, $124 thousand since year end 2022 and increased 11.0% or $244.7 million over June 30, 2022. The mix of deposits saw an increases in time deposits and NOW accounts since December 31, 2022. Noninterest-bearing accounts and savings accounts saw decreases from December 31,2022. Refer to Note 2 for information on liabilities acquired from PPSF. The limited change in deposits this year reflects the increased competition for deposits within the Bank's market area. At June 30, 2023, total uninsured deposits of the Bank were $442.3 million, or 17.9% of total deposits. This is down 20.7%, from $511.3 million at December 31, 2022.</w:t>
      </w:r>
    </w:p>
    <w:p>
      <w:pPr>
        <w:spacing w:after="0" w:line="124"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Shareholders’ equity increased by $6.5 million as of the second quarter of 2023 compared to year end 2022. Earnings exceeded dividend declarations during the six months ended June 30, 2023. Accumulated other comprehensive loss decreased in unrealized loss position by $2.3 million from December 2022 to an unrealized loss of $35.9 million on June 30, 2023. A portion of this decrease is attributable to the aforementioned sale of securities making the loss realized in the first quarter 2023. The</w:t>
      </w:r>
    </w:p>
    <w:p>
      <w:pPr>
        <w:spacing w:after="0" w:line="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57" w:right="339" w:bottom="1440" w:gutter="0" w:footer="0" w:header="0"/>
        </w:sectPr>
      </w:pPr>
    </w:p>
    <w:bookmarkStart w:id="65" w:name="page66"/>
    <w:bookmarkEnd w:id="65"/>
    <w:p>
      <w:pPr>
        <w:jc w:val="both"/>
        <w:ind w:left="760" w:right="20"/>
        <w:spacing w:after="0" w:line="259" w:lineRule="auto"/>
        <w:rPr>
          <w:sz w:val="20"/>
          <w:szCs w:val="20"/>
          <w:color w:val="auto"/>
        </w:rPr>
      </w:pPr>
      <w:r>
        <w:rPr>
          <w:rFonts w:ascii="Arial" w:cs="Arial" w:eastAsia="Arial" w:hAnsi="Arial"/>
          <w:sz w:val="18"/>
          <w:szCs w:val="18"/>
          <w:color w:val="auto"/>
        </w:rPr>
        <w:t>implementation of ASU 2016-13 (CECL) resulted in an entry which reduced retained earnings $3.4 million on January 1, 2023. This adjustment is permitted to be spread over three years when calculating regulatory capital, which for 2023 is over $2.5 million. Dividends declared remained unchanged from the previous quarter at $0.21 per share. Compared to June 30, 2022, shareholders’ equity increased 8.5% or $23.8 million. Profits were lower year to date June 2023 than year to date June 2022 by $3.9 million.</w:t>
      </w:r>
    </w:p>
    <w:p>
      <w:pPr>
        <w:spacing w:after="0" w:line="16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Basel III regulatory capital requirements include a capital conservation buffer of 2.5%. As of June 30, 2023, the Company and the Bank are both positioned well above the current requirement.</w:t>
      </w:r>
    </w:p>
    <w:p>
      <w:pPr>
        <w:spacing w:after="0" w:line="13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While the Holding Company generally has sufficient liquidity to maintain its dividend policy without relying on the upstreaming of dividends from the Bank, the Bank declared a $1.0 million dividend during the second quarter.</w:t>
      </w:r>
    </w:p>
    <w:p>
      <w:pPr>
        <w:spacing w:after="0" w:line="130"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Bank continues to be well-capitalized at June 30, 2023 in accordance with Federal regulatory capital requirements as the capital ratios below show:</w:t>
      </w:r>
    </w:p>
    <w:p>
      <w:pPr>
        <w:spacing w:after="0" w:line="211"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Tier I Leverage Ratio</w:t>
            </w:r>
          </w:p>
        </w:tc>
        <w:tc>
          <w:tcPr>
            <w:tcW w:w="2480" w:type="dxa"/>
            <w:vAlign w:val="bottom"/>
          </w:tcPr>
          <w:p>
            <w:pPr>
              <w:jc w:val="right"/>
              <w:spacing w:after="0"/>
              <w:rPr>
                <w:sz w:val="20"/>
                <w:szCs w:val="20"/>
                <w:color w:val="auto"/>
              </w:rPr>
            </w:pPr>
            <w:r>
              <w:rPr>
                <w:rFonts w:ascii="Arial" w:cs="Arial" w:eastAsia="Arial" w:hAnsi="Arial"/>
                <w:sz w:val="18"/>
                <w:szCs w:val="18"/>
                <w:color w:val="auto"/>
              </w:rPr>
              <w:t>9.01 %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Risk Based Capital Tier I</w:t>
            </w:r>
          </w:p>
        </w:tc>
        <w:tc>
          <w:tcPr>
            <w:tcW w:w="2480" w:type="dxa"/>
            <w:vAlign w:val="bottom"/>
          </w:tcPr>
          <w:p>
            <w:pPr>
              <w:jc w:val="right"/>
              <w:spacing w:after="0"/>
              <w:rPr>
                <w:sz w:val="20"/>
                <w:szCs w:val="20"/>
                <w:color w:val="auto"/>
              </w:rPr>
            </w:pPr>
            <w:r>
              <w:rPr>
                <w:rFonts w:ascii="Arial" w:cs="Arial" w:eastAsia="Arial" w:hAnsi="Arial"/>
                <w:sz w:val="18"/>
                <w:szCs w:val="18"/>
                <w:color w:val="auto"/>
              </w:rPr>
              <w:t>10.81 %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Total Risk Based Capital</w:t>
            </w:r>
          </w:p>
        </w:tc>
        <w:tc>
          <w:tcPr>
            <w:tcW w:w="2480" w:type="dxa"/>
            <w:vAlign w:val="bottom"/>
          </w:tcPr>
          <w:p>
            <w:pPr>
              <w:jc w:val="right"/>
              <w:spacing w:after="0"/>
              <w:rPr>
                <w:sz w:val="20"/>
                <w:szCs w:val="20"/>
                <w:color w:val="auto"/>
              </w:rPr>
            </w:pPr>
            <w:r>
              <w:rPr>
                <w:rFonts w:ascii="Arial" w:cs="Arial" w:eastAsia="Arial" w:hAnsi="Arial"/>
                <w:sz w:val="18"/>
                <w:szCs w:val="18"/>
                <w:color w:val="auto"/>
              </w:rPr>
              <w:t>11.88 %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Stockholders' Equity/Total Assets</w:t>
            </w:r>
          </w:p>
        </w:tc>
        <w:tc>
          <w:tcPr>
            <w:tcW w:w="2480" w:type="dxa"/>
            <w:vAlign w:val="bottom"/>
          </w:tcPr>
          <w:p>
            <w:pPr>
              <w:jc w:val="right"/>
              <w:spacing w:after="0"/>
              <w:rPr>
                <w:sz w:val="20"/>
                <w:szCs w:val="20"/>
                <w:color w:val="auto"/>
              </w:rPr>
            </w:pPr>
            <w:r>
              <w:rPr>
                <w:rFonts w:ascii="Arial" w:cs="Arial" w:eastAsia="Arial" w:hAnsi="Arial"/>
                <w:sz w:val="18"/>
                <w:szCs w:val="18"/>
                <w:color w:val="auto"/>
              </w:rPr>
              <w:t>10.45 %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Capital Conservation Buffer</w:t>
            </w:r>
          </w:p>
        </w:tc>
        <w:tc>
          <w:tcPr>
            <w:tcW w:w="2480" w:type="dxa"/>
            <w:vAlign w:val="bottom"/>
          </w:tcPr>
          <w:p>
            <w:pPr>
              <w:jc w:val="right"/>
              <w:spacing w:after="0"/>
              <w:rPr>
                <w:sz w:val="20"/>
                <w:szCs w:val="20"/>
                <w:color w:val="auto"/>
              </w:rPr>
            </w:pPr>
            <w:r>
              <w:rPr>
                <w:rFonts w:ascii="Arial" w:cs="Arial" w:eastAsia="Arial" w:hAnsi="Arial"/>
                <w:sz w:val="18"/>
                <w:szCs w:val="18"/>
                <w:color w:val="auto"/>
              </w:rPr>
              <w:t>3.88 %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-762635</wp:posOffset>
            </wp:positionV>
            <wp:extent cx="4286250" cy="1543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286250" cy="15430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-453390</wp:posOffset>
            </wp:positionV>
            <wp:extent cx="4286250" cy="154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286250" cy="15430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-144780</wp:posOffset>
            </wp:positionV>
            <wp:extent cx="4286250" cy="1543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286250" cy="154305"/>
                    </a:xfrm>
                    <a:prstGeom prst="rect">
                      <a:avLst/>
                    </a:prstGeom>
                    <a:noFill/>
                  </pic:spPr>
                </pic:pic>
              </a:graphicData>
            </a:graphic>
          </wp:anchor>
        </w:drawing>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98" w:lineRule="exact"/>
        <w:rPr>
          <w:sz w:val="20"/>
          <w:szCs w:val="20"/>
          <w:color w:val="auto"/>
        </w:rPr>
      </w:pPr>
    </w:p>
    <w:p>
      <w:pPr>
        <w:ind w:left="760" w:right="188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Results of Interest Earnings and Expenses for three month periods ended June 30, 2023 and 2022 </w:t>
      </w:r>
      <w:r>
        <w:rPr>
          <w:rFonts w:ascii="Arial" w:cs="Arial" w:eastAsia="Arial" w:hAnsi="Arial"/>
          <w:sz w:val="18"/>
          <w:szCs w:val="18"/>
          <w:b w:val="1"/>
          <w:bCs w:val="1"/>
          <w:color w:val="auto"/>
        </w:rPr>
        <w:t>Interest Income</w:t>
      </w:r>
    </w:p>
    <w:p>
      <w:pPr>
        <w:jc w:val="both"/>
        <w:ind w:left="760" w:right="20"/>
        <w:spacing w:after="0" w:line="259" w:lineRule="auto"/>
        <w:rPr>
          <w:sz w:val="20"/>
          <w:szCs w:val="20"/>
          <w:color w:val="auto"/>
        </w:rPr>
      </w:pPr>
      <w:r>
        <w:rPr>
          <w:rFonts w:ascii="Arial" w:cs="Arial" w:eastAsia="Arial" w:hAnsi="Arial"/>
          <w:sz w:val="18"/>
          <w:szCs w:val="18"/>
          <w:color w:val="auto"/>
        </w:rPr>
        <w:t>When comparing second quarter 2023 to second quarter 2022, average loan balances with the acquisitions of PPSF grew $477.4 million. This represented a 23.9% increase in a one-year time period. Interest income on loans increased $9.0 million as compared to the quarter ended June 30, 2022. During the current quarter, the Company reversed previously recognized loan interest income from one relationship in the amount of approximately $463 thousand.</w:t>
      </w:r>
    </w:p>
    <w:p>
      <w:pPr>
        <w:spacing w:after="0" w:line="160" w:lineRule="exact"/>
        <w:rPr>
          <w:sz w:val="20"/>
          <w:szCs w:val="20"/>
          <w:color w:val="auto"/>
        </w:rPr>
      </w:pPr>
    </w:p>
    <w:p>
      <w:pPr>
        <w:jc w:val="both"/>
        <w:ind w:left="760" w:right="20"/>
        <w:spacing w:after="0" w:line="301" w:lineRule="auto"/>
        <w:rPr>
          <w:sz w:val="20"/>
          <w:szCs w:val="20"/>
          <w:color w:val="auto"/>
        </w:rPr>
      </w:pPr>
      <w:r>
        <w:rPr>
          <w:rFonts w:ascii="Arial" w:cs="Arial" w:eastAsia="Arial" w:hAnsi="Arial"/>
          <w:sz w:val="16"/>
          <w:szCs w:val="16"/>
          <w:color w:val="auto"/>
        </w:rPr>
        <w:t>The available-for-sale securities portfolio decreased in average balances by $20.6 million when comparing to the same quarter in 2022 while the income increased $165 thousand over second quarter 2022. Federal funds sold and interest-bearing deposits decreased in average balances by $31.9 million as compared to the same quarter in 2022 with increased income of $324 thousand for the current quarter. The decreased balances have been used to fund loan growth. Refer to Note 2 Business Combination and Asset Purchase for information on assets acquired from PPSF.</w:t>
      </w:r>
    </w:p>
    <w:p>
      <w:pPr>
        <w:spacing w:after="0" w:line="117"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The overall total average balance of the Bank’s earning assets increased by $424.9 million and interest income for the quarter comparisons was higher for second quarter 2023 by 39.6% or $9.5 million as compared to second quarter 2022. Increases in the prime lending rate between periods has contributed to approximately 45% of the growth.</w:t>
      </w:r>
    </w:p>
    <w:p>
      <w:pPr>
        <w:spacing w:after="0" w:line="143" w:lineRule="exact"/>
        <w:rPr>
          <w:sz w:val="20"/>
          <w:szCs w:val="20"/>
          <w:color w:val="auto"/>
        </w:rPr>
      </w:pPr>
    </w:p>
    <w:p>
      <w:pPr>
        <w:jc w:val="both"/>
        <w:ind w:left="760" w:right="20"/>
        <w:spacing w:after="0" w:line="275" w:lineRule="auto"/>
        <w:rPr>
          <w:sz w:val="20"/>
          <w:szCs w:val="20"/>
          <w:color w:val="auto"/>
        </w:rPr>
      </w:pPr>
      <w:r>
        <w:rPr>
          <w:rFonts w:ascii="Arial" w:cs="Arial" w:eastAsia="Arial" w:hAnsi="Arial"/>
          <w:sz w:val="17"/>
          <w:szCs w:val="17"/>
          <w:color w:val="auto"/>
        </w:rPr>
        <w:t>Annualized yield, for the quarter ended June 30, 2023, was 4.53% as compared to 3.79% for the quarter ended June 30, 2022. The following charts demonstrate increased loan balances accounted for 59.6% of the increased loan interest income while rate increases accounted for the remaining 40.4%. The yields on tax-exempt securities and the portion of the tax-exempt IDB loans included in loans have been tax adjusted based on a 21% tax rate in the charts to follow. The tax-exempt interest income was $139 and $143 thousand for the second quarter 2023 and 2022 which resulted in a federal tax savings of $29 and $30 thousand,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13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gridSpan w:val="5"/>
          </w:tcPr>
          <w:p>
            <w:pPr>
              <w:jc w:val="right"/>
              <w:ind w:right="530"/>
              <w:spacing w:after="0"/>
              <w:rPr>
                <w:sz w:val="20"/>
                <w:szCs w:val="20"/>
                <w:color w:val="auto"/>
              </w:rPr>
            </w:pPr>
            <w:r>
              <w:rPr>
                <w:rFonts w:ascii="Arial" w:cs="Arial" w:eastAsia="Arial" w:hAnsi="Arial"/>
                <w:sz w:val="18"/>
                <w:szCs w:val="18"/>
                <w:color w:val="auto"/>
              </w:rPr>
              <w:t>Quarter to Date Ended June 30,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6"/>
          </w:tcPr>
          <w:p>
            <w:pPr>
              <w:ind w:left="860"/>
              <w:spacing w:after="0"/>
              <w:rPr>
                <w:sz w:val="20"/>
                <w:szCs w:val="20"/>
                <w:color w:val="auto"/>
              </w:rPr>
            </w:pPr>
            <w:r>
              <w:rPr>
                <w:rFonts w:ascii="Arial" w:cs="Arial" w:eastAsia="Arial" w:hAnsi="Arial"/>
                <w:sz w:val="18"/>
                <w:szCs w:val="18"/>
                <w:color w:val="auto"/>
              </w:rPr>
              <w:t>Annualized Yield/Rate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Interest Earning Assets:</w:t>
            </w: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4"/>
              </w:rPr>
              <w:t>Average Balance</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5"/>
              </w:rPr>
              <w:t>Interest/Dividends</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June 30, 2023</w:t>
            </w:r>
          </w:p>
        </w:tc>
        <w:tc>
          <w:tcPr>
            <w:tcW w:w="1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June 30, 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2,476,795</w:t>
            </w: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31,365</w:t>
            </w:r>
          </w:p>
        </w:tc>
        <w:tc>
          <w:tcPr>
            <w:tcW w:w="140" w:type="dxa"/>
            <w:vAlign w:val="bottom"/>
            <w:shd w:val="clear" w:color="auto" w:fill="CFF0FC"/>
          </w:tcPr>
          <w:p>
            <w:pPr>
              <w:spacing w:after="0"/>
              <w:rPr>
                <w:sz w:val="20"/>
                <w:szCs w:val="20"/>
                <w:color w:val="auto"/>
              </w:rPr>
            </w:pPr>
          </w:p>
        </w:tc>
        <w:tc>
          <w:tcPr>
            <w:tcW w:w="1680" w:type="dxa"/>
            <w:vAlign w:val="bottom"/>
            <w:tcBorders>
              <w:top w:val="single" w:sz="8" w:color="auto"/>
            </w:tcBorders>
            <w:gridSpan w:val="2"/>
            <w:shd w:val="clear" w:color="auto" w:fill="CFF0FC"/>
          </w:tcPr>
          <w:p>
            <w:pPr>
              <w:ind w:left="1340"/>
              <w:spacing w:after="0"/>
              <w:rPr>
                <w:sz w:val="20"/>
                <w:szCs w:val="20"/>
                <w:color w:val="auto"/>
              </w:rPr>
            </w:pPr>
            <w:r>
              <w:rPr>
                <w:rFonts w:ascii="Arial" w:cs="Arial" w:eastAsia="Arial" w:hAnsi="Arial"/>
                <w:sz w:val="18"/>
                <w:szCs w:val="18"/>
                <w:color w:val="auto"/>
                <w:w w:val="91"/>
              </w:rPr>
              <w:t>5.07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85"/>
              </w:rPr>
              <w:t>4.48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Taxable investment securities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399,257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1,486</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1.49 %</w:t>
            </w:r>
          </w:p>
        </w:tc>
        <w:tc>
          <w:tcPr>
            <w:tcW w:w="1680" w:type="dxa"/>
            <w:vAlign w:val="bottom"/>
            <w:gridSpan w:val="2"/>
          </w:tcPr>
          <w:p>
            <w:pPr>
              <w:ind w:left="1220"/>
              <w:spacing w:after="0"/>
              <w:rPr>
                <w:sz w:val="20"/>
                <w:szCs w:val="20"/>
                <w:color w:val="auto"/>
              </w:rPr>
            </w:pPr>
            <w:r>
              <w:rPr>
                <w:rFonts w:ascii="Arial" w:cs="Arial" w:eastAsia="Arial" w:hAnsi="Arial"/>
                <w:sz w:val="18"/>
                <w:szCs w:val="18"/>
                <w:color w:val="auto"/>
                <w:w w:val="78"/>
              </w:rPr>
              <w:t>1.27 %</w:t>
            </w:r>
          </w:p>
        </w:tc>
        <w:tc>
          <w:tcPr>
            <w:tcW w:w="20" w:type="dxa"/>
            <w:vAlign w:val="bottom"/>
          </w:tcPr>
          <w:p>
            <w:pPr>
              <w:spacing w:after="0"/>
              <w:rPr>
                <w:sz w:val="20"/>
                <w:szCs w:val="20"/>
                <w:color w:val="auto"/>
              </w:rPr>
            </w:pP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Tax-exempt investment securities</w:t>
            </w: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24,259</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80" w:type="dxa"/>
            <w:vAlign w:val="bottom"/>
            <w:gridSpan w:val="5"/>
            <w:shd w:val="clear" w:color="auto" w:fill="CFF0FC"/>
          </w:tcPr>
          <w:p>
            <w:pPr>
              <w:ind w:left="1480"/>
              <w:spacing w:after="0"/>
              <w:rPr>
                <w:sz w:val="20"/>
                <w:szCs w:val="20"/>
                <w:color w:val="auto"/>
              </w:rPr>
            </w:pPr>
            <w:r>
              <w:rPr>
                <w:rFonts w:ascii="Arial" w:cs="Arial" w:eastAsia="Arial" w:hAnsi="Arial"/>
                <w:sz w:val="18"/>
                <w:szCs w:val="18"/>
                <w:color w:val="auto"/>
              </w:rPr>
              <w:t>1.94 %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1.64 %</w:t>
            </w:r>
          </w:p>
        </w:tc>
        <w:tc>
          <w:tcPr>
            <w:tcW w:w="20" w:type="dxa"/>
            <w:vAlign w:val="bottom"/>
          </w:tcPr>
          <w:p>
            <w:pPr>
              <w:spacing w:after="0"/>
              <w:rPr>
                <w:sz w:val="22"/>
                <w:szCs w:val="22"/>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Fed funds sold &amp; other</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3.52 %</w:t>
            </w:r>
          </w:p>
        </w:tc>
        <w:tc>
          <w:tcPr>
            <w:tcW w:w="1700" w:type="dxa"/>
            <w:vAlign w:val="bottom"/>
            <w:gridSpan w:val="3"/>
          </w:tcPr>
          <w:p>
            <w:pPr>
              <w:ind w:left="1220"/>
              <w:spacing w:after="0"/>
              <w:rPr>
                <w:sz w:val="20"/>
                <w:szCs w:val="20"/>
                <w:color w:val="auto"/>
              </w:rPr>
            </w:pPr>
            <w:r>
              <w:rPr>
                <w:rFonts w:ascii="Arial" w:cs="Arial" w:eastAsia="Arial" w:hAnsi="Arial"/>
                <w:sz w:val="18"/>
                <w:szCs w:val="18"/>
                <w:color w:val="auto"/>
                <w:w w:val="82"/>
              </w:rPr>
              <w:t>0.54 %</w:t>
            </w: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Interest Earning Assets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2,949,471</w:t>
            </w:r>
          </w:p>
        </w:tc>
        <w:tc>
          <w:tcPr>
            <w:tcW w:w="300" w:type="dxa"/>
            <w:vAlign w:val="bottom"/>
            <w:gridSpan w:val="2"/>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33,377</w:t>
            </w:r>
          </w:p>
        </w:tc>
        <w:tc>
          <w:tcPr>
            <w:tcW w:w="260" w:type="dxa"/>
            <w:vAlign w:val="bottom"/>
            <w:gridSpan w:val="2"/>
            <w:shd w:val="clear" w:color="auto" w:fill="CFF0FC"/>
          </w:tcPr>
          <w:p>
            <w:pPr>
              <w:spacing w:after="0"/>
              <w:rPr>
                <w:sz w:val="22"/>
                <w:szCs w:val="22"/>
                <w:color w:val="auto"/>
              </w:rPr>
            </w:pPr>
          </w:p>
        </w:tc>
        <w:tc>
          <w:tcPr>
            <w:tcW w:w="182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4.53 %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3.79 %</w:t>
            </w:r>
          </w:p>
        </w:tc>
        <w:tc>
          <w:tcPr>
            <w:tcW w:w="20" w:type="dxa"/>
            <w:vAlign w:val="bottom"/>
          </w:tcPr>
          <w:p>
            <w:pPr>
              <w:spacing w:after="0"/>
              <w:rPr>
                <w:sz w:val="22"/>
                <w:szCs w:val="22"/>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66</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-454025</wp:posOffset>
            </wp:positionV>
            <wp:extent cx="8572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-436880</wp:posOffset>
            </wp:positionV>
            <wp:extent cx="8572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-454025</wp:posOffset>
            </wp:positionV>
            <wp:extent cx="8572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-436880</wp:posOffset>
            </wp:positionV>
            <wp:extent cx="8572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8572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-436880</wp:posOffset>
            </wp:positionV>
            <wp:extent cx="8572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-454025</wp:posOffset>
            </wp:positionV>
            <wp:extent cx="8572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-436880</wp:posOffset>
            </wp:positionV>
            <wp:extent cx="8572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66" w:name="page67"/>
    <w:bookmarkEnd w:id="66"/>
    <w:p>
      <w:pPr>
        <w:ind w:left="2920"/>
        <w:spacing w:after="0"/>
        <w:rPr>
          <w:sz w:val="20"/>
          <w:szCs w:val="20"/>
          <w:color w:val="auto"/>
        </w:rPr>
      </w:pPr>
      <w:r>
        <w:rPr>
          <w:rFonts w:ascii="Arial" w:cs="Arial" w:eastAsia="Arial" w:hAnsi="Arial"/>
          <w:sz w:val="18"/>
          <w:szCs w:val="18"/>
          <w:u w:val="single" w:color="auto"/>
          <w:color w:val="auto"/>
        </w:rPr>
        <w:t>Change in Interest Income Quarter to Date June 30, 2023 Compared to June 30, 2022</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5"/>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87"/>
              </w:rPr>
              <w:t>Change Due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w w:val="92"/>
              </w:rPr>
              <w:t>Change Due</w:t>
            </w:r>
          </w:p>
        </w:tc>
      </w:tr>
      <w:tr>
        <w:trPr>
          <w:trHeight w:val="244"/>
        </w:trPr>
        <w:tc>
          <w:tcPr>
            <w:tcW w:w="4240" w:type="dxa"/>
            <w:vAlign w:val="bottom"/>
          </w:tcPr>
          <w:p>
            <w:pPr>
              <w:ind w:left="20"/>
              <w:spacing w:after="0"/>
              <w:rPr>
                <w:sz w:val="20"/>
                <w:szCs w:val="20"/>
                <w:color w:val="auto"/>
              </w:rPr>
            </w:pPr>
            <w:r>
              <w:rPr>
                <w:rFonts w:ascii="Arial" w:cs="Arial" w:eastAsia="Arial" w:hAnsi="Arial"/>
                <w:sz w:val="18"/>
                <w:szCs w:val="18"/>
                <w:color w:val="auto"/>
              </w:rPr>
              <w:t>Interest Earning Assets: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Total Change</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to Volume</w:t>
            </w: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 Rate</w:t>
            </w:r>
          </w:p>
        </w:tc>
      </w:tr>
      <w:tr>
        <w:trPr>
          <w:trHeight w:val="236"/>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8,977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5,347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3,630</w:t>
            </w: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Taxable investment securities</w:t>
            </w:r>
          </w:p>
        </w:tc>
        <w:tc>
          <w:tcPr>
            <w:tcW w:w="1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216</w:t>
            </w: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Tax-exempt investment securities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Fed funds sold &amp; other</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w:t>
            </w:r>
          </w:p>
        </w:tc>
      </w:tr>
      <w:tr>
        <w:trPr>
          <w:trHeight w:val="277"/>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9,466</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5,241</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12001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12001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12001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12001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right="20"/>
        <w:spacing w:after="0" w:line="268" w:lineRule="auto"/>
        <w:rPr>
          <w:sz w:val="20"/>
          <w:szCs w:val="20"/>
          <w:color w:val="auto"/>
        </w:rPr>
      </w:pPr>
      <w:r>
        <w:rPr>
          <w:rFonts w:ascii="Arial" w:cs="Arial" w:eastAsia="Arial" w:hAnsi="Arial"/>
          <w:sz w:val="17"/>
          <w:szCs w:val="17"/>
          <w:color w:val="auto"/>
        </w:rPr>
        <w:t>Outpacing the higher interest income improvement for the quarter was an increase in interest expense in 2023 of $11.2 million or 547.7% compared to second quarter 2022. Since 2022, average interest-bearing deposit balances have increased $222.2 million or 12.7% and the Company recognized $9.1 million more in interest expense for the most recent quarter. March 2022 saw the first rate change since March of 2020 with an increase of 25 basis points which was followed by an increase of 50 basis points in May and four increases of 75 basis points in June, July, September and November with a final 50 basis point increase in December. To date in 2023, there have been three increases of 25 basis points in February, March and May. Deposit rates have been adjusted numerous times with all the rate increases. Interest expense on FHLB borrowings and other borrowings increased $1.9 million in the second quarter 2023 over the same time frame in 2022 due to borrowings taken on from the Peoples acquisition and new FHLB borrowings in 2022 and 2023 used to fund loan growth. Interest expense on fed funds purchased and securities sold under agreement to repurchase increased $261 thousand compared to second quarter 2022 due mainly to the increased rate environment. Another factor in the increased cost of funds is the change in the mix of funding. More growth has occurred in interest bearing deposit balances supplemented with increased borrowings. The Bank continues to focus on capturing the full customer relationship; however, it has resulted in more expensive deposits being brought in. The average cost of funds increased to 2.35% in second quarter 2023 compared to 0.44% in second quarter 2022. Refer to Note 8 for additional information on subordinated notes. Liabilities assumed from PPSF can be seen in Note 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gridSpan w:val="5"/>
          </w:tcPr>
          <w:p>
            <w:pPr>
              <w:jc w:val="right"/>
              <w:ind w:right="530"/>
              <w:spacing w:after="0"/>
              <w:rPr>
                <w:sz w:val="20"/>
                <w:szCs w:val="20"/>
                <w:color w:val="auto"/>
              </w:rPr>
            </w:pPr>
            <w:r>
              <w:rPr>
                <w:rFonts w:ascii="Arial" w:cs="Arial" w:eastAsia="Arial" w:hAnsi="Arial"/>
                <w:sz w:val="18"/>
                <w:szCs w:val="18"/>
                <w:color w:val="auto"/>
              </w:rPr>
              <w:t>Quarter to Date Ended June 30,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6"/>
          </w:tcPr>
          <w:p>
            <w:pPr>
              <w:ind w:left="860"/>
              <w:spacing w:after="0"/>
              <w:rPr>
                <w:sz w:val="20"/>
                <w:szCs w:val="20"/>
                <w:color w:val="auto"/>
              </w:rPr>
            </w:pPr>
            <w:r>
              <w:rPr>
                <w:rFonts w:ascii="Arial" w:cs="Arial" w:eastAsia="Arial" w:hAnsi="Arial"/>
                <w:sz w:val="18"/>
                <w:szCs w:val="18"/>
                <w:color w:val="auto"/>
              </w:rPr>
              <w:t>Annualized Yield/Rate</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Interest Bearing Liabilities:</w:t>
            </w: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4"/>
              </w:rPr>
              <w:t>Average Balance</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June 30, 2023</w:t>
            </w:r>
          </w:p>
        </w:tc>
        <w:tc>
          <w:tcPr>
            <w:tcW w:w="1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June 30, 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Savings deposits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1,356,798</w:t>
            </w:r>
          </w:p>
        </w:tc>
        <w:tc>
          <w:tcPr>
            <w:tcW w:w="140" w:type="dxa"/>
            <w:vAlign w:val="bottom"/>
            <w:shd w:val="clear" w:color="auto" w:fill="CFF0FC"/>
          </w:tcPr>
          <w:p>
            <w:pPr>
              <w:spacing w:after="0"/>
              <w:rPr>
                <w:sz w:val="21"/>
                <w:szCs w:val="21"/>
                <w:color w:val="auto"/>
              </w:rPr>
            </w:pPr>
          </w:p>
        </w:tc>
        <w:tc>
          <w:tcPr>
            <w:tcW w:w="660" w:type="dxa"/>
            <w:vAlign w:val="bottom"/>
            <w:tcBorders>
              <w:top w:val="single" w:sz="8" w:color="auto"/>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140" w:type="dxa"/>
            <w:vAlign w:val="bottom"/>
            <w:shd w:val="clear" w:color="auto" w:fill="CFF0FC"/>
          </w:tcPr>
          <w:p>
            <w:pPr>
              <w:spacing w:after="0"/>
              <w:rPr>
                <w:sz w:val="21"/>
                <w:szCs w:val="21"/>
                <w:color w:val="auto"/>
              </w:rPr>
            </w:pPr>
          </w:p>
        </w:tc>
        <w:tc>
          <w:tcPr>
            <w:tcW w:w="1680" w:type="dxa"/>
            <w:vAlign w:val="bottom"/>
            <w:tcBorders>
              <w:top w:val="single" w:sz="8" w:color="auto"/>
            </w:tcBorders>
            <w:gridSpan w:val="2"/>
            <w:shd w:val="clear" w:color="auto" w:fill="CFF0FC"/>
          </w:tcPr>
          <w:p>
            <w:pPr>
              <w:ind w:left="1340"/>
              <w:spacing w:after="0"/>
              <w:rPr>
                <w:sz w:val="20"/>
                <w:szCs w:val="20"/>
                <w:color w:val="auto"/>
              </w:rPr>
            </w:pPr>
            <w:r>
              <w:rPr>
                <w:rFonts w:ascii="Arial" w:cs="Arial" w:eastAsia="Arial" w:hAnsi="Arial"/>
                <w:sz w:val="18"/>
                <w:szCs w:val="18"/>
                <w:color w:val="auto"/>
                <w:w w:val="91"/>
              </w:rPr>
              <w:t>1.84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85"/>
              </w:rPr>
              <w:t>0.24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Other time deposits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612,929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4,196</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2.74 %</w:t>
            </w:r>
          </w:p>
        </w:tc>
        <w:tc>
          <w:tcPr>
            <w:tcW w:w="1680" w:type="dxa"/>
            <w:vAlign w:val="bottom"/>
            <w:gridSpan w:val="2"/>
          </w:tcPr>
          <w:p>
            <w:pPr>
              <w:ind w:left="1220"/>
              <w:spacing w:after="0"/>
              <w:rPr>
                <w:sz w:val="20"/>
                <w:szCs w:val="20"/>
                <w:color w:val="auto"/>
              </w:rPr>
            </w:pPr>
            <w:r>
              <w:rPr>
                <w:rFonts w:ascii="Arial" w:cs="Arial" w:eastAsia="Arial" w:hAnsi="Arial"/>
                <w:sz w:val="18"/>
                <w:szCs w:val="18"/>
                <w:color w:val="auto"/>
                <w:w w:val="78"/>
              </w:rPr>
              <w:t>0.55 %</w:t>
            </w:r>
          </w:p>
        </w:tc>
        <w:tc>
          <w:tcPr>
            <w:tcW w:w="20" w:type="dxa"/>
            <w:vAlign w:val="bottom"/>
          </w:tcPr>
          <w:p>
            <w:pPr>
              <w:spacing w:after="0"/>
              <w:rPr>
                <w:sz w:val="20"/>
                <w:szCs w:val="20"/>
                <w:color w:val="auto"/>
              </w:rPr>
            </w:pP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borrowed money</w:t>
            </w: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215,884</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2080" w:type="dxa"/>
            <w:vAlign w:val="bottom"/>
            <w:gridSpan w:val="5"/>
            <w:shd w:val="clear" w:color="auto" w:fill="CFF0FC"/>
          </w:tcPr>
          <w:p>
            <w:pPr>
              <w:ind w:left="1480"/>
              <w:spacing w:after="0"/>
              <w:rPr>
                <w:sz w:val="20"/>
                <w:szCs w:val="20"/>
                <w:color w:val="auto"/>
              </w:rPr>
            </w:pPr>
            <w:r>
              <w:rPr>
                <w:rFonts w:ascii="Arial" w:cs="Arial" w:eastAsia="Arial" w:hAnsi="Arial"/>
                <w:sz w:val="18"/>
                <w:szCs w:val="18"/>
                <w:color w:val="auto"/>
              </w:rPr>
              <w:t>3.92 %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2.23 %</w:t>
            </w:r>
          </w:p>
        </w:tc>
        <w:tc>
          <w:tcPr>
            <w:tcW w:w="20" w:type="dxa"/>
            <w:vAlign w:val="bottom"/>
          </w:tcPr>
          <w:p>
            <w:pPr>
              <w:spacing w:after="0"/>
              <w:rPr>
                <w:sz w:val="22"/>
                <w:szCs w:val="22"/>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Fed funds purchased &amp; securities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sold under agreement to repurchase</w:t>
            </w: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080" w:type="dxa"/>
            <w:vAlign w:val="bottom"/>
            <w:gridSpan w:val="5"/>
            <w:shd w:val="clear" w:color="auto" w:fill="CFF0FC"/>
          </w:tcPr>
          <w:p>
            <w:pPr>
              <w:ind w:left="1480"/>
              <w:spacing w:after="0"/>
              <w:rPr>
                <w:sz w:val="20"/>
                <w:szCs w:val="20"/>
                <w:color w:val="auto"/>
              </w:rPr>
            </w:pPr>
            <w:r>
              <w:rPr>
                <w:rFonts w:ascii="Arial" w:cs="Arial" w:eastAsia="Arial" w:hAnsi="Arial"/>
                <w:sz w:val="18"/>
                <w:szCs w:val="18"/>
                <w:color w:val="auto"/>
              </w:rPr>
              <w:t>4.27 %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1.88 %</w:t>
            </w:r>
          </w:p>
        </w:tc>
        <w:tc>
          <w:tcPr>
            <w:tcW w:w="20" w:type="dxa"/>
            <w:vAlign w:val="bottom"/>
          </w:tcPr>
          <w:p>
            <w:pPr>
              <w:spacing w:after="0"/>
              <w:rPr>
                <w:sz w:val="22"/>
                <w:szCs w:val="22"/>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Subordinated notes</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3.29 %</w:t>
            </w:r>
          </w:p>
        </w:tc>
        <w:tc>
          <w:tcPr>
            <w:tcW w:w="1700" w:type="dxa"/>
            <w:vAlign w:val="bottom"/>
            <w:gridSpan w:val="3"/>
          </w:tcPr>
          <w:p>
            <w:pPr>
              <w:ind w:left="1220"/>
              <w:spacing w:after="0"/>
              <w:rPr>
                <w:sz w:val="20"/>
                <w:szCs w:val="20"/>
                <w:color w:val="auto"/>
              </w:rPr>
            </w:pPr>
            <w:r>
              <w:rPr>
                <w:rFonts w:ascii="Arial" w:cs="Arial" w:eastAsia="Arial" w:hAnsi="Arial"/>
                <w:sz w:val="18"/>
                <w:szCs w:val="18"/>
                <w:color w:val="auto"/>
                <w:w w:val="82"/>
              </w:rPr>
              <w:t>3.29 %</w:t>
            </w: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Interest Bearing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2,260,202</w:t>
            </w:r>
          </w:p>
        </w:tc>
        <w:tc>
          <w:tcPr>
            <w:tcW w:w="300" w:type="dxa"/>
            <w:vAlign w:val="bottom"/>
            <w:gridSpan w:val="2"/>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13,259</w:t>
            </w:r>
          </w:p>
        </w:tc>
        <w:tc>
          <w:tcPr>
            <w:tcW w:w="260" w:type="dxa"/>
            <w:vAlign w:val="bottom"/>
            <w:gridSpan w:val="2"/>
            <w:shd w:val="clear" w:color="auto" w:fill="CFF0FC"/>
          </w:tcPr>
          <w:p>
            <w:pPr>
              <w:spacing w:after="0"/>
              <w:rPr>
                <w:sz w:val="22"/>
                <w:szCs w:val="22"/>
                <w:color w:val="auto"/>
              </w:rPr>
            </w:pPr>
          </w:p>
        </w:tc>
        <w:tc>
          <w:tcPr>
            <w:tcW w:w="182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2.35 %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0.44 %</w:t>
            </w:r>
          </w:p>
        </w:tc>
        <w:tc>
          <w:tcPr>
            <w:tcW w:w="20" w:type="dxa"/>
            <w:vAlign w:val="bottom"/>
          </w:tcPr>
          <w:p>
            <w:pPr>
              <w:spacing w:after="0"/>
              <w:rPr>
                <w:sz w:val="22"/>
                <w:szCs w:val="22"/>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8572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8572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8572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8572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8572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857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8040" w:type="dxa"/>
            <w:vAlign w:val="bottom"/>
            <w:gridSpan w:val="11"/>
          </w:tcPr>
          <w:p>
            <w:pPr>
              <w:ind w:left="1780"/>
              <w:spacing w:after="0"/>
              <w:rPr>
                <w:sz w:val="20"/>
                <w:szCs w:val="20"/>
                <w:color w:val="auto"/>
              </w:rPr>
            </w:pPr>
            <w:r>
              <w:rPr>
                <w:rFonts w:ascii="Arial" w:cs="Arial" w:eastAsia="Arial" w:hAnsi="Arial"/>
                <w:sz w:val="18"/>
                <w:szCs w:val="18"/>
                <w:color w:val="auto"/>
                <w:w w:val="89"/>
              </w:rPr>
              <w:t>Change in Interest Expense Quarter to Date June 30, 2023 Compared to June 30, 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00"/>
        </w:trPr>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9"/>
              </w:rPr>
              <w:t>Change Due</w:t>
            </w:r>
          </w:p>
        </w:tc>
        <w:tc>
          <w:tcPr>
            <w:tcW w:w="160" w:type="dxa"/>
            <w:vAlign w:val="bottom"/>
          </w:tcPr>
          <w:p>
            <w:pPr>
              <w:spacing w:after="0"/>
              <w:rPr>
                <w:sz w:val="18"/>
                <w:szCs w:val="18"/>
                <w:color w:val="auto"/>
              </w:rPr>
            </w:pPr>
          </w:p>
        </w:tc>
        <w:tc>
          <w:tcPr>
            <w:tcW w:w="118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Change Due</w:t>
            </w:r>
          </w:p>
        </w:tc>
        <w:tc>
          <w:tcPr>
            <w:tcW w:w="1120" w:type="dxa"/>
            <w:vAlign w:val="bottom"/>
          </w:tcPr>
          <w:p>
            <w:pPr>
              <w:spacing w:after="0"/>
              <w:rPr>
                <w:sz w:val="18"/>
                <w:szCs w:val="18"/>
                <w:color w:val="auto"/>
              </w:rPr>
            </w:pPr>
          </w:p>
        </w:tc>
      </w:tr>
      <w:tr>
        <w:trPr>
          <w:trHeight w:val="244"/>
        </w:trPr>
        <w:tc>
          <w:tcPr>
            <w:tcW w:w="112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Interest Bearing Liabilities:</w:t>
            </w:r>
          </w:p>
        </w:tc>
        <w:tc>
          <w:tcPr>
            <w:tcW w:w="162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0"/>
              </w:rPr>
              <w:t>Total Change</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to Volume</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2"/>
              </w:rPr>
              <w:t>to Rate</w:t>
            </w:r>
          </w:p>
        </w:tc>
        <w:tc>
          <w:tcPr>
            <w:tcW w:w="1120" w:type="dxa"/>
            <w:vAlign w:val="bottom"/>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3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Savings deposits</w:t>
            </w:r>
          </w:p>
        </w:tc>
        <w:tc>
          <w:tcPr>
            <w:tcW w:w="16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5,435</w:t>
            </w:r>
          </w:p>
        </w:tc>
        <w:tc>
          <w:tcPr>
            <w:tcW w:w="112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time deposits</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3,594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3,348</w:t>
            </w:r>
          </w:p>
        </w:tc>
        <w:tc>
          <w:tcPr>
            <w:tcW w:w="1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3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borrowed money</w:t>
            </w: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983</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w:t>
            </w:r>
          </w:p>
        </w:tc>
        <w:tc>
          <w:tcPr>
            <w:tcW w:w="112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Fed funds purchased &amp; securities</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sold under agreement to repurchase</w:t>
            </w: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239</w:t>
            </w:r>
          </w:p>
        </w:tc>
        <w:tc>
          <w:tcPr>
            <w:tcW w:w="1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Subordinated notes</w:t>
            </w:r>
          </w:p>
        </w:tc>
        <w:tc>
          <w:tcPr>
            <w:tcW w:w="1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276"/>
        </w:trPr>
        <w:tc>
          <w:tcPr>
            <w:tcW w:w="1120" w:type="dxa"/>
            <w:vAlign w:val="bottom"/>
          </w:tcPr>
          <w:p>
            <w:pPr>
              <w:spacing w:after="0"/>
              <w:rPr>
                <w:sz w:val="24"/>
                <w:szCs w:val="24"/>
                <w:color w:val="auto"/>
              </w:rPr>
            </w:pPr>
          </w:p>
        </w:tc>
        <w:tc>
          <w:tcPr>
            <w:tcW w:w="35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Interest Bearing Liabilities</w:t>
            </w:r>
          </w:p>
        </w:tc>
        <w:tc>
          <w:tcPr>
            <w:tcW w:w="1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11,212</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1,278</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9,934</w:t>
            </w:r>
          </w:p>
        </w:tc>
        <w:tc>
          <w:tcPr>
            <w:tcW w:w="1120" w:type="dxa"/>
            <w:vAlign w:val="bottom"/>
          </w:tcPr>
          <w:p>
            <w:pPr>
              <w:spacing w:after="0"/>
              <w:rPr>
                <w:sz w:val="24"/>
                <w:szCs w:val="24"/>
                <w:color w:val="auto"/>
              </w:rPr>
            </w:pPr>
          </w:p>
        </w:tc>
      </w:tr>
      <w:tr>
        <w:trPr>
          <w:trHeight w:val="520"/>
        </w:trPr>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-454025</wp:posOffset>
            </wp:positionV>
            <wp:extent cx="10287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-436880</wp:posOffset>
            </wp:positionV>
            <wp:extent cx="10287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-454025</wp:posOffset>
            </wp:positionV>
            <wp:extent cx="9398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-436880</wp:posOffset>
            </wp:positionV>
            <wp:extent cx="939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Overall, net interest spread for the second quarter 2023 was 117 basis points lower than last year. As the following chart indicates, the improvement in yields on interest earning assets did not offset the increased cost of funds when comparing to the same period a year ago. Competition for deposits is intense with most competitors offering special rates for specific terms.</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237"/>
        </w:trPr>
        <w:tc>
          <w:tcPr>
            <w:tcW w:w="5000" w:type="dxa"/>
            <w:vAlign w:val="bottom"/>
          </w:tcPr>
          <w:p>
            <w:pPr>
              <w:spacing w:after="0"/>
              <w:rPr>
                <w:sz w:val="20"/>
                <w:szCs w:val="20"/>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w w:val="91"/>
              </w:rPr>
              <w:t>June 30, 2023</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w w:val="92"/>
              </w:rPr>
              <w:t>June 30, 2022</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Interest/Dividend income/yield</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Expense/cost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0.44 %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Net Interest Spread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
              <w:spacing w:after="0"/>
              <w:rPr>
                <w:sz w:val="20"/>
                <w:szCs w:val="20"/>
                <w:color w:val="auto"/>
              </w:rPr>
            </w:pPr>
            <w:r>
              <w:rPr>
                <w:rFonts w:ascii="Arial" w:cs="Arial" w:eastAsia="Arial" w:hAnsi="Arial"/>
                <w:sz w:val="18"/>
                <w:szCs w:val="18"/>
                <w:color w:val="auto"/>
              </w:rPr>
              <w:t>Net Interest Margin</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vMerge w:val="continue"/>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color w:val="auto"/>
                <w:highlight w:val="white"/>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xml:space="preserve">3.47 </w:t>
            </w:r>
            <w:r>
              <w:rPr>
                <w:rFonts w:ascii="Arial" w:cs="Arial" w:eastAsia="Arial" w:hAnsi="Arial"/>
                <w:sz w:val="18"/>
                <w:szCs w:val="18"/>
                <w:color w:val="auto"/>
                <w:highlight w:val="white"/>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-676910</wp:posOffset>
            </wp:positionV>
            <wp:extent cx="5709285" cy="1543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-359410</wp:posOffset>
            </wp:positionV>
            <wp:extent cx="5709285" cy="1797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709285" cy="1797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decreased $1.7 million for the second quarter 2023 over the same time frame in 2022 with the increase in interest income of $9.5 million offset by the higher interest expense of $11.2 million as previously mentioned. As the new loans added in 2022 and 2023 generate more income, management expects the benefits of the Company’s strategy of repositioning the balance sheet to increase interest income in the long run. Loans as a percentage of earning assets increased to 84.0% in second quarter 2023 compared to 79.2% in second quarter 2022. Loans to total assets increased to 79.4% in second quarter 2023 compared to 74.4% for the same period 2022. The percentage of earning assets to total assets increased to 94.6% in 2023 compared to 94.0% in 2022. In terms of net interest margin, the Bank recognizes competition for deposits continues to increase with higher interest rates putting pressure on the margin which may lead to a further tightening in the short term.</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57" w:right="339" w:bottom="1440" w:gutter="0" w:footer="0" w:header="0"/>
        </w:sectPr>
      </w:pPr>
    </w:p>
    <w:bookmarkStart w:id="68" w:name="page69"/>
    <w:bookmarkEnd w:id="68"/>
    <w:p>
      <w:pPr>
        <w:ind w:left="3"/>
        <w:spacing w:after="0"/>
        <w:rPr>
          <w:sz w:val="20"/>
          <w:szCs w:val="20"/>
          <w:color w:val="auto"/>
        </w:rPr>
      </w:pPr>
      <w:r>
        <w:rPr>
          <w:rFonts w:ascii="Arial" w:cs="Arial" w:eastAsia="Arial" w:hAnsi="Arial"/>
          <w:sz w:val="18"/>
          <w:szCs w:val="18"/>
          <w:b w:val="1"/>
          <w:bCs w:val="1"/>
          <w:u w:val="single" w:color="auto"/>
          <w:color w:val="auto"/>
        </w:rPr>
        <w:t>Comparison of Noninterest Results of Operations for three month periods ended June 30, 2023 and 2022</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Provision Expense</w:t>
      </w:r>
    </w:p>
    <w:p>
      <w:pPr>
        <w:spacing w:after="0" w:line="189" w:lineRule="exact"/>
        <w:rPr>
          <w:sz w:val="20"/>
          <w:szCs w:val="20"/>
          <w:color w:val="auto"/>
        </w:rPr>
      </w:pPr>
    </w:p>
    <w:p>
      <w:pPr>
        <w:jc w:val="both"/>
        <w:ind w:left="3"/>
        <w:spacing w:after="0" w:line="254" w:lineRule="auto"/>
        <w:rPr>
          <w:sz w:val="20"/>
          <w:szCs w:val="20"/>
          <w:color w:val="auto"/>
        </w:rPr>
      </w:pPr>
      <w:r>
        <w:rPr>
          <w:rFonts w:ascii="Arial" w:cs="Arial" w:eastAsia="Arial" w:hAnsi="Arial"/>
          <w:sz w:val="18"/>
          <w:szCs w:val="18"/>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agriculture real estate loan portfolio accounted for the largest component of recoveries and the consumer loan portfolio accounted for the largest component of charge-offs for three months ended June 30, 2023 and 2022. The commercial real estate portfolio is currently creating a large impact on the ACL due to the loan growth.</w:t>
      </w:r>
    </w:p>
    <w:p>
      <w:pPr>
        <w:spacing w:after="0" w:line="151" w:lineRule="exact"/>
        <w:rPr>
          <w:sz w:val="20"/>
          <w:szCs w:val="20"/>
          <w:color w:val="auto"/>
        </w:rPr>
      </w:pPr>
    </w:p>
    <w:p>
      <w:pPr>
        <w:jc w:val="both"/>
        <w:ind w:left="3"/>
        <w:spacing w:after="0" w:line="255" w:lineRule="auto"/>
        <w:rPr>
          <w:sz w:val="20"/>
          <w:szCs w:val="20"/>
          <w:color w:val="auto"/>
        </w:rPr>
      </w:pPr>
      <w:r>
        <w:rPr>
          <w:rFonts w:ascii="Arial" w:cs="Arial" w:eastAsia="Arial" w:hAnsi="Arial"/>
          <w:sz w:val="18"/>
          <w:szCs w:val="18"/>
          <w:color w:val="auto"/>
        </w:rPr>
        <w:t>Total provision for credit losses was $1.5 million lower for the three months ended June 30, 2023 as compared to the same period in 2022. Management continues to monitor asset quality, making adjustments to the provision as necessary. The impact of higher interest rates and inflation are taken into consideration when reviewing qualitative factors. Loan charge-offs were $57 thousand lower during the three months ended June 30, 2023 than the same period in 2022. Recoveries were $51 thousand higher during the three months ended June 30, 2023 as compared to same period in 2022. Combined net recoveries were $108 thousand higher in the three months ended June 30, 2023 than the same time period 2022.</w:t>
      </w:r>
    </w:p>
    <w:p>
      <w:pPr>
        <w:spacing w:after="0" w:line="165" w:lineRule="exact"/>
        <w:rPr>
          <w:sz w:val="20"/>
          <w:szCs w:val="20"/>
          <w:color w:val="auto"/>
        </w:rPr>
      </w:pPr>
    </w:p>
    <w:p>
      <w:pPr>
        <w:jc w:val="both"/>
        <w:ind w:left="3"/>
        <w:spacing w:after="0" w:line="279" w:lineRule="auto"/>
        <w:rPr>
          <w:sz w:val="20"/>
          <w:szCs w:val="20"/>
          <w:color w:val="auto"/>
        </w:rPr>
      </w:pPr>
      <w:r>
        <w:rPr>
          <w:rFonts w:ascii="Arial" w:cs="Arial" w:eastAsia="Arial" w:hAnsi="Arial"/>
          <w:sz w:val="17"/>
          <w:szCs w:val="17"/>
          <w:color w:val="auto"/>
        </w:rPr>
        <w:t>Loans past due 30 or more days, which include no deferrals related to COVID-19, increased $5.6 million at June 30, 2023 as compared to June 30, 2022. The largest changes were attributed to the increase of past due balances in the agricultural portfolio, agricultural real estate portfolio, commercial real estate portfolio and commercial and industrial portfolio. The increase in the agricultural real estate portfolio was attributable to two larger relationships while the increase in the other categories were multiple, smaller relationships.</w:t>
      </w:r>
    </w:p>
    <w:p>
      <w:pPr>
        <w:spacing w:after="0" w:line="131" w:lineRule="exact"/>
        <w:rPr>
          <w:sz w:val="20"/>
          <w:szCs w:val="20"/>
          <w:color w:val="auto"/>
        </w:rPr>
      </w:pPr>
    </w:p>
    <w:p>
      <w:pPr>
        <w:jc w:val="both"/>
        <w:ind w:left="3"/>
        <w:spacing w:after="0" w:line="263" w:lineRule="auto"/>
        <w:rPr>
          <w:sz w:val="20"/>
          <w:szCs w:val="20"/>
          <w:color w:val="auto"/>
        </w:rPr>
      </w:pPr>
      <w:r>
        <w:rPr>
          <w:rFonts w:ascii="Arial" w:cs="Arial" w:eastAsia="Arial" w:hAnsi="Arial"/>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three months ended June 30, 2023 , 2022, and 2021.</w:t>
      </w:r>
    </w:p>
    <w:p>
      <w:pPr>
        <w:spacing w:after="0" w:line="184" w:lineRule="exact"/>
        <w:rPr>
          <w:sz w:val="20"/>
          <w:szCs w:val="20"/>
          <w:color w:val="auto"/>
        </w:rPr>
      </w:pPr>
    </w:p>
    <w:p>
      <w:pPr>
        <w:ind w:left="4783" w:right="2320" w:hanging="4783"/>
        <w:spacing w:after="0" w:line="402" w:lineRule="auto"/>
        <w:tabs>
          <w:tab w:leader="none" w:pos="1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-31750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13"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Three Months Ended</w:t>
            </w:r>
          </w:p>
        </w:tc>
        <w:tc>
          <w:tcPr>
            <w:tcW w:w="160" w:type="dxa"/>
            <w:vAlign w:val="bottom"/>
          </w:tcPr>
          <w:p>
            <w:pPr>
              <w:spacing w:after="0"/>
              <w:rPr>
                <w:sz w:val="18"/>
                <w:szCs w:val="18"/>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720"/>
              <w:spacing w:after="0"/>
              <w:rPr>
                <w:sz w:val="20"/>
                <w:szCs w:val="20"/>
                <w:color w:val="auto"/>
              </w:rPr>
            </w:pPr>
            <w:r>
              <w:rPr>
                <w:rFonts w:ascii="Arial" w:cs="Arial" w:eastAsia="Arial" w:hAnsi="Arial"/>
                <w:sz w:val="18"/>
                <w:szCs w:val="18"/>
                <w:color w:val="auto"/>
              </w:rPr>
              <w:t>June 30, 2023</w:t>
            </w:r>
          </w:p>
        </w:tc>
        <w:tc>
          <w:tcPr>
            <w:tcW w:w="140" w:type="dxa"/>
            <w:vAlign w:val="bottom"/>
          </w:tcPr>
          <w:p>
            <w:pPr>
              <w:spacing w:after="0"/>
              <w:rPr>
                <w:sz w:val="20"/>
                <w:szCs w:val="20"/>
                <w:color w:val="auto"/>
              </w:rPr>
            </w:pPr>
          </w:p>
        </w:tc>
        <w:tc>
          <w:tcPr>
            <w:tcW w:w="2040" w:type="dxa"/>
            <w:vAlign w:val="bottom"/>
            <w:gridSpan w:val="3"/>
          </w:tcPr>
          <w:p>
            <w:pPr>
              <w:jc w:val="right"/>
              <w:ind w:right="720"/>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20"/>
                <w:szCs w:val="20"/>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June 30, 2021</w:t>
            </w:r>
          </w:p>
        </w:tc>
        <w:tc>
          <w:tcPr>
            <w:tcW w:w="0" w:type="dxa"/>
            <w:vAlign w:val="bottom"/>
          </w:tcPr>
          <w:p>
            <w:pPr>
              <w:spacing w:after="0"/>
              <w:rPr>
                <w:sz w:val="1"/>
                <w:szCs w:val="1"/>
                <w:color w:val="auto"/>
              </w:rPr>
            </w:pPr>
          </w:p>
        </w:tc>
      </w:tr>
      <w:tr>
        <w:trPr>
          <w:trHeight w:val="28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2,515,793</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2,034,818</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1,458,423</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Daily average of outstanding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2,476,795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1,999,357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6,295</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Nonperforming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Allowance for Credit Losses - April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24,634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16,771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14,425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 for accounting change</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Loans Charged off:</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Loan Recoveries: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Net Charge Offs (Recoveries):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7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Provision for Credit Losses</w:t>
            </w:r>
          </w:p>
        </w:tc>
        <w:tc>
          <w:tcPr>
            <w:tcW w:w="1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Allowance for Loan Losses - June 30,</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18,424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15,087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Unfunded Loan Commitments</w:t>
            </w:r>
          </w:p>
        </w:tc>
        <w:tc>
          <w:tcPr>
            <w:tcW w:w="160" w:type="dxa"/>
            <w:vAlign w:val="bottom"/>
            <w:shd w:val="clear" w:color="auto" w:fill="CFF0FC"/>
          </w:tcPr>
          <w:p>
            <w:pPr>
              <w:spacing w:after="0"/>
              <w:rPr>
                <w:sz w:val="19"/>
                <w:szCs w:val="19"/>
                <w:color w:val="auto"/>
              </w:rPr>
            </w:pPr>
          </w:p>
        </w:tc>
        <w:tc>
          <w:tcPr>
            <w:tcW w:w="1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&amp; Letters of Credit - June 30,</w:t>
            </w:r>
          </w:p>
        </w:tc>
        <w:tc>
          <w:tcPr>
            <w:tcW w:w="16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Total Allowance for Credit Losses - June 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Ratio of Net Charge-offs to Average Outstanding Loans</w:t>
            </w:r>
          </w:p>
        </w:tc>
        <w:tc>
          <w:tcPr>
            <w:tcW w:w="160" w:type="dxa"/>
            <w:vAlign w:val="bottom"/>
            <w:tcBorders>
              <w:top w:val="single" w:sz="8" w:color="auto"/>
              <w:bottom w:val="single" w:sz="8" w:color="auto"/>
            </w:tcBorders>
            <w:shd w:val="clear" w:color="auto" w:fill="CFF0FC"/>
          </w:tcPr>
          <w:p>
            <w:pPr>
              <w:spacing w:after="0"/>
              <w:rPr>
                <w:sz w:val="22"/>
                <w:szCs w:val="22"/>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2"/>
                <w:szCs w:val="22"/>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Ratio of Nonaccrual Loans to Loans</w:t>
            </w:r>
          </w:p>
        </w:tc>
        <w:tc>
          <w:tcPr>
            <w:tcW w:w="160" w:type="dxa"/>
            <w:vAlign w:val="bottom"/>
          </w:tcPr>
          <w:p>
            <w:pPr>
              <w:spacing w:after="0"/>
              <w:rPr>
                <w:sz w:val="19"/>
                <w:szCs w:val="19"/>
                <w:color w:val="auto"/>
              </w:rPr>
            </w:pP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 xml:space="preserve">0.25 </w:t>
            </w:r>
            <w:r>
              <w:rPr>
                <w:rFonts w:ascii="Arial" w:cs="Arial" w:eastAsia="Arial" w:hAnsi="Arial"/>
                <w:sz w:val="18"/>
                <w:szCs w:val="18"/>
                <w:color w:val="auto"/>
                <w:highlight w:val="white"/>
              </w:rPr>
              <w:t>%</w:t>
            </w:r>
          </w:p>
        </w:tc>
        <w:tc>
          <w:tcPr>
            <w:tcW w:w="140" w:type="dxa"/>
            <w:vAlign w:val="bottom"/>
          </w:tcPr>
          <w:p>
            <w:pPr>
              <w:spacing w:after="0"/>
              <w:rPr>
                <w:sz w:val="19"/>
                <w:szCs w:val="19"/>
                <w:color w:val="auto"/>
              </w:rPr>
            </w:pP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0.26 </w:t>
            </w:r>
            <w:r>
              <w:rPr>
                <w:rFonts w:ascii="Arial" w:cs="Arial" w:eastAsia="Arial" w:hAnsi="Arial"/>
                <w:sz w:val="18"/>
                <w:szCs w:val="18"/>
                <w:color w:val="auto"/>
                <w:highlight w:val="white"/>
              </w:rPr>
              <w:t>%</w:t>
            </w:r>
          </w:p>
        </w:tc>
        <w:tc>
          <w:tcPr>
            <w:tcW w:w="16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xml:space="preserve">0.48 </w:t>
            </w:r>
            <w:r>
              <w:rPr>
                <w:rFonts w:ascii="Arial" w:cs="Arial" w:eastAsia="Arial" w:hAnsi="Arial"/>
                <w:sz w:val="18"/>
                <w:szCs w:val="18"/>
                <w:color w:val="auto"/>
                <w:highlight w:val="white"/>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Ratio of the Allowance for Loan Losses</w:t>
            </w:r>
          </w:p>
        </w:tc>
        <w:tc>
          <w:tcPr>
            <w:tcW w:w="160" w:type="dxa"/>
            <w:vAlign w:val="bottom"/>
            <w:shd w:val="clear" w:color="auto" w:fill="CFF0FC"/>
          </w:tcPr>
          <w:p>
            <w:pPr>
              <w:spacing w:after="0"/>
              <w:rPr>
                <w:sz w:val="17"/>
                <w:szCs w:val="17"/>
                <w:color w:val="auto"/>
              </w:rPr>
            </w:pPr>
          </w:p>
        </w:tc>
        <w:tc>
          <w:tcPr>
            <w:tcW w:w="204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0.99 %</w:t>
            </w:r>
          </w:p>
        </w:tc>
        <w:tc>
          <w:tcPr>
            <w:tcW w:w="140" w:type="dxa"/>
            <w:vAlign w:val="bottom"/>
            <w:shd w:val="clear" w:color="auto" w:fill="CFF0FC"/>
          </w:tcPr>
          <w:p>
            <w:pPr>
              <w:spacing w:after="0"/>
              <w:rPr>
                <w:sz w:val="17"/>
                <w:szCs w:val="17"/>
                <w:color w:val="auto"/>
              </w:rPr>
            </w:pPr>
          </w:p>
        </w:tc>
        <w:tc>
          <w:tcPr>
            <w:tcW w:w="204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0.91 %</w:t>
            </w:r>
          </w:p>
        </w:tc>
        <w:tc>
          <w:tcPr>
            <w:tcW w:w="160" w:type="dxa"/>
            <w:vAlign w:val="bottom"/>
            <w:shd w:val="clear" w:color="auto" w:fill="CFF0FC"/>
          </w:tcPr>
          <w:p>
            <w:pPr>
              <w:spacing w:after="0"/>
              <w:rPr>
                <w:sz w:val="17"/>
                <w:szCs w:val="17"/>
                <w:color w:val="auto"/>
              </w:rPr>
            </w:pPr>
          </w:p>
        </w:tc>
        <w:tc>
          <w:tcPr>
            <w:tcW w:w="19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to Loans</w:t>
            </w:r>
          </w:p>
        </w:tc>
        <w:tc>
          <w:tcPr>
            <w:tcW w:w="160" w:type="dxa"/>
            <w:vAlign w:val="bottom"/>
            <w:shd w:val="clear" w:color="auto" w:fill="CFF0FC"/>
          </w:tcPr>
          <w:p>
            <w:pPr>
              <w:spacing w:after="0"/>
              <w:rPr>
                <w:sz w:val="19"/>
                <w:szCs w:val="19"/>
                <w:color w:val="auto"/>
              </w:rPr>
            </w:pPr>
          </w:p>
        </w:tc>
        <w:tc>
          <w:tcPr>
            <w:tcW w:w="2040" w:type="dxa"/>
            <w:vAlign w:val="bottom"/>
            <w:gridSpan w:val="3"/>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40" w:type="dxa"/>
            <w:vAlign w:val="bottom"/>
            <w:gridSpan w:val="3"/>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60" w:type="dxa"/>
            <w:vAlign w:val="bottom"/>
            <w:gridSpan w:val="2"/>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ind w:left="20"/>
              <w:spacing w:after="0" w:line="195" w:lineRule="exact"/>
              <w:rPr>
                <w:sz w:val="20"/>
                <w:szCs w:val="20"/>
                <w:color w:val="auto"/>
              </w:rPr>
            </w:pPr>
            <w:r>
              <w:rPr>
                <w:rFonts w:ascii="Arial" w:cs="Arial" w:eastAsia="Arial" w:hAnsi="Arial"/>
                <w:sz w:val="18"/>
                <w:szCs w:val="18"/>
                <w:color w:val="auto"/>
              </w:rPr>
              <w:t>Ratio of the Allowance for Loan Losses to</w:t>
            </w:r>
          </w:p>
        </w:tc>
        <w:tc>
          <w:tcPr>
            <w:tcW w:w="160" w:type="dxa"/>
            <w:vAlign w:val="bottom"/>
          </w:tcPr>
          <w:p>
            <w:pPr>
              <w:spacing w:after="0"/>
              <w:rPr>
                <w:sz w:val="17"/>
                <w:szCs w:val="17"/>
                <w:color w:val="auto"/>
              </w:rPr>
            </w:pPr>
          </w:p>
        </w:tc>
        <w:tc>
          <w:tcPr>
            <w:tcW w:w="20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395.71 %</w:t>
            </w:r>
          </w:p>
        </w:tc>
        <w:tc>
          <w:tcPr>
            <w:tcW w:w="140" w:type="dxa"/>
            <w:vAlign w:val="bottom"/>
          </w:tcPr>
          <w:p>
            <w:pPr>
              <w:spacing w:after="0"/>
              <w:rPr>
                <w:sz w:val="17"/>
                <w:szCs w:val="17"/>
                <w:color w:val="auto"/>
              </w:rPr>
            </w:pPr>
          </w:p>
        </w:tc>
        <w:tc>
          <w:tcPr>
            <w:tcW w:w="20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351.44 %</w:t>
            </w:r>
          </w:p>
        </w:tc>
        <w:tc>
          <w:tcPr>
            <w:tcW w:w="160" w:type="dxa"/>
            <w:vAlign w:val="bottom"/>
          </w:tcPr>
          <w:p>
            <w:pPr>
              <w:spacing w:after="0"/>
              <w:rPr>
                <w:sz w:val="17"/>
                <w:szCs w:val="17"/>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214.58 %</w:t>
            </w:r>
          </w:p>
        </w:tc>
        <w:tc>
          <w:tcPr>
            <w:tcW w:w="0" w:type="dxa"/>
            <w:vAlign w:val="bottom"/>
          </w:tcPr>
          <w:p>
            <w:pPr>
              <w:spacing w:after="0"/>
              <w:rPr>
                <w:sz w:val="1"/>
                <w:szCs w:val="1"/>
                <w:color w:val="auto"/>
              </w:rPr>
            </w:pPr>
          </w:p>
        </w:tc>
      </w:tr>
      <w:tr>
        <w:trPr>
          <w:trHeight w:val="203"/>
        </w:trPr>
        <w:tc>
          <w:tcPr>
            <w:tcW w:w="4740" w:type="dxa"/>
            <w:vAlign w:val="bottom"/>
          </w:tcPr>
          <w:p>
            <w:pPr>
              <w:ind w:left="160"/>
              <w:spacing w:after="0" w:line="203" w:lineRule="exact"/>
              <w:rPr>
                <w:sz w:val="20"/>
                <w:szCs w:val="20"/>
                <w:color w:val="auto"/>
              </w:rPr>
            </w:pPr>
            <w:r>
              <w:rPr>
                <w:rFonts w:ascii="Arial" w:cs="Arial" w:eastAsia="Arial" w:hAnsi="Arial"/>
                <w:sz w:val="18"/>
                <w:szCs w:val="18"/>
                <w:color w:val="auto"/>
              </w:rPr>
              <w:t>Nonaccrual Loans</w:t>
            </w:r>
          </w:p>
        </w:tc>
        <w:tc>
          <w:tcPr>
            <w:tcW w:w="16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Ratio of the Allowance for Loan Losses to</w:t>
            </w:r>
          </w:p>
        </w:tc>
        <w:tc>
          <w:tcPr>
            <w:tcW w:w="160" w:type="dxa"/>
            <w:vAlign w:val="bottom"/>
            <w:shd w:val="clear" w:color="auto" w:fill="CFF0FC"/>
          </w:tcPr>
          <w:p>
            <w:pPr>
              <w:spacing w:after="0"/>
              <w:rPr>
                <w:sz w:val="17"/>
                <w:szCs w:val="17"/>
                <w:color w:val="auto"/>
              </w:rPr>
            </w:pPr>
          </w:p>
        </w:tc>
        <w:tc>
          <w:tcPr>
            <w:tcW w:w="204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395.71 %</w:t>
            </w:r>
          </w:p>
        </w:tc>
        <w:tc>
          <w:tcPr>
            <w:tcW w:w="140" w:type="dxa"/>
            <w:vAlign w:val="bottom"/>
            <w:shd w:val="clear" w:color="auto" w:fill="CFF0FC"/>
          </w:tcPr>
          <w:p>
            <w:pPr>
              <w:spacing w:after="0"/>
              <w:rPr>
                <w:sz w:val="17"/>
                <w:szCs w:val="17"/>
                <w:color w:val="auto"/>
              </w:rPr>
            </w:pPr>
          </w:p>
        </w:tc>
        <w:tc>
          <w:tcPr>
            <w:tcW w:w="204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351.44 %</w:t>
            </w:r>
          </w:p>
        </w:tc>
        <w:tc>
          <w:tcPr>
            <w:tcW w:w="160" w:type="dxa"/>
            <w:vAlign w:val="bottom"/>
            <w:shd w:val="clear" w:color="auto" w:fill="CFF0FC"/>
          </w:tcPr>
          <w:p>
            <w:pPr>
              <w:spacing w:after="0"/>
              <w:rPr>
                <w:sz w:val="17"/>
                <w:szCs w:val="17"/>
                <w:color w:val="auto"/>
              </w:rPr>
            </w:pPr>
          </w:p>
        </w:tc>
        <w:tc>
          <w:tcPr>
            <w:tcW w:w="19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214.58 %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Nonperforming Loans*</w:t>
            </w:r>
          </w:p>
        </w:tc>
        <w:tc>
          <w:tcPr>
            <w:tcW w:w="160" w:type="dxa"/>
            <w:vAlign w:val="bottom"/>
            <w:shd w:val="clear" w:color="auto" w:fill="CFF0FC"/>
          </w:tcPr>
          <w:p>
            <w:pPr>
              <w:spacing w:after="0"/>
              <w:rPr>
                <w:sz w:val="21"/>
                <w:szCs w:val="21"/>
                <w:color w:val="auto"/>
              </w:rPr>
            </w:pPr>
          </w:p>
        </w:tc>
        <w:tc>
          <w:tcPr>
            <w:tcW w:w="2040" w:type="dxa"/>
            <w:vAlign w:val="bottom"/>
            <w:gridSpan w:val="3"/>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40" w:type="dxa"/>
            <w:vAlign w:val="bottom"/>
            <w:gridSpan w:val="3"/>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gridSpan w:val="2"/>
            <w:vMerge w:val="continue"/>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7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-7225665</wp:posOffset>
            </wp:positionV>
            <wp:extent cx="2931795" cy="2057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931795" cy="20574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-6865620</wp:posOffset>
            </wp:positionV>
            <wp:extent cx="2931795" cy="2057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931795" cy="20574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-4954270</wp:posOffset>
            </wp:positionV>
            <wp:extent cx="85725" cy="16319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-4954270</wp:posOffset>
            </wp:positionV>
            <wp:extent cx="85725" cy="16319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-4954270</wp:posOffset>
            </wp:positionV>
            <wp:extent cx="85725" cy="16319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-3702685</wp:posOffset>
            </wp:positionV>
            <wp:extent cx="85725" cy="16319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-3702685</wp:posOffset>
            </wp:positionV>
            <wp:extent cx="85725" cy="16319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-3702685</wp:posOffset>
            </wp:positionV>
            <wp:extent cx="85725" cy="16319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-2296795</wp:posOffset>
            </wp:positionV>
            <wp:extent cx="85725" cy="16256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-2296795</wp:posOffset>
            </wp:positionV>
            <wp:extent cx="85725" cy="1625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-2296795</wp:posOffset>
            </wp:positionV>
            <wp:extent cx="85725" cy="16256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-1851025</wp:posOffset>
            </wp:positionV>
            <wp:extent cx="85725" cy="18859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-1851025</wp:posOffset>
            </wp:positionV>
            <wp:extent cx="85725" cy="18859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-1851025</wp:posOffset>
            </wp:positionV>
            <wp:extent cx="85725" cy="18859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-1508125</wp:posOffset>
            </wp:positionV>
            <wp:extent cx="857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-1508125</wp:posOffset>
            </wp:positionV>
            <wp:extent cx="8572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-1508125</wp:posOffset>
            </wp:positionV>
            <wp:extent cx="8572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-1036955</wp:posOffset>
            </wp:positionV>
            <wp:extent cx="2931795" cy="3175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931795" cy="3175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-453390</wp:posOffset>
            </wp:positionV>
            <wp:extent cx="8572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-436245</wp:posOffset>
            </wp:positionV>
            <wp:extent cx="857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-453390</wp:posOffset>
            </wp:positionV>
            <wp:extent cx="8572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-436245</wp:posOffset>
            </wp:positionV>
            <wp:extent cx="8572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-453390</wp:posOffset>
            </wp:positionV>
            <wp:extent cx="8572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-436245</wp:posOffset>
            </wp:positionV>
            <wp:extent cx="8572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70" w:name="page71"/>
    <w:bookmarkEnd w:id="70"/>
    <w:p>
      <w:pPr>
        <w:jc w:val="both"/>
        <w:ind w:left="180"/>
        <w:spacing w:after="0" w:line="289"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39" w:lineRule="exact"/>
        <w:rPr>
          <w:sz w:val="20"/>
          <w:szCs w:val="20"/>
          <w:color w:val="auto"/>
        </w:rPr>
      </w:pPr>
    </w:p>
    <w:p>
      <w:pPr>
        <w:jc w:val="both"/>
        <w:ind w:left="180"/>
        <w:spacing w:after="0" w:line="308" w:lineRule="auto"/>
        <w:rPr>
          <w:sz w:val="20"/>
          <w:szCs w:val="20"/>
          <w:color w:val="auto"/>
        </w:rPr>
      </w:pPr>
      <w:r>
        <w:rPr>
          <w:rFonts w:ascii="Arial" w:cs="Arial" w:eastAsia="Arial" w:hAnsi="Arial"/>
          <w:sz w:val="17"/>
          <w:szCs w:val="17"/>
          <w:color w:val="auto"/>
        </w:rPr>
        <w:t>Loans classified as nonaccrual were lower as of June 30, 2023 at $4.7 million as compared to $5.2 million as of June 30, 2022. The agricultural portfolio decreased $1.1 million as compared to June 30, 2022. This decrease offset the increases in the other portfolios.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balances for allowance for credit losses by loan type at June 30, 2023 and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(In Thousands)</w:t>
            </w:r>
          </w:p>
        </w:tc>
        <w:tc>
          <w:tcPr>
            <w:tcW w:w="1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(In Thousands)</w:t>
            </w: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June 30, 2023</w:t>
            </w:r>
          </w:p>
        </w:tc>
        <w:tc>
          <w:tcPr>
            <w:tcW w:w="1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June 30, 2022</w:t>
            </w: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 of Loan</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 of Loan</w:t>
            </w:r>
          </w:p>
        </w:tc>
      </w:tr>
      <w:tr>
        <w:trPr>
          <w:trHeight w:val="244"/>
        </w:trPr>
        <w:tc>
          <w:tcPr>
            <w:tcW w:w="4040" w:type="dxa"/>
            <w:vAlign w:val="bottom"/>
          </w:tcPr>
          <w:p>
            <w:pPr>
              <w:spacing w:after="0"/>
              <w:rPr>
                <w:sz w:val="20"/>
                <w:szCs w:val="20"/>
                <w:color w:val="auto"/>
              </w:rPr>
            </w:pPr>
            <w:r>
              <w:rPr>
                <w:rFonts w:ascii="Arial" w:cs="Arial" w:eastAsia="Arial" w:hAnsi="Arial"/>
                <w:sz w:val="18"/>
                <w:szCs w:val="18"/>
                <w:color w:val="auto"/>
              </w:rPr>
              <w:t>Balance at End of Period Applicable To:</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6"/>
              </w:rPr>
              <w:t>Amount</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Category</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6"/>
              </w:rPr>
              <w:t>Amount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Category</w:t>
            </w:r>
          </w:p>
        </w:tc>
        <w:tc>
          <w:tcPr>
            <w:tcW w:w="40" w:type="dxa"/>
            <w:vAlign w:val="bottom"/>
          </w:tcPr>
          <w:p>
            <w:pPr>
              <w:spacing w:after="0"/>
              <w:rPr>
                <w:sz w:val="21"/>
                <w:szCs w:val="2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3,998</w:t>
            </w:r>
          </w:p>
        </w:tc>
        <w:tc>
          <w:tcPr>
            <w:tcW w:w="1520" w:type="dxa"/>
            <w:vAlign w:val="bottom"/>
          </w:tcPr>
          <w:p>
            <w:pPr>
              <w:jc w:val="right"/>
              <w:spacing w:after="0"/>
              <w:rPr>
                <w:sz w:val="20"/>
                <w:szCs w:val="20"/>
                <w:color w:val="auto"/>
              </w:rPr>
            </w:pPr>
            <w:r>
              <w:rPr>
                <w:rFonts w:ascii="Arial" w:cs="Arial" w:eastAsia="Arial" w:hAnsi="Arial"/>
                <w:sz w:val="18"/>
                <w:szCs w:val="18"/>
                <w:color w:val="auto"/>
              </w:rPr>
              <w:t>16.05 %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939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20.17 %</w:t>
            </w:r>
          </w:p>
        </w:tc>
      </w:tr>
      <w:tr>
        <w:trPr>
          <w:trHeight w:val="242"/>
        </w:trPr>
        <w:tc>
          <w:tcPr>
            <w:tcW w:w="416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237</w:t>
            </w:r>
          </w:p>
        </w:tc>
        <w:tc>
          <w:tcPr>
            <w:tcW w:w="1520" w:type="dxa"/>
            <w:vAlign w:val="bottom"/>
          </w:tcPr>
          <w:p>
            <w:pPr>
              <w:jc w:val="right"/>
              <w:spacing w:after="0"/>
              <w:rPr>
                <w:sz w:val="20"/>
                <w:szCs w:val="20"/>
                <w:color w:val="auto"/>
              </w:rPr>
            </w:pPr>
            <w:r>
              <w:rPr>
                <w:rFonts w:ascii="Arial" w:cs="Arial" w:eastAsia="Arial" w:hAnsi="Arial"/>
                <w:sz w:val="18"/>
                <w:szCs w:val="18"/>
                <w:color w:val="auto"/>
              </w:rPr>
              <w:t>0.95 %</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9.81 %</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520" w:type="dxa"/>
            <w:vAlign w:val="bottom"/>
          </w:tcPr>
          <w:p>
            <w:pPr>
              <w:jc w:val="right"/>
              <w:spacing w:after="0"/>
              <w:rPr>
                <w:sz w:val="20"/>
                <w:szCs w:val="20"/>
                <w:color w:val="auto"/>
              </w:rPr>
            </w:pPr>
            <w:r>
              <w:rPr>
                <w:rFonts w:ascii="Arial" w:cs="Arial" w:eastAsia="Arial" w:hAnsi="Arial"/>
                <w:sz w:val="18"/>
                <w:szCs w:val="18"/>
                <w:color w:val="auto"/>
              </w:rPr>
              <w:t>0.43 %</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754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6.26 %</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16,681</w:t>
            </w:r>
          </w:p>
        </w:tc>
        <w:tc>
          <w:tcPr>
            <w:tcW w:w="1520" w:type="dxa"/>
            <w:vAlign w:val="bottom"/>
          </w:tcPr>
          <w:p>
            <w:pPr>
              <w:jc w:val="right"/>
              <w:spacing w:after="0"/>
              <w:rPr>
                <w:sz w:val="20"/>
                <w:szCs w:val="20"/>
                <w:color w:val="auto"/>
              </w:rPr>
            </w:pPr>
            <w:r>
              <w:rPr>
                <w:rFonts w:ascii="Arial" w:cs="Arial" w:eastAsia="Arial" w:hAnsi="Arial"/>
                <w:sz w:val="18"/>
                <w:szCs w:val="18"/>
                <w:color w:val="auto"/>
              </w:rPr>
              <w:t>66.96 %</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10,427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48.04 %</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2,767</w:t>
            </w:r>
          </w:p>
        </w:tc>
        <w:tc>
          <w:tcPr>
            <w:tcW w:w="1520" w:type="dxa"/>
            <w:vAlign w:val="bottom"/>
          </w:tcPr>
          <w:p>
            <w:pPr>
              <w:jc w:val="right"/>
              <w:spacing w:after="0"/>
              <w:rPr>
                <w:sz w:val="20"/>
                <w:szCs w:val="20"/>
                <w:color w:val="auto"/>
              </w:rPr>
            </w:pPr>
            <w:r>
              <w:rPr>
                <w:rFonts w:ascii="Arial" w:cs="Arial" w:eastAsia="Arial" w:hAnsi="Arial"/>
                <w:sz w:val="18"/>
                <w:szCs w:val="18"/>
                <w:color w:val="auto"/>
              </w:rPr>
              <w:t>11.11 %</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5,365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12.99 %</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1,120</w:t>
            </w:r>
          </w:p>
        </w:tc>
        <w:tc>
          <w:tcPr>
            <w:tcW w:w="152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567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2.73 %</w:t>
            </w: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0.00 %</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24,910</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18,424</w:t>
            </w: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41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Off Balance Sheet Commitments</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2,099</w:t>
            </w:r>
          </w:p>
        </w:tc>
        <w:tc>
          <w:tcPr>
            <w:tcW w:w="1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1,167</w:t>
            </w:r>
          </w:p>
        </w:tc>
        <w:tc>
          <w:tcPr>
            <w:tcW w:w="15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27,009</w:t>
            </w:r>
          </w:p>
        </w:tc>
        <w:tc>
          <w:tcPr>
            <w:tcW w:w="15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19,591</w:t>
            </w: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-1584960</wp:posOffset>
            </wp:positionV>
            <wp:extent cx="6412230" cy="154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-1276350</wp:posOffset>
            </wp:positionV>
            <wp:extent cx="6412230" cy="154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-967740</wp:posOffset>
            </wp:positionV>
            <wp:extent cx="6412230" cy="15430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-659765</wp:posOffset>
            </wp:positionV>
            <wp:extent cx="6412230" cy="3175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412230" cy="31750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-187960</wp:posOffset>
            </wp:positionV>
            <wp:extent cx="85725" cy="18859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85725" cy="18859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ind w:left="180"/>
        <w:spacing w:after="0" w:line="288" w:lineRule="auto"/>
        <w:rPr>
          <w:sz w:val="20"/>
          <w:szCs w:val="20"/>
          <w:color w:val="auto"/>
        </w:rPr>
      </w:pPr>
      <w:r>
        <w:rPr>
          <w:rFonts w:ascii="Arial" w:cs="Arial" w:eastAsia="Arial" w:hAnsi="Arial"/>
          <w:sz w:val="16"/>
          <w:szCs w:val="16"/>
          <w:color w:val="auto"/>
        </w:rPr>
        <w:t>Noninterest income was up $952 thousand for the three months ended June 30, 2023 over the same time frame in 2022. Combined service fees increased by $1.0 million as compared to the three months ended June 30, 2022. Servicing rights income for 1-4 family and agricultural real estate loans increased $665 thousand as the valuation of the agricultural real estate servicing rights was refined by $712 thousand due to the previously described change in the accounting estimate. During the second quarter of 2023 the independent third party engaged by the Bank refined the analysis of the agricultural real estate servicing rights. It was determined that the servicing rights asset was undervalued by $712 thousand as of December 31, 2022 related to agricultural real estate servicing rights. This change in estimate was recognized during the quarter ended June 30, 2023, and had no effect on prior periods. Going forward, the third party valuation firm will complete the valuation quarterly to determine if any impairment needs to be recognized. Debit card income increased by $106 thousand and bank owned life insurance cash surrender value increased $41 thousand. Also contributing to the increase was overdraft and returned check charges which increased $78 thousand compared to the three months ended June 30, 2022. Fee income from credit cards decreased by $22 thousand as compared to 2022.</w:t>
      </w:r>
    </w:p>
    <w:p>
      <w:pPr>
        <w:spacing w:after="0" w:line="141"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The Company has seen a decrease in its mortgage production volume due to the heightened borrowing costs and continued lack of housing inventory in many of our markets. The gain on the sale of these loans was $56 thousand lower for the three months ended June 30, 2023 over the same period in 2022. Loan originations on loans held for sale for the three months ended June 30, 2023 were $8.4 million with proceeds from sale at $8.0 million for 2023 compared to 2022’s activity of $20.9 million in originations and $22.9 million in sales. The mortgages sold were both 1-4 family and agricultural real estate loans originated for sale.</w:t>
      </w:r>
    </w:p>
    <w:p>
      <w:pPr>
        <w:spacing w:after="0" w:line="200" w:lineRule="exact"/>
        <w:rPr>
          <w:sz w:val="20"/>
          <w:szCs w:val="20"/>
          <w:color w:val="auto"/>
        </w:rPr>
      </w:pPr>
    </w:p>
    <w:p>
      <w:pPr>
        <w:spacing w:after="0" w:line="2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17" w:right="339" w:bottom="1440" w:gutter="0" w:footer="0" w:header="0"/>
        </w:sectPr>
      </w:pPr>
    </w:p>
    <w:bookmarkStart w:id="71" w:name="page72"/>
    <w:bookmarkEnd w:id="71"/>
    <w:p>
      <w:pPr>
        <w:jc w:val="both"/>
        <w:spacing w:after="0" w:line="270" w:lineRule="auto"/>
        <w:rPr>
          <w:sz w:val="20"/>
          <w:szCs w:val="20"/>
          <w:color w:val="auto"/>
        </w:rPr>
      </w:pPr>
      <w:r>
        <w:rPr>
          <w:rFonts w:ascii="Arial" w:cs="Arial" w:eastAsia="Arial" w:hAnsi="Arial"/>
          <w:sz w:val="17"/>
          <w:szCs w:val="17"/>
          <w:color w:val="auto"/>
        </w:rPr>
        <w:t>The impact of servicing rights, both to income and expense, is shown in the following table which reconciles the value of servicing rights. The capitalization runs through noninterest income while the amortization thereof is included in noninterest expense. For the six months ended June 30, 2023 and 2022, servicing rights caused a net $2.1 million in income and $44 thousand in income, respectively. The higher capitalized additions for 2023 are attributed to $2.2 million of rights related to agricultural loans. Amortization of agricultural rights was $74 thousand for the first half of 2023. For loans of 15 years and less, the market value of the servicing rights was 1.043% in the second quarter 2023 versus 0.97% in second quarter 2022. For loans over 15 years, the value was 1.464% versus 1.099% for the same periods respectively. A valuation allowance of $414 thousand was established during 2021. During the first quarter of 2022, $134 thousand of the valuation allowance was reversed with an additional $91 thousand of the valuation reversed during second quarter 2022. At June 30, 2023, the carrying value of two strata were slightly below the market value requiring a $2 thousand valuation allowance to be established.</w:t>
      </w: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8"/>
                <w:szCs w:val="18"/>
                <w:color w:val="auto"/>
              </w:rPr>
              <w:t>Three Months</w:t>
            </w:r>
          </w:p>
        </w:tc>
        <w:tc>
          <w:tcPr>
            <w:tcW w:w="2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Six Months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3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1"/>
                <w:szCs w:val="21"/>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color w:val="auto"/>
              </w:rPr>
              <w:t>(In Thousands)</w:t>
            </w:r>
          </w:p>
        </w:tc>
      </w:tr>
      <w:tr>
        <w:trPr>
          <w:trHeight w:val="237"/>
        </w:trPr>
        <w:tc>
          <w:tcPr>
            <w:tcW w:w="38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20"/>
                <w:szCs w:val="20"/>
                <w:color w:val="auto"/>
              </w:rPr>
            </w:pP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FF0FC"/>
          </w:tcPr>
          <w:p>
            <w:pPr>
              <w:spacing w:after="0"/>
              <w:rPr>
                <w:sz w:val="21"/>
                <w:szCs w:val="21"/>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Capitalized Additions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(321 )</w:t>
            </w:r>
          </w:p>
        </w:tc>
        <w:tc>
          <w:tcPr>
            <w:tcW w:w="3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(310 )</w:t>
            </w:r>
          </w:p>
        </w:tc>
      </w:tr>
      <w:tr>
        <w:trPr>
          <w:trHeight w:val="237"/>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 June 30,</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Borders>
              <w:top w:val="single" w:sz="8" w:color="CFF0FC"/>
            </w:tcBorders>
          </w:tcPr>
          <w:p>
            <w:pPr>
              <w:spacing w:after="0"/>
              <w:rPr>
                <w:sz w:val="20"/>
                <w:szCs w:val="20"/>
                <w:color w:val="auto"/>
              </w:rPr>
            </w:pPr>
          </w:p>
        </w:tc>
      </w:tr>
      <w:tr>
        <w:trPr>
          <w:trHeight w:val="24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(189 )</w:t>
            </w:r>
          </w:p>
        </w:tc>
      </w:tr>
      <w:tr>
        <w:trPr>
          <w:trHeight w:val="243"/>
        </w:trPr>
        <w:tc>
          <w:tcPr>
            <w:tcW w:w="3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Servicing Rights net, June 30,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26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26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28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Borders>
              <w:top w:val="single" w:sz="8" w:color="CFF0FC"/>
            </w:tcBorders>
          </w:tcPr>
          <w:p>
            <w:pPr>
              <w:spacing w:after="0"/>
              <w:rPr>
                <w:sz w:val="21"/>
                <w:szCs w:val="21"/>
                <w:color w:val="auto"/>
              </w:rPr>
            </w:pP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-1152525</wp:posOffset>
            </wp:positionV>
            <wp:extent cx="2605405" cy="1968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605405" cy="19685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-505460</wp:posOffset>
            </wp:positionV>
            <wp:extent cx="68580" cy="1631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-505460</wp:posOffset>
            </wp:positionV>
            <wp:extent cx="68580" cy="16319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-505460</wp:posOffset>
            </wp:positionV>
            <wp:extent cx="68580" cy="16319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-505460</wp:posOffset>
            </wp:positionV>
            <wp:extent cx="77470" cy="16319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-187960</wp:posOffset>
            </wp:positionV>
            <wp:extent cx="68580" cy="18859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-187960</wp:posOffset>
            </wp:positionV>
            <wp:extent cx="68580" cy="18859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-187960</wp:posOffset>
            </wp:positionV>
            <wp:extent cx="68580" cy="18859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-187960</wp:posOffset>
            </wp:positionV>
            <wp:extent cx="77470" cy="18859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June 30, 2023, noninterest expenses were $3.6 million higher than for the same period in 2022. Salaries, wages, and employee benefits (includes normal merit increases, restricted stock expense, incentive payout and all employee benefits) increased $1.7 million in total. This was comprised of increased salaries of $1.1 million and increased benefits of $525 thousand of which $224 thousand is related to medical, $150 thousand to pension and $92 thousand for workers comp. The increase was due to the investment in people for our strategic growth initiative and staffing of new offices. The additional cost of the offices is also evident in the increased expenses in net occupancy and furniture and equipment. Advertising and public relations expense increased $530 thousand. This was due, in part, to our new logo launch. Data processing expenses increased $142 thousand. FDIC assessment expense increased $67 thousand.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was $519 thousand lower for the three months ended June 30, 2023 compared to the same period in 2022 based mainly on lower earnings. Effective tax rates were 20.33% and 19.86% for 2023 and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Results overall, net income in the three months ended June 30, 2023 was down $2.3 million as compared to the same period last year. The Company remains strong, stable, and well capitalized and has the capacity to continue to cover the increased costs of expansion.</w:t>
      </w:r>
    </w:p>
    <w:p>
      <w:pPr>
        <w:spacing w:after="0" w:line="115" w:lineRule="exact"/>
        <w:rPr>
          <w:sz w:val="20"/>
          <w:szCs w:val="20"/>
          <w:color w:val="auto"/>
        </w:rPr>
      </w:pPr>
    </w:p>
    <w:p>
      <w:pPr>
        <w:ind w:right="204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Results of Interest Earnings and Expenses for six month periods ended June 30, 2023 and 2022 </w:t>
      </w:r>
      <w:r>
        <w:rPr>
          <w:rFonts w:ascii="Arial" w:cs="Arial" w:eastAsia="Arial" w:hAnsi="Arial"/>
          <w:sz w:val="18"/>
          <w:szCs w:val="18"/>
          <w:b w:val="1"/>
          <w:bCs w:val="1"/>
          <w:color w:val="auto"/>
        </w:rPr>
        <w:t>Interest Income</w:t>
      </w:r>
    </w:p>
    <w:p>
      <w:pPr>
        <w:jc w:val="both"/>
        <w:spacing w:after="0" w:line="293" w:lineRule="auto"/>
        <w:rPr>
          <w:sz w:val="20"/>
          <w:szCs w:val="20"/>
          <w:color w:val="auto"/>
        </w:rPr>
      </w:pPr>
      <w:r>
        <w:rPr>
          <w:rFonts w:ascii="Arial" w:cs="Arial" w:eastAsia="Arial" w:hAnsi="Arial"/>
          <w:sz w:val="16"/>
          <w:szCs w:val="16"/>
          <w:color w:val="auto"/>
        </w:rPr>
        <w:t>When comparing the six months ended June 30, 2023 and June 30, 2022, average loan balances with the acquisitions of PPSF grew $483.5 million. This represented a 24.7% increase in a one-year time period. Interest income on loan balances increased $18.2 million as compared to the six months ended June 30, 2022. This increase was partly the result of the growth in the year over year loan balances, 5.1% of which was directly attributable to the Company’s recent acquisition and 18.5% of which was due to organic loan growth within the Bank’s broader markets. During the current quarter, the Company reversed previously recognized loan interest income from one relationship in the amount of approximately $463 thousand. The Company's loan portfolio is 28.8% variable with 20.7% of total loans repricing within the next year.</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available-for-sale securities portfolio decreased in average balances by $22.6 million when comparing to the same period in 2022 while the income increased $399 thousand over the six months ended June 30, 2022. Federal funds sold and interest-bearing deposits decreased in average balances by $65.2 million as compared to the same six month period ended June 30, 2022 with increased income of $745 thousand for the current period. The decreased balances have been used to fund loan</w:t>
      </w:r>
    </w:p>
    <w:p>
      <w:pPr>
        <w:spacing w:after="0" w:line="7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72" w:name="page73"/>
    <w:bookmarkEnd w:id="72"/>
    <w:p>
      <w:pPr>
        <w:jc w:val="both"/>
        <w:ind w:left="740" w:right="20"/>
        <w:spacing w:after="0" w:line="277" w:lineRule="auto"/>
        <w:rPr>
          <w:sz w:val="20"/>
          <w:szCs w:val="20"/>
          <w:color w:val="auto"/>
        </w:rPr>
      </w:pPr>
      <w:r>
        <w:rPr>
          <w:rFonts w:ascii="Arial" w:cs="Arial" w:eastAsia="Arial" w:hAnsi="Arial"/>
          <w:sz w:val="18"/>
          <w:szCs w:val="18"/>
          <w:color w:val="auto"/>
        </w:rPr>
        <w:t>growth. During the first quarter of 2023, securities of $21.6 million with an annual yield of $274 thousand were swapped at a loss of $891 thousand with securities with an annual yield of $1.6 million. The loss will be recouped in 0.67 years.</w:t>
      </w:r>
    </w:p>
    <w:p>
      <w:pPr>
        <w:spacing w:after="0" w:line="143" w:lineRule="exact"/>
        <w:rPr>
          <w:sz w:val="20"/>
          <w:szCs w:val="20"/>
          <w:color w:val="auto"/>
        </w:rPr>
      </w:pPr>
    </w:p>
    <w:p>
      <w:pPr>
        <w:jc w:val="both"/>
        <w:ind w:left="740" w:right="20"/>
        <w:spacing w:after="0" w:line="301" w:lineRule="auto"/>
        <w:rPr>
          <w:sz w:val="20"/>
          <w:szCs w:val="20"/>
          <w:color w:val="auto"/>
        </w:rPr>
      </w:pPr>
      <w:r>
        <w:rPr>
          <w:rFonts w:ascii="Arial" w:cs="Arial" w:eastAsia="Arial" w:hAnsi="Arial"/>
          <w:sz w:val="16"/>
          <w:szCs w:val="16"/>
          <w:color w:val="auto"/>
        </w:rPr>
        <w:t>The overall total average balance of the Bank’s earning assets increased by $395.7 million and interest income for the period comparisons was higher for the six months ended June 30, 2023 by 42.3% or $19.4 million as compared to the six month period ended June 30, 2022. Increases in the prime lending rate between periods has contributed to approximately 46% of the growth. Acquisition balances also contributed to the increase in comparison. Refer to Note 2 Business Combination and Asset Purchase for information on assets acquired from PPSF.</w:t>
      </w:r>
    </w:p>
    <w:p>
      <w:pPr>
        <w:spacing w:after="0" w:line="117" w:lineRule="exact"/>
        <w:rPr>
          <w:sz w:val="20"/>
          <w:szCs w:val="20"/>
          <w:color w:val="auto"/>
        </w:rPr>
      </w:pPr>
    </w:p>
    <w:p>
      <w:pPr>
        <w:jc w:val="both"/>
        <w:ind w:left="740" w:right="20"/>
        <w:spacing w:after="0" w:line="275" w:lineRule="auto"/>
        <w:rPr>
          <w:sz w:val="20"/>
          <w:szCs w:val="20"/>
          <w:color w:val="auto"/>
        </w:rPr>
      </w:pPr>
      <w:r>
        <w:rPr>
          <w:rFonts w:ascii="Arial" w:cs="Arial" w:eastAsia="Arial" w:hAnsi="Arial"/>
          <w:sz w:val="17"/>
          <w:szCs w:val="17"/>
          <w:color w:val="auto"/>
        </w:rPr>
        <w:t>Annualized yield, for the six months ended June 30, 2023, was 4.47% as compared to 3.63% for the comparable period ended June 30, 2022. The following charts demonstrate the increased loan balances accounted for 58.2% of the increased loan interest income while rate increases accounted for the remaining 41.8%. The yields on tax-exempt securities and the portion of the tax-exempt IDB loans included in loans have been tax adjusted based on a 21% tax rate in the charts to follow. The tax-exempt interest income was $292 and $278 thousand for the six months ended June 2023 and 2022 which resulted in a federal tax savings of $61 and $60 thousand, respectively.</w:t>
      </w:r>
    </w:p>
    <w:p>
      <w:pPr>
        <w:sectPr>
          <w:pgSz w:w="11900" w:h="16838" w:orient="portrait"/>
          <w:cols w:equalWidth="0" w:num="1">
            <w:col w:w="11240"/>
          </w:cols>
          <w:pgMar w:left="340" w:top="5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Interest Earning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Taxable investment securities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Tax-exempt investment securities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Fed funds sold &amp; other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Interest Earning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Taxable investment securities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Tax-exempt investment securities</w:t>
      </w:r>
    </w:p>
    <w:p>
      <w:pPr>
        <w:spacing w:after="0" w:line="73" w:lineRule="exact"/>
        <w:rPr>
          <w:sz w:val="20"/>
          <w:szCs w:val="20"/>
          <w:color w:val="auto"/>
        </w:rPr>
      </w:pPr>
    </w:p>
    <w:p>
      <w:pPr>
        <w:ind w:right="340"/>
        <w:spacing w:after="0" w:line="430" w:lineRule="auto"/>
        <w:rPr>
          <w:sz w:val="20"/>
          <w:szCs w:val="20"/>
          <w:color w:val="auto"/>
        </w:rPr>
      </w:pPr>
      <w:r>
        <w:rPr>
          <w:rFonts w:ascii="Arial" w:cs="Arial" w:eastAsia="Arial" w:hAnsi="Arial"/>
          <w:sz w:val="16"/>
          <w:szCs w:val="16"/>
          <w:color w:val="auto"/>
        </w:rPr>
        <w:t>Fed funds sold &amp; other Total Interest Earning Assets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37"/>
        </w:trPr>
        <w:tc>
          <w:tcPr>
            <w:tcW w:w="2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13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220" w:type="dxa"/>
            <w:vAlign w:val="bottom"/>
          </w:tcPr>
          <w:p>
            <w:pPr>
              <w:spacing w:after="0"/>
              <w:rPr>
                <w:sz w:val="20"/>
                <w:szCs w:val="20"/>
                <w:color w:val="auto"/>
              </w:rPr>
            </w:pPr>
          </w:p>
        </w:tc>
        <w:tc>
          <w:tcPr>
            <w:tcW w:w="3720" w:type="dxa"/>
            <w:vAlign w:val="bottom"/>
            <w:gridSpan w:val="5"/>
          </w:tcPr>
          <w:p>
            <w:pPr>
              <w:jc w:val="right"/>
              <w:ind w:right="650"/>
              <w:spacing w:after="0"/>
              <w:rPr>
                <w:sz w:val="20"/>
                <w:szCs w:val="20"/>
                <w:color w:val="auto"/>
              </w:rPr>
            </w:pPr>
            <w:r>
              <w:rPr>
                <w:rFonts w:ascii="Arial" w:cs="Arial" w:eastAsia="Arial" w:hAnsi="Arial"/>
                <w:sz w:val="18"/>
                <w:szCs w:val="18"/>
                <w:color w:val="auto"/>
              </w:rPr>
              <w:t>Year to Date Ended June 30,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5"/>
          </w:tcPr>
          <w:p>
            <w:pPr>
              <w:jc w:val="right"/>
              <w:ind w:right="930"/>
              <w:spacing w:after="0"/>
              <w:rPr>
                <w:sz w:val="20"/>
                <w:szCs w:val="20"/>
                <w:color w:val="auto"/>
              </w:rPr>
            </w:pPr>
            <w:r>
              <w:rPr>
                <w:rFonts w:ascii="Arial" w:cs="Arial" w:eastAsia="Arial" w:hAnsi="Arial"/>
                <w:sz w:val="18"/>
                <w:szCs w:val="18"/>
                <w:color w:val="auto"/>
              </w:rPr>
              <w:t>Annualized Yield/Rate</w:t>
            </w:r>
          </w:p>
        </w:tc>
      </w:tr>
      <w:tr>
        <w:trPr>
          <w:trHeight w:val="236"/>
        </w:trPr>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4"/>
              </w:rPr>
              <w:t>Average Balance</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5"/>
              </w:rPr>
              <w:t>Interest/Dividends</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June 30, 2023</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20"/>
                <w:szCs w:val="20"/>
                <w:color w:val="auto"/>
              </w:rPr>
            </w:pPr>
          </w:p>
        </w:tc>
      </w:tr>
      <w:tr>
        <w:trPr>
          <w:trHeight w:val="230"/>
        </w:trPr>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2,437,148</w:t>
            </w:r>
          </w:p>
        </w:tc>
        <w:tc>
          <w:tcPr>
            <w:tcW w:w="140" w:type="dxa"/>
            <w:vAlign w:val="bottom"/>
          </w:tcPr>
          <w:p>
            <w:pPr>
              <w:spacing w:after="0"/>
              <w:rPr>
                <w:sz w:val="20"/>
                <w:szCs w:val="20"/>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61,068</w:t>
            </w:r>
          </w:p>
        </w:tc>
        <w:tc>
          <w:tcPr>
            <w:tcW w:w="140" w:type="dxa"/>
            <w:vAlign w:val="bottom"/>
          </w:tcPr>
          <w:p>
            <w:pPr>
              <w:spacing w:after="0"/>
              <w:rPr>
                <w:sz w:val="20"/>
                <w:szCs w:val="20"/>
                <w:color w:val="auto"/>
              </w:rPr>
            </w:pPr>
          </w:p>
        </w:tc>
        <w:tc>
          <w:tcPr>
            <w:tcW w:w="1680" w:type="dxa"/>
            <w:vAlign w:val="bottom"/>
            <w:tcBorders>
              <w:top w:val="single" w:sz="8" w:color="auto"/>
            </w:tcBorders>
            <w:gridSpan w:val="2"/>
          </w:tcPr>
          <w:p>
            <w:pPr>
              <w:ind w:left="1340"/>
              <w:spacing w:after="0"/>
              <w:rPr>
                <w:sz w:val="20"/>
                <w:szCs w:val="20"/>
                <w:color w:val="auto"/>
              </w:rPr>
            </w:pPr>
            <w:r>
              <w:rPr>
                <w:rFonts w:ascii="Arial" w:cs="Arial" w:eastAsia="Arial" w:hAnsi="Arial"/>
                <w:sz w:val="18"/>
                <w:szCs w:val="18"/>
                <w:color w:val="auto"/>
                <w:w w:val="91"/>
              </w:rPr>
              <w:t>5.01</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398,383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2,985</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1.50 %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1.24 %</w:t>
            </w:r>
          </w:p>
        </w:tc>
      </w:tr>
      <w:tr>
        <w:trPr>
          <w:trHeight w:val="243"/>
        </w:trPr>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25,303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193</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1.93 %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1.76 %</w:t>
            </w:r>
          </w:p>
        </w:tc>
      </w:tr>
      <w:tr>
        <w:trPr>
          <w:trHeight w:val="250"/>
        </w:trPr>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3.17 %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0.30 %</w:t>
            </w: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2,919,687</w:t>
            </w:r>
          </w:p>
        </w:tc>
        <w:tc>
          <w:tcPr>
            <w:tcW w:w="30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65,179</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4.47 %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3.63 %</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-805180</wp:posOffset>
            </wp:positionV>
            <wp:extent cx="7132320" cy="1543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-496570</wp:posOffset>
            </wp:positionV>
            <wp:extent cx="7132320" cy="15430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7970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Interest Income Year to Date June 30, 2023 Compared to June 30, 2022</w:t>
      </w:r>
    </w:p>
    <w:p>
      <w:pPr>
        <w:spacing w:after="0" w:line="26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2280" w:type="dxa"/>
        <w:tblCellMar>
          <w:top w:w="0" w:type="dxa"/>
          <w:left w:w="0" w:type="dxa"/>
          <w:bottom w:w="0" w:type="dxa"/>
          <w:right w:w="0" w:type="dxa"/>
        </w:tblCellMar>
      </w:tblPr>
      <w:tr>
        <w:trPr>
          <w:trHeight w:val="222"/>
        </w:trPr>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Change Due</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8"/>
              </w:rPr>
              <w:t>Change Due</w:t>
            </w:r>
          </w:p>
        </w:tc>
      </w:tr>
      <w:tr>
        <w:trPr>
          <w:trHeight w:val="237"/>
        </w:trPr>
        <w:tc>
          <w:tcPr>
            <w:tcW w:w="240" w:type="dxa"/>
            <w:vAlign w:val="bottom"/>
          </w:tcPr>
          <w:p>
            <w:pPr>
              <w:spacing w:after="0"/>
              <w:rPr>
                <w:sz w:val="20"/>
                <w:szCs w:val="20"/>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w w:val="98"/>
              </w:rPr>
              <w:t>Total Change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to Volume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to Rate</w:t>
            </w:r>
          </w:p>
        </w:tc>
      </w:tr>
      <w:tr>
        <w:trPr>
          <w:trHeight w:val="230"/>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18,225</w:t>
            </w:r>
          </w:p>
        </w:tc>
        <w:tc>
          <w:tcPr>
            <w:tcW w:w="14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10,607</w:t>
            </w:r>
          </w:p>
        </w:tc>
        <w:tc>
          <w:tcPr>
            <w:tcW w:w="120" w:type="dxa"/>
            <w:vAlign w:val="bottom"/>
          </w:tcPr>
          <w:p>
            <w:pPr>
              <w:spacing w:after="0"/>
              <w:rPr>
                <w:sz w:val="20"/>
                <w:szCs w:val="20"/>
                <w:color w:val="auto"/>
              </w:rPr>
            </w:pPr>
          </w:p>
        </w:tc>
        <w:tc>
          <w:tcPr>
            <w:tcW w:w="4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7,618</w:t>
            </w:r>
          </w:p>
        </w:tc>
      </w:tr>
      <w:tr>
        <w:trPr>
          <w:trHeight w:val="242"/>
        </w:trPr>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(172 )</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(99 )</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37"/>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19,369</w:t>
            </w:r>
          </w:p>
        </w:tc>
        <w:tc>
          <w:tcPr>
            <w:tcW w:w="360" w:type="dxa"/>
            <w:vAlign w:val="bottom"/>
            <w:gridSpan w:val="2"/>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-805180</wp:posOffset>
            </wp:positionV>
            <wp:extent cx="7132320" cy="15430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-496570</wp:posOffset>
            </wp:positionV>
            <wp:extent cx="7132320" cy="1543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7970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2420" w:space="600"/>
            <w:col w:w="8220"/>
          </w:cols>
          <w:pgMar w:left="340" w:top="517" w:right="31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517" w:right="319" w:bottom="1440" w:gutter="0" w:footer="0" w:header="0"/>
          <w:type w:val="continuous"/>
        </w:sectPr>
      </w:pPr>
    </w:p>
    <w:bookmarkStart w:id="73" w:name="page74"/>
    <w:bookmarkEnd w:id="73"/>
    <w:p>
      <w:pPr>
        <w:ind w:left="76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760" w:right="20"/>
        <w:spacing w:after="0" w:line="269" w:lineRule="auto"/>
        <w:rPr>
          <w:sz w:val="20"/>
          <w:szCs w:val="20"/>
          <w:color w:val="auto"/>
        </w:rPr>
      </w:pPr>
      <w:r>
        <w:rPr>
          <w:rFonts w:ascii="Arial" w:cs="Arial" w:eastAsia="Arial" w:hAnsi="Arial"/>
          <w:sz w:val="17"/>
          <w:szCs w:val="17"/>
          <w:color w:val="auto"/>
        </w:rPr>
        <w:t>Offsetting the higher interest income for the six months ended June 30, 2023 was an increase in interest expense of $19.2 million or 461.6% compared to the same period in 2022. Since 2022, average interest-bearing deposit balances have increased $225.2 million or 12.9% and the Company recognized $15.8 million more in interest expense for the most recent quarter. March 2022 saw the first rate change since March of 2020 with an increase of 25 basis points which was followed by an increase of 50 basis points in May and four increases of 75 basis points in June, July, September and November with a final 50 basis point increase in December. To date in 2023, there have been three increases of 25 basis points in February, March and May. Deposit rates have been adjusted numerous times with all of the rate increases. Interest expense on FHLB borrowings and other borrowings increased $2.8 million in the six months ended June 30, 2023 over the same time frame in 2022 due to borrowings taken on from the Peoples acquisition and new FHLB borrowings in 2022 and 2023 used to fund loan growth. Interest expense on fed funds purchased and securities sold under agreement to repurchase increased $514 thousand compared to 2022. The average cost of funds increased to 2.10% for the six months ended June 2023 compared to 0.44% for the six months ended June 2022. Liabilities assumed from PPSF can be seen in Note 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gridSpan w:val="5"/>
          </w:tcPr>
          <w:p>
            <w:pPr>
              <w:jc w:val="right"/>
              <w:ind w:right="650"/>
              <w:spacing w:after="0"/>
              <w:rPr>
                <w:sz w:val="20"/>
                <w:szCs w:val="20"/>
                <w:color w:val="auto"/>
              </w:rPr>
            </w:pPr>
            <w:r>
              <w:rPr>
                <w:rFonts w:ascii="Arial" w:cs="Arial" w:eastAsia="Arial" w:hAnsi="Arial"/>
                <w:sz w:val="18"/>
                <w:szCs w:val="18"/>
                <w:color w:val="auto"/>
              </w:rPr>
              <w:t>Year to Date Ended June 30,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6"/>
          </w:tcPr>
          <w:p>
            <w:pPr>
              <w:ind w:left="860"/>
              <w:spacing w:after="0"/>
              <w:rPr>
                <w:sz w:val="20"/>
                <w:szCs w:val="20"/>
                <w:color w:val="auto"/>
              </w:rPr>
            </w:pPr>
            <w:r>
              <w:rPr>
                <w:rFonts w:ascii="Arial" w:cs="Arial" w:eastAsia="Arial" w:hAnsi="Arial"/>
                <w:sz w:val="18"/>
                <w:szCs w:val="18"/>
                <w:color w:val="auto"/>
              </w:rPr>
              <w:t>Annualized Yield/Rate</w:t>
            </w: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Interest Bearing Liabilities:</w:t>
            </w: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4"/>
              </w:rPr>
              <w:t>Average Balance</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June 30, 2023</w:t>
            </w:r>
          </w:p>
        </w:tc>
        <w:tc>
          <w:tcPr>
            <w:tcW w:w="1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June 30, 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Savings deposits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1,378,518</w:t>
            </w:r>
          </w:p>
        </w:tc>
        <w:tc>
          <w:tcPr>
            <w:tcW w:w="140" w:type="dxa"/>
            <w:vAlign w:val="bottom"/>
            <w:shd w:val="clear" w:color="auto" w:fill="CFF0FC"/>
          </w:tcPr>
          <w:p>
            <w:pPr>
              <w:spacing w:after="0"/>
              <w:rPr>
                <w:sz w:val="21"/>
                <w:szCs w:val="21"/>
                <w:color w:val="auto"/>
              </w:rPr>
            </w:pPr>
          </w:p>
        </w:tc>
        <w:tc>
          <w:tcPr>
            <w:tcW w:w="660" w:type="dxa"/>
            <w:vAlign w:val="bottom"/>
            <w:tcBorders>
              <w:top w:val="single" w:sz="8" w:color="auto"/>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w:t>
            </w:r>
          </w:p>
        </w:tc>
        <w:tc>
          <w:tcPr>
            <w:tcW w:w="140" w:type="dxa"/>
            <w:vAlign w:val="bottom"/>
            <w:shd w:val="clear" w:color="auto" w:fill="CFF0FC"/>
          </w:tcPr>
          <w:p>
            <w:pPr>
              <w:spacing w:after="0"/>
              <w:rPr>
                <w:sz w:val="21"/>
                <w:szCs w:val="21"/>
                <w:color w:val="auto"/>
              </w:rPr>
            </w:pPr>
          </w:p>
        </w:tc>
        <w:tc>
          <w:tcPr>
            <w:tcW w:w="1680" w:type="dxa"/>
            <w:vAlign w:val="bottom"/>
            <w:tcBorders>
              <w:top w:val="single" w:sz="8" w:color="auto"/>
            </w:tcBorders>
            <w:gridSpan w:val="2"/>
            <w:shd w:val="clear" w:color="auto" w:fill="CFF0FC"/>
          </w:tcPr>
          <w:p>
            <w:pPr>
              <w:ind w:left="1340"/>
              <w:spacing w:after="0"/>
              <w:rPr>
                <w:sz w:val="20"/>
                <w:szCs w:val="20"/>
                <w:color w:val="auto"/>
              </w:rPr>
            </w:pPr>
            <w:r>
              <w:rPr>
                <w:rFonts w:ascii="Arial" w:cs="Arial" w:eastAsia="Arial" w:hAnsi="Arial"/>
                <w:sz w:val="18"/>
                <w:szCs w:val="18"/>
                <w:color w:val="auto"/>
                <w:w w:val="91"/>
              </w:rPr>
              <w:t>1.62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ind w:left="1220"/>
              <w:spacing w:after="0"/>
              <w:rPr>
                <w:sz w:val="20"/>
                <w:szCs w:val="20"/>
                <w:color w:val="auto"/>
              </w:rPr>
            </w:pPr>
            <w:r>
              <w:rPr>
                <w:rFonts w:ascii="Arial" w:cs="Arial" w:eastAsia="Arial" w:hAnsi="Arial"/>
                <w:sz w:val="18"/>
                <w:szCs w:val="18"/>
                <w:color w:val="auto"/>
                <w:w w:val="85"/>
              </w:rPr>
              <w:t>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Other time deposits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596,168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7,404</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2.48 %</w:t>
            </w:r>
          </w:p>
        </w:tc>
        <w:tc>
          <w:tcPr>
            <w:tcW w:w="1680" w:type="dxa"/>
            <w:vAlign w:val="bottom"/>
            <w:gridSpan w:val="2"/>
          </w:tcPr>
          <w:p>
            <w:pPr>
              <w:ind w:left="1220"/>
              <w:spacing w:after="0"/>
              <w:rPr>
                <w:sz w:val="20"/>
                <w:szCs w:val="20"/>
                <w:color w:val="auto"/>
              </w:rPr>
            </w:pPr>
            <w:r>
              <w:rPr>
                <w:rFonts w:ascii="Arial" w:cs="Arial" w:eastAsia="Arial" w:hAnsi="Arial"/>
                <w:sz w:val="18"/>
                <w:szCs w:val="18"/>
                <w:color w:val="auto"/>
                <w:w w:val="78"/>
              </w:rPr>
              <w:t>0.61 %</w:t>
            </w:r>
          </w:p>
        </w:tc>
        <w:tc>
          <w:tcPr>
            <w:tcW w:w="20" w:type="dxa"/>
            <w:vAlign w:val="bottom"/>
          </w:tcPr>
          <w:p>
            <w:pPr>
              <w:spacing w:after="0"/>
              <w:rPr>
                <w:sz w:val="20"/>
                <w:szCs w:val="20"/>
                <w:color w:val="auto"/>
              </w:rPr>
            </w:pP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borrowed money</w:t>
            </w: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174,171</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w:t>
            </w:r>
          </w:p>
        </w:tc>
        <w:tc>
          <w:tcPr>
            <w:tcW w:w="2080" w:type="dxa"/>
            <w:vAlign w:val="bottom"/>
            <w:gridSpan w:val="5"/>
            <w:shd w:val="clear" w:color="auto" w:fill="CFF0FC"/>
          </w:tcPr>
          <w:p>
            <w:pPr>
              <w:ind w:left="1480"/>
              <w:spacing w:after="0"/>
              <w:rPr>
                <w:sz w:val="20"/>
                <w:szCs w:val="20"/>
                <w:color w:val="auto"/>
              </w:rPr>
            </w:pPr>
            <w:r>
              <w:rPr>
                <w:rFonts w:ascii="Arial" w:cs="Arial" w:eastAsia="Arial" w:hAnsi="Arial"/>
                <w:sz w:val="18"/>
                <w:szCs w:val="18"/>
                <w:color w:val="auto"/>
              </w:rPr>
              <w:t>3.90 %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2.16 %</w:t>
            </w:r>
          </w:p>
        </w:tc>
        <w:tc>
          <w:tcPr>
            <w:tcW w:w="20" w:type="dxa"/>
            <w:vAlign w:val="bottom"/>
          </w:tcPr>
          <w:p>
            <w:pPr>
              <w:spacing w:after="0"/>
              <w:rPr>
                <w:sz w:val="22"/>
                <w:szCs w:val="22"/>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Fed funds purchased &amp; securities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sold under agreement to repurchase</w:t>
            </w: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39,409</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080" w:type="dxa"/>
            <w:vAlign w:val="bottom"/>
            <w:gridSpan w:val="5"/>
            <w:shd w:val="clear" w:color="auto" w:fill="CFF0FC"/>
          </w:tcPr>
          <w:p>
            <w:pPr>
              <w:ind w:left="1480"/>
              <w:spacing w:after="0"/>
              <w:rPr>
                <w:sz w:val="20"/>
                <w:szCs w:val="20"/>
                <w:color w:val="auto"/>
              </w:rPr>
            </w:pPr>
            <w:r>
              <w:rPr>
                <w:rFonts w:ascii="Arial" w:cs="Arial" w:eastAsia="Arial" w:hAnsi="Arial"/>
                <w:sz w:val="18"/>
                <w:szCs w:val="18"/>
                <w:color w:val="auto"/>
              </w:rPr>
              <w:t>4.22 %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1.98 %</w:t>
            </w:r>
          </w:p>
        </w:tc>
        <w:tc>
          <w:tcPr>
            <w:tcW w:w="20" w:type="dxa"/>
            <w:vAlign w:val="bottom"/>
          </w:tcPr>
          <w:p>
            <w:pPr>
              <w:spacing w:after="0"/>
              <w:rPr>
                <w:sz w:val="22"/>
                <w:szCs w:val="22"/>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Subordinated notes</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80" w:type="dxa"/>
            <w:vAlign w:val="bottom"/>
            <w:gridSpan w:val="5"/>
          </w:tcPr>
          <w:p>
            <w:pPr>
              <w:ind w:left="1480"/>
              <w:spacing w:after="0"/>
              <w:rPr>
                <w:sz w:val="20"/>
                <w:szCs w:val="20"/>
                <w:color w:val="auto"/>
              </w:rPr>
            </w:pPr>
            <w:r>
              <w:rPr>
                <w:rFonts w:ascii="Arial" w:cs="Arial" w:eastAsia="Arial" w:hAnsi="Arial"/>
                <w:sz w:val="18"/>
                <w:szCs w:val="18"/>
                <w:color w:val="auto"/>
              </w:rPr>
              <w:t>3.29 %</w:t>
            </w:r>
          </w:p>
        </w:tc>
        <w:tc>
          <w:tcPr>
            <w:tcW w:w="1700" w:type="dxa"/>
            <w:vAlign w:val="bottom"/>
            <w:gridSpan w:val="3"/>
          </w:tcPr>
          <w:p>
            <w:pPr>
              <w:ind w:left="1220"/>
              <w:spacing w:after="0"/>
              <w:rPr>
                <w:sz w:val="20"/>
                <w:szCs w:val="20"/>
                <w:color w:val="auto"/>
              </w:rPr>
            </w:pPr>
            <w:r>
              <w:rPr>
                <w:rFonts w:ascii="Arial" w:cs="Arial" w:eastAsia="Arial" w:hAnsi="Arial"/>
                <w:sz w:val="18"/>
                <w:szCs w:val="18"/>
                <w:color w:val="auto"/>
                <w:w w:val="82"/>
              </w:rPr>
              <w:t>3.21 %</w:t>
            </w:r>
          </w:p>
        </w:tc>
      </w:tr>
      <w:tr>
        <w:trPr>
          <w:trHeight w:val="25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Interest Bearing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2,222,876</w:t>
            </w:r>
          </w:p>
        </w:tc>
        <w:tc>
          <w:tcPr>
            <w:tcW w:w="300" w:type="dxa"/>
            <w:vAlign w:val="bottom"/>
            <w:gridSpan w:val="2"/>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23,379</w:t>
            </w:r>
          </w:p>
        </w:tc>
        <w:tc>
          <w:tcPr>
            <w:tcW w:w="260" w:type="dxa"/>
            <w:vAlign w:val="bottom"/>
            <w:gridSpan w:val="2"/>
            <w:shd w:val="clear" w:color="auto" w:fill="CFF0FC"/>
          </w:tcPr>
          <w:p>
            <w:pPr>
              <w:spacing w:after="0"/>
              <w:rPr>
                <w:sz w:val="22"/>
                <w:szCs w:val="22"/>
                <w:color w:val="auto"/>
              </w:rPr>
            </w:pPr>
          </w:p>
        </w:tc>
        <w:tc>
          <w:tcPr>
            <w:tcW w:w="182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2.10 %</w:t>
            </w:r>
          </w:p>
        </w:tc>
        <w:tc>
          <w:tcPr>
            <w:tcW w:w="1680" w:type="dxa"/>
            <w:vAlign w:val="bottom"/>
            <w:gridSpan w:val="2"/>
            <w:shd w:val="clear" w:color="auto" w:fill="CFF0FC"/>
          </w:tcPr>
          <w:p>
            <w:pPr>
              <w:ind w:left="1220"/>
              <w:spacing w:after="0"/>
              <w:rPr>
                <w:sz w:val="20"/>
                <w:szCs w:val="20"/>
                <w:color w:val="auto"/>
              </w:rPr>
            </w:pPr>
            <w:r>
              <w:rPr>
                <w:rFonts w:ascii="Arial" w:cs="Arial" w:eastAsia="Arial" w:hAnsi="Arial"/>
                <w:sz w:val="18"/>
                <w:szCs w:val="18"/>
                <w:color w:val="auto"/>
                <w:w w:val="78"/>
              </w:rPr>
              <w:t>0.44 %</w:t>
            </w:r>
          </w:p>
        </w:tc>
        <w:tc>
          <w:tcPr>
            <w:tcW w:w="20" w:type="dxa"/>
            <w:vAlign w:val="bottom"/>
          </w:tcPr>
          <w:p>
            <w:pPr>
              <w:spacing w:after="0"/>
              <w:rPr>
                <w:sz w:val="22"/>
                <w:szCs w:val="22"/>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8572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8572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8572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8572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8572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8572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Change in Interest Expense Year to Date June 30, 2023 Compared to June 30, 2022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00"/>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Change Due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0"/>
              </w:rPr>
              <w:t>Change Due</w:t>
            </w:r>
          </w:p>
        </w:tc>
        <w:tc>
          <w:tcPr>
            <w:tcW w:w="140" w:type="dxa"/>
            <w:vAlign w:val="bottom"/>
          </w:tcPr>
          <w:p>
            <w:pPr>
              <w:spacing w:after="0"/>
              <w:rPr>
                <w:sz w:val="18"/>
                <w:szCs w:val="18"/>
                <w:color w:val="auto"/>
              </w:rPr>
            </w:pPr>
          </w:p>
        </w:tc>
      </w:tr>
      <w:tr>
        <w:trPr>
          <w:trHeight w:val="244"/>
        </w:trPr>
        <w:tc>
          <w:tcPr>
            <w:tcW w:w="2840" w:type="dxa"/>
            <w:vAlign w:val="bottom"/>
          </w:tcPr>
          <w:p>
            <w:pPr>
              <w:ind w:left="20"/>
              <w:spacing w:after="0"/>
              <w:rPr>
                <w:sz w:val="20"/>
                <w:szCs w:val="20"/>
                <w:color w:val="auto"/>
              </w:rPr>
            </w:pPr>
            <w:r>
              <w:rPr>
                <w:rFonts w:ascii="Arial" w:cs="Arial" w:eastAsia="Arial" w:hAnsi="Arial"/>
                <w:sz w:val="18"/>
                <w:szCs w:val="18"/>
                <w:color w:val="auto"/>
              </w:rPr>
              <w:t>Interest Bearing Liabilities:</w:t>
            </w:r>
          </w:p>
        </w:tc>
        <w:tc>
          <w:tcPr>
            <w:tcW w:w="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Total Change</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1"/>
              </w:rPr>
              <w:t>to Volume</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 Rate</w:t>
            </w:r>
          </w:p>
        </w:tc>
        <w:tc>
          <w:tcPr>
            <w:tcW w:w="140" w:type="dxa"/>
            <w:vAlign w:val="bottom"/>
          </w:tcPr>
          <w:p>
            <w:pPr>
              <w:spacing w:after="0"/>
              <w:rPr>
                <w:sz w:val="21"/>
                <w:szCs w:val="21"/>
                <w:color w:val="auto"/>
              </w:rPr>
            </w:pPr>
          </w:p>
        </w:tc>
      </w:tr>
      <w:tr>
        <w:trPr>
          <w:trHeight w:val="237"/>
        </w:trPr>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FF0FC"/>
          </w:tcPr>
          <w:p>
            <w:pPr>
              <w:spacing w:after="0"/>
              <w:rPr>
                <w:sz w:val="20"/>
                <w:szCs w:val="20"/>
                <w:color w:val="auto"/>
              </w:rPr>
            </w:pPr>
          </w:p>
        </w:tc>
        <w:tc>
          <w:tcPr>
            <w:tcW w:w="34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9,816</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w:t>
            </w:r>
          </w:p>
        </w:tc>
        <w:tc>
          <w:tcPr>
            <w:tcW w:w="140" w:type="dxa"/>
            <w:vAlign w:val="bottom"/>
            <w:shd w:val="clear" w:color="auto" w:fill="CFF0FC"/>
          </w:tcPr>
          <w:p>
            <w:pPr>
              <w:spacing w:after="0"/>
              <w:rPr>
                <w:sz w:val="20"/>
                <w:szCs w:val="20"/>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Other time deposits</w:t>
            </w:r>
          </w:p>
        </w:tc>
        <w:tc>
          <w:tcPr>
            <w:tcW w:w="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5,573</w:t>
            </w:r>
          </w:p>
        </w:tc>
        <w:tc>
          <w:tcPr>
            <w:tcW w:w="140" w:type="dxa"/>
            <w:vAlign w:val="bottom"/>
          </w:tcPr>
          <w:p>
            <w:pPr>
              <w:spacing w:after="0"/>
              <w:rPr>
                <w:sz w:val="20"/>
                <w:szCs w:val="20"/>
                <w:color w:val="auto"/>
              </w:rPr>
            </w:pPr>
          </w:p>
        </w:tc>
      </w:tr>
      <w:tr>
        <w:trPr>
          <w:trHeight w:val="249"/>
        </w:trPr>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borrowed money</w:t>
            </w:r>
          </w:p>
        </w:tc>
        <w:tc>
          <w:tcPr>
            <w:tcW w:w="160" w:type="dxa"/>
            <w:vAlign w:val="bottom"/>
            <w:shd w:val="clear" w:color="auto" w:fill="CFF0FC"/>
          </w:tcPr>
          <w:p>
            <w:pPr>
              <w:spacing w:after="0"/>
              <w:rPr>
                <w:sz w:val="21"/>
                <w:szCs w:val="21"/>
                <w:color w:val="auto"/>
              </w:rPr>
            </w:pPr>
          </w:p>
        </w:tc>
        <w:tc>
          <w:tcPr>
            <w:tcW w:w="3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FF0FC"/>
          </w:tcPr>
          <w:p>
            <w:pPr>
              <w:spacing w:after="0"/>
              <w:rPr>
                <w:sz w:val="21"/>
                <w:szCs w:val="21"/>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Fed funds purchased &amp; securities</w:t>
            </w:r>
          </w:p>
        </w:tc>
        <w:tc>
          <w:tcPr>
            <w:tcW w:w="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sold under agreement to repurchase</w:t>
            </w:r>
          </w:p>
        </w:tc>
        <w:tc>
          <w:tcPr>
            <w:tcW w:w="160" w:type="dxa"/>
            <w:vAlign w:val="bottom"/>
            <w:shd w:val="clear" w:color="auto" w:fill="CFF0FC"/>
          </w:tcPr>
          <w:p>
            <w:pPr>
              <w:spacing w:after="0"/>
              <w:rPr>
                <w:sz w:val="21"/>
                <w:szCs w:val="21"/>
                <w:color w:val="auto"/>
              </w:rPr>
            </w:pPr>
          </w:p>
        </w:tc>
        <w:tc>
          <w:tcPr>
            <w:tcW w:w="3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FF0FC"/>
          </w:tcPr>
          <w:p>
            <w:pPr>
              <w:spacing w:after="0"/>
              <w:rPr>
                <w:sz w:val="21"/>
                <w:szCs w:val="2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Subordinated notes</w:t>
            </w:r>
          </w:p>
        </w:tc>
        <w:tc>
          <w:tcPr>
            <w:tcW w:w="1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r>
      <w:tr>
        <w:trPr>
          <w:trHeight w:val="276"/>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Borders>
              <w:bottom w:val="single" w:sz="8" w:color="CFF0FC"/>
            </w:tcBorders>
            <w:shd w:val="clear" w:color="auto" w:fill="CFF0FC"/>
          </w:tcPr>
          <w:p>
            <w:pPr>
              <w:spacing w:after="0"/>
              <w:rPr>
                <w:sz w:val="24"/>
                <w:szCs w:val="24"/>
                <w:color w:val="auto"/>
              </w:rPr>
            </w:pPr>
          </w:p>
        </w:tc>
        <w:tc>
          <w:tcPr>
            <w:tcW w:w="34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19,216</w:t>
            </w: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32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-1435100</wp:posOffset>
            </wp:positionV>
            <wp:extent cx="2211705" cy="3340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211705" cy="33401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8572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8572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left="760" w:right="20"/>
        <w:spacing w:after="0" w:line="263" w:lineRule="auto"/>
        <w:rPr>
          <w:sz w:val="20"/>
          <w:szCs w:val="20"/>
          <w:color w:val="auto"/>
        </w:rPr>
      </w:pPr>
      <w:r>
        <w:rPr>
          <w:rFonts w:ascii="Arial" w:cs="Arial" w:eastAsia="Arial" w:hAnsi="Arial"/>
          <w:sz w:val="18"/>
          <w:szCs w:val="18"/>
          <w:color w:val="auto"/>
        </w:rPr>
        <w:t>Overall, net interest spread for the six months ended June 30, 2023 was 82 basis points lower than last year. As the following chart indicates, the improvement in yields on interest earning assets did not offset the increased cost of funds when comparing to the same period a year ago. Competition for deposits is intense with most competitors offering special rates for specific terms.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w w:val="85"/>
              </w:rPr>
              <w:t>June 30, 2023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jc w:val="right"/>
              <w:ind w:right="550"/>
              <w:spacing w:after="0"/>
              <w:rPr>
                <w:sz w:val="20"/>
                <w:szCs w:val="20"/>
                <w:color w:val="auto"/>
              </w:rPr>
            </w:pPr>
            <w:r>
              <w:rPr>
                <w:rFonts w:ascii="Arial" w:cs="Arial" w:eastAsia="Arial" w:hAnsi="Arial"/>
                <w:sz w:val="18"/>
                <w:szCs w:val="18"/>
                <w:color w:val="auto"/>
              </w:rPr>
              <w:t>June 30, 2022</w:t>
            </w:r>
          </w:p>
        </w:tc>
        <w:tc>
          <w:tcPr>
            <w:tcW w:w="1820" w:type="dxa"/>
            <w:vAlign w:val="bottom"/>
            <w:gridSpan w:val="3"/>
          </w:tcPr>
          <w:p>
            <w:pPr>
              <w:ind w:left="320"/>
              <w:spacing w:after="0"/>
              <w:rPr>
                <w:sz w:val="20"/>
                <w:szCs w:val="20"/>
                <w:color w:val="auto"/>
              </w:rPr>
            </w:pPr>
            <w:r>
              <w:rPr>
                <w:rFonts w:ascii="Arial" w:cs="Arial" w:eastAsia="Arial" w:hAnsi="Arial"/>
                <w:sz w:val="18"/>
                <w:szCs w:val="18"/>
                <w:color w:val="auto"/>
              </w:rPr>
              <w:t>June 30, 2021</w:t>
            </w:r>
          </w:p>
        </w:tc>
      </w:tr>
      <w:tr>
        <w:trPr>
          <w:trHeight w:val="24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Interest/Dividend income/yield</w:t>
            </w:r>
          </w:p>
        </w:tc>
        <w:tc>
          <w:tcPr>
            <w:tcW w:w="134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4.47</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237"/>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Interest Expense/cost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w w:val="82"/>
              </w:rPr>
              <w:t>2.10 %</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0.44 %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0.48 %</w:t>
            </w:r>
          </w:p>
        </w:tc>
        <w:tc>
          <w:tcPr>
            <w:tcW w:w="20" w:type="dxa"/>
            <w:vAlign w:val="bottom"/>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Interest Spread</w:t>
            </w:r>
          </w:p>
        </w:tc>
        <w:tc>
          <w:tcPr>
            <w:tcW w:w="134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2.37</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4"/>
                <w:szCs w:val="24"/>
                <w:color w:val="auto"/>
              </w:rPr>
            </w:pPr>
          </w:p>
        </w:tc>
      </w:tr>
      <w:tr>
        <w:trPr>
          <w:trHeight w:val="223"/>
        </w:trPr>
        <w:tc>
          <w:tcPr>
            <w:tcW w:w="6840" w:type="dxa"/>
            <w:vAlign w:val="bottom"/>
            <w:gridSpan w:val="2"/>
          </w:tcPr>
          <w:p>
            <w:pPr>
              <w:ind w:left="20"/>
              <w:spacing w:after="0"/>
              <w:rPr>
                <w:sz w:val="20"/>
                <w:szCs w:val="20"/>
                <w:color w:val="auto"/>
              </w:rPr>
            </w:pPr>
            <w:r>
              <w:rPr>
                <w:rFonts w:ascii="Arial" w:cs="Arial" w:eastAsia="Arial" w:hAnsi="Arial"/>
                <w:sz w:val="18"/>
                <w:szCs w:val="18"/>
                <w:color w:val="auto"/>
              </w:rPr>
              <w:t>Net Interest Margin</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w w:val="82"/>
              </w:rPr>
              <w:t xml:space="preserve">2.87 </w:t>
            </w:r>
            <w:r>
              <w:rPr>
                <w:rFonts w:ascii="Arial" w:cs="Arial" w:eastAsia="Arial" w:hAnsi="Arial"/>
                <w:sz w:val="18"/>
                <w:szCs w:val="18"/>
                <w:color w:val="auto"/>
                <w:highlight w:val="white"/>
                <w:w w:val="82"/>
              </w:rPr>
              <w: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color w:val="auto"/>
                <w:highlight w:val="white"/>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color w:val="auto"/>
                <w:highlight w:val="white"/>
              </w:rPr>
              <w:t>%</w:t>
            </w:r>
          </w:p>
        </w:tc>
        <w:tc>
          <w:tcPr>
            <w:tcW w:w="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-205105</wp:posOffset>
            </wp:positionV>
            <wp:extent cx="8572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-205105</wp:posOffset>
            </wp:positionV>
            <wp:extent cx="8572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-205105</wp:posOffset>
            </wp:positionV>
            <wp:extent cx="857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8"/>
          <w:szCs w:val="18"/>
          <w:color w:val="auto"/>
        </w:rPr>
        <w:t>Net interest income increased $153 thousand for the six months ended June 30, 2023 over the same time frame in 2022 with the increase in interest income of $19.4 million offset by the higher interest expense of $19.2 million as previously mentioned. As the new loans added in 2022 and 2023 generate more income, management expects the benefits of the Company’s strategy of repositioning the balance sheet to continue to increase interest income in the long run. Loans as a percentage of earning assets increased to 83.5% for the six months ended 2023 compared to 77.4% for the six months ended June 2022. Loans to total assets increased to 78.8% for the six months ended 2023 compared to 72.7% for the same time period 2022. The percentage of earning assets to total assets increased to 94.4% in 2023 compared to 93.9% in 2022. In terms of net interest</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margin, the Bank recognizes competition for deposits continues to increase with higher interest rates putting pressure on the margin which may lead to a further tightening in the short term.</w:t>
      </w:r>
    </w:p>
    <w:p>
      <w:pPr>
        <w:spacing w:after="0" w:line="139" w:lineRule="exact"/>
        <w:rPr>
          <w:sz w:val="20"/>
          <w:szCs w:val="20"/>
          <w:color w:val="auto"/>
        </w:rPr>
      </w:pPr>
    </w:p>
    <w:p>
      <w:pPr>
        <w:ind w:right="2680"/>
        <w:spacing w:after="0" w:line="456" w:lineRule="auto"/>
        <w:rPr>
          <w:sz w:val="20"/>
          <w:szCs w:val="20"/>
          <w:color w:val="auto"/>
        </w:rPr>
      </w:pPr>
      <w:r>
        <w:rPr>
          <w:rFonts w:ascii="Arial" w:cs="Arial" w:eastAsia="Arial" w:hAnsi="Arial"/>
          <w:sz w:val="18"/>
          <w:szCs w:val="18"/>
          <w:b w:val="1"/>
          <w:bCs w:val="1"/>
          <w:u w:val="single" w:color="auto"/>
          <w:color w:val="auto"/>
        </w:rPr>
        <w:t xml:space="preserve">Comparison of Noninterest Results of Operations for six month periods ended June 30, 2023 and 2022 </w:t>
      </w:r>
      <w:r>
        <w:rPr>
          <w:rFonts w:ascii="Arial" w:cs="Arial" w:eastAsia="Arial" w:hAnsi="Arial"/>
          <w:sz w:val="18"/>
          <w:szCs w:val="18"/>
          <w:b w:val="1"/>
          <w:bCs w:val="1"/>
          <w:color w:val="auto"/>
        </w:rPr>
        <w:t>Provision Expense</w:t>
      </w:r>
    </w:p>
    <w:p>
      <w:pPr>
        <w:jc w:val="both"/>
        <w:spacing w:after="0" w:line="272" w:lineRule="auto"/>
        <w:rPr>
          <w:sz w:val="20"/>
          <w:szCs w:val="20"/>
          <w:color w:val="auto"/>
        </w:rPr>
      </w:pPr>
      <w:r>
        <w:rPr>
          <w:rFonts w:ascii="Arial" w:cs="Arial" w:eastAsia="Arial" w:hAnsi="Arial"/>
          <w:sz w:val="17"/>
          <w:szCs w:val="17"/>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consumer loan portfolio accounted for the largest component of charge-offs and recoveries for six months ended June 30, 2023 and 2022. The commercial real estate portfolio is currently creating a large impact on the ACL due to the loan growth.</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provision for credit losses was $1.2 million lower for the six months ended June 30, 2023 as compared to the same period in 2022. Management continues to monitor asset quality, making adjustments to the provision as necessary. The impact of higher interest rates and inflation are taken into consideration when reviewing qualitative factors. Loan charge-offs were $29 thousand lower for the six months ended June 30, 2023 than the same period in 2022. Recoveries were $70 thousand higher in the six months ended June 30, 2023 as compared to 2022. Combined net recoveries were $99 thousand higher for the six months ended June 30, 2023 than for combined net charge-offs for the same time period in 2022. This continues to highlight the strong credit quality of the loan portfolio.</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past due 30 days or more, which include no deferrals related to COVID-19, increased $5.6 million at June 30, 2023 as compared to June 30, 2022. The largest changes were attributed to the increase of past due balances in the agricultural portfolio, agricultural real estate portfolio, commercial real estate portfolio and commercial and industrial portfolio. The increase in the agricultural real estate portfolio was attributable to two larger relationships while the increase in the other categories were multiple, smaller relationships.</w:t>
      </w:r>
    </w:p>
    <w:p>
      <w:pPr>
        <w:spacing w:after="0" w:line="6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75" w:name="page76"/>
    <w:bookmarkEnd w:id="75"/>
    <w:p>
      <w:pPr>
        <w:jc w:val="both"/>
        <w:ind w:left="760" w:right="20"/>
        <w:spacing w:after="0" w:line="263" w:lineRule="auto"/>
        <w:rPr>
          <w:sz w:val="20"/>
          <w:szCs w:val="20"/>
          <w:color w:val="auto"/>
        </w:rPr>
      </w:pPr>
      <w:r>
        <w:rPr>
          <w:rFonts w:ascii="Arial" w:cs="Arial" w:eastAsia="Arial" w:hAnsi="Arial"/>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six months ended June 30, 2023,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Six Months Ended</w:t>
            </w:r>
          </w:p>
        </w:tc>
        <w:tc>
          <w:tcPr>
            <w:tcW w:w="180" w:type="dxa"/>
            <w:vAlign w:val="bottom"/>
          </w:tcPr>
          <w:p>
            <w:pPr>
              <w:spacing w:after="0"/>
              <w:rPr>
                <w:sz w:val="18"/>
                <w:szCs w:val="18"/>
                <w:color w:val="auto"/>
              </w:rPr>
            </w:pP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Six Months Ended</w:t>
            </w:r>
          </w:p>
        </w:tc>
        <w:tc>
          <w:tcPr>
            <w:tcW w:w="220" w:type="dxa"/>
            <w:vAlign w:val="bottom"/>
          </w:tcPr>
          <w:p>
            <w:pPr>
              <w:spacing w:after="0"/>
              <w:rPr>
                <w:sz w:val="18"/>
                <w:szCs w:val="18"/>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w w:val="97"/>
              </w:rPr>
              <w:t>Six Months Ended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June 30, 2023</w:t>
            </w:r>
          </w:p>
        </w:tc>
        <w:tc>
          <w:tcPr>
            <w:tcW w:w="180" w:type="dxa"/>
            <w:vAlign w:val="bottom"/>
          </w:tcPr>
          <w:p>
            <w:pPr>
              <w:spacing w:after="0"/>
              <w:rPr>
                <w:sz w:val="20"/>
                <w:szCs w:val="20"/>
                <w:color w:val="auto"/>
              </w:rPr>
            </w:pP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June 30, 2022</w:t>
            </w:r>
          </w:p>
        </w:tc>
        <w:tc>
          <w:tcPr>
            <w:tcW w:w="220" w:type="dxa"/>
            <w:vAlign w:val="bottom"/>
          </w:tcPr>
          <w:p>
            <w:pPr>
              <w:spacing w:after="0"/>
              <w:rPr>
                <w:sz w:val="20"/>
                <w:szCs w:val="20"/>
                <w:color w:val="auto"/>
              </w:rPr>
            </w:pPr>
          </w:p>
        </w:tc>
        <w:tc>
          <w:tcPr>
            <w:tcW w:w="1920" w:type="dxa"/>
            <w:vAlign w:val="bottom"/>
            <w:gridSpan w:val="3"/>
          </w:tcPr>
          <w:p>
            <w:pPr>
              <w:ind w:left="300"/>
              <w:spacing w:after="0"/>
              <w:rPr>
                <w:sz w:val="20"/>
                <w:szCs w:val="20"/>
                <w:color w:val="auto"/>
              </w:rPr>
            </w:pPr>
            <w:r>
              <w:rPr>
                <w:rFonts w:ascii="Arial" w:cs="Arial" w:eastAsia="Arial" w:hAnsi="Arial"/>
                <w:sz w:val="18"/>
                <w:szCs w:val="18"/>
                <w:color w:val="auto"/>
              </w:rPr>
              <w:t>June 30, 2021</w:t>
            </w:r>
          </w:p>
        </w:tc>
        <w:tc>
          <w:tcPr>
            <w:tcW w:w="0" w:type="dxa"/>
            <w:vAlign w:val="bottom"/>
          </w:tcPr>
          <w:p>
            <w:pPr>
              <w:spacing w:after="0"/>
              <w:rPr>
                <w:sz w:val="1"/>
                <w:szCs w:val="1"/>
                <w:color w:val="auto"/>
              </w:rPr>
            </w:pPr>
          </w:p>
        </w:tc>
      </w:tr>
      <w:tr>
        <w:trPr>
          <w:trHeight w:val="28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Loans, net of deferred fees and costs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2,515,793</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2,034,818</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1,458,423</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Daily average of outstanding loans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2,437,148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1,953,671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1,374,302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Nonaccrual loans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6,295</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Nonperforming loans*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Allowance for Credit Losses - January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20,313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16,242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13,672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 for accounting change</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Loans Charged off:</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74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Loan Recoveries: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74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Net Charge Offs (Recoveries):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Agriculture Real Estate</w:t>
            </w:r>
          </w:p>
        </w:tc>
        <w:tc>
          <w:tcPr>
            <w:tcW w:w="20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74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74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Provision for credit loss</w:t>
            </w:r>
          </w:p>
        </w:tc>
        <w:tc>
          <w:tcPr>
            <w:tcW w:w="2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Allowance for Loan Losses - June 30,</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24,910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18,424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15,087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Unfunded Loan Commitments</w:t>
            </w:r>
          </w:p>
        </w:tc>
        <w:tc>
          <w:tcPr>
            <w:tcW w:w="200" w:type="dxa"/>
            <w:vAlign w:val="bottom"/>
            <w:shd w:val="clear" w:color="auto" w:fill="CFF0FC"/>
          </w:tcPr>
          <w:p>
            <w:pPr>
              <w:spacing w:after="0"/>
              <w:rPr>
                <w:sz w:val="19"/>
                <w:szCs w:val="19"/>
                <w:color w:val="auto"/>
              </w:rPr>
            </w:pPr>
          </w:p>
        </w:tc>
        <w:tc>
          <w:tcPr>
            <w:tcW w:w="1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&amp; Letters of Credit - June 30,</w:t>
            </w:r>
          </w:p>
        </w:tc>
        <w:tc>
          <w:tcPr>
            <w:tcW w:w="20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color w:val="auto"/>
              </w:rPr>
              <w:t>Total Allowance for Credit Losses - June 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Ratio of Net Charge-offs to Average Outstanding Loans</w:t>
            </w: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Ratio of Nonaccrual Loans to Loans</w:t>
            </w:r>
          </w:p>
        </w:tc>
        <w:tc>
          <w:tcPr>
            <w:tcW w:w="200" w:type="dxa"/>
            <w:vAlign w:val="bottom"/>
          </w:tcPr>
          <w:p>
            <w:pPr>
              <w:spacing w:after="0"/>
              <w:rPr>
                <w:sz w:val="19"/>
                <w:szCs w:val="19"/>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8"/>
                <w:szCs w:val="18"/>
                <w:color w:val="auto"/>
              </w:rPr>
              <w:t xml:space="preserve">0.25 </w:t>
            </w:r>
            <w:r>
              <w:rPr>
                <w:rFonts w:ascii="Arial" w:cs="Arial" w:eastAsia="Arial" w:hAnsi="Arial"/>
                <w:sz w:val="18"/>
                <w:szCs w:val="18"/>
                <w:color w:val="auto"/>
                <w:highlight w:val="white"/>
              </w:rPr>
              <w:t>%</w:t>
            </w:r>
          </w:p>
        </w:tc>
        <w:tc>
          <w:tcPr>
            <w:tcW w:w="180" w:type="dxa"/>
            <w:vAlign w:val="bottom"/>
          </w:tcPr>
          <w:p>
            <w:pPr>
              <w:spacing w:after="0"/>
              <w:rPr>
                <w:sz w:val="19"/>
                <w:szCs w:val="19"/>
                <w:color w:val="auto"/>
              </w:rPr>
            </w:pPr>
          </w:p>
        </w:tc>
        <w:tc>
          <w:tcPr>
            <w:tcW w:w="200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0.26 </w:t>
            </w:r>
            <w:r>
              <w:rPr>
                <w:rFonts w:ascii="Arial" w:cs="Arial" w:eastAsia="Arial" w:hAnsi="Arial"/>
                <w:sz w:val="18"/>
                <w:szCs w:val="18"/>
                <w:color w:val="auto"/>
                <w:highlight w:val="white"/>
              </w:rPr>
              <w:t>%</w:t>
            </w:r>
          </w:p>
        </w:tc>
        <w:tc>
          <w:tcPr>
            <w:tcW w:w="2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xml:space="preserve">0.48 </w:t>
            </w:r>
            <w:r>
              <w:rPr>
                <w:rFonts w:ascii="Arial" w:cs="Arial" w:eastAsia="Arial" w:hAnsi="Arial"/>
                <w:sz w:val="18"/>
                <w:szCs w:val="18"/>
                <w:color w:val="auto"/>
                <w:highlight w:val="white"/>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Ratio of the Allowance for Loan Losses to Loans</w:t>
            </w:r>
          </w:p>
        </w:tc>
        <w:tc>
          <w:tcPr>
            <w:tcW w:w="20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3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w w:val="97"/>
              </w:rPr>
              <w:t>Ratio of the Allowance for Loan Losses to Nonaccrual Loans</w:t>
            </w:r>
          </w:p>
        </w:tc>
        <w:tc>
          <w:tcPr>
            <w:tcW w:w="200" w:type="dxa"/>
            <w:vAlign w:val="bottom"/>
          </w:tcPr>
          <w:p>
            <w:pPr>
              <w:spacing w:after="0"/>
              <w:rPr>
                <w:sz w:val="19"/>
                <w:szCs w:val="19"/>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8"/>
                <w:szCs w:val="18"/>
                <w:color w:val="auto"/>
              </w:rPr>
              <w:t xml:space="preserve">395.71 </w:t>
            </w:r>
            <w:r>
              <w:rPr>
                <w:rFonts w:ascii="Arial" w:cs="Arial" w:eastAsia="Arial" w:hAnsi="Arial"/>
                <w:sz w:val="18"/>
                <w:szCs w:val="18"/>
                <w:color w:val="auto"/>
                <w:highlight w:val="white"/>
              </w:rPr>
              <w:t>%</w:t>
            </w:r>
          </w:p>
        </w:tc>
        <w:tc>
          <w:tcPr>
            <w:tcW w:w="180" w:type="dxa"/>
            <w:vAlign w:val="bottom"/>
          </w:tcPr>
          <w:p>
            <w:pPr>
              <w:spacing w:after="0"/>
              <w:rPr>
                <w:sz w:val="19"/>
                <w:szCs w:val="19"/>
                <w:color w:val="auto"/>
              </w:rPr>
            </w:pPr>
          </w:p>
        </w:tc>
        <w:tc>
          <w:tcPr>
            <w:tcW w:w="200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351.44 </w:t>
            </w:r>
            <w:r>
              <w:rPr>
                <w:rFonts w:ascii="Arial" w:cs="Arial" w:eastAsia="Arial" w:hAnsi="Arial"/>
                <w:sz w:val="18"/>
                <w:szCs w:val="18"/>
                <w:color w:val="auto"/>
                <w:highlight w:val="white"/>
              </w:rPr>
              <w:t>%</w:t>
            </w:r>
          </w:p>
        </w:tc>
        <w:tc>
          <w:tcPr>
            <w:tcW w:w="2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xml:space="preserve">214.58 </w:t>
            </w:r>
            <w:r>
              <w:rPr>
                <w:rFonts w:ascii="Arial" w:cs="Arial" w:eastAsia="Arial" w:hAnsi="Arial"/>
                <w:sz w:val="18"/>
                <w:szCs w:val="18"/>
                <w:color w:val="auto"/>
                <w:highlight w:val="white"/>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Ratio of the Allowance for Loan Losses to</w:t>
            </w:r>
          </w:p>
        </w:tc>
        <w:tc>
          <w:tcPr>
            <w:tcW w:w="200" w:type="dxa"/>
            <w:vAlign w:val="bottom"/>
            <w:shd w:val="clear" w:color="auto" w:fill="CFF0FC"/>
          </w:tcPr>
          <w:p>
            <w:pPr>
              <w:spacing w:after="0"/>
              <w:rPr>
                <w:sz w:val="17"/>
                <w:szCs w:val="17"/>
                <w:color w:val="auto"/>
              </w:rPr>
            </w:pPr>
          </w:p>
        </w:tc>
        <w:tc>
          <w:tcPr>
            <w:tcW w:w="200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395.71 %</w:t>
            </w:r>
          </w:p>
        </w:tc>
        <w:tc>
          <w:tcPr>
            <w:tcW w:w="180" w:type="dxa"/>
            <w:vAlign w:val="bottom"/>
            <w:shd w:val="clear" w:color="auto" w:fill="CFF0FC"/>
          </w:tcPr>
          <w:p>
            <w:pPr>
              <w:spacing w:after="0"/>
              <w:rPr>
                <w:sz w:val="17"/>
                <w:szCs w:val="17"/>
                <w:color w:val="auto"/>
              </w:rPr>
            </w:pPr>
          </w:p>
        </w:tc>
        <w:tc>
          <w:tcPr>
            <w:tcW w:w="200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351.44 %</w:t>
            </w:r>
          </w:p>
        </w:tc>
        <w:tc>
          <w:tcPr>
            <w:tcW w:w="220" w:type="dxa"/>
            <w:vAlign w:val="bottom"/>
            <w:shd w:val="clear" w:color="auto" w:fill="CFF0FC"/>
          </w:tcPr>
          <w:p>
            <w:pPr>
              <w:spacing w:after="0"/>
              <w:rPr>
                <w:sz w:val="17"/>
                <w:szCs w:val="17"/>
                <w:color w:val="auto"/>
              </w:rPr>
            </w:pPr>
          </w:p>
        </w:tc>
        <w:tc>
          <w:tcPr>
            <w:tcW w:w="19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214.58 %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Nonperforming Loans*</w:t>
            </w:r>
          </w:p>
        </w:tc>
        <w:tc>
          <w:tcPr>
            <w:tcW w:w="200" w:type="dxa"/>
            <w:vAlign w:val="bottom"/>
            <w:shd w:val="clear" w:color="auto" w:fill="CFF0FC"/>
          </w:tcPr>
          <w:p>
            <w:pPr>
              <w:spacing w:after="0"/>
              <w:rPr>
                <w:sz w:val="19"/>
                <w:szCs w:val="19"/>
                <w:color w:val="auto"/>
              </w:rPr>
            </w:pPr>
          </w:p>
        </w:tc>
        <w:tc>
          <w:tcPr>
            <w:tcW w:w="2000" w:type="dxa"/>
            <w:vAlign w:val="bottom"/>
            <w:gridSpan w:val="3"/>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gridSpan w:val="3"/>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00" w:type="dxa"/>
            <w:vAlign w:val="bottom"/>
            <w:gridSpan w:val="2"/>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-6565900</wp:posOffset>
            </wp:positionV>
            <wp:extent cx="2931795" cy="2057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931795" cy="20574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-6205855</wp:posOffset>
            </wp:positionV>
            <wp:extent cx="2931795" cy="2057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931795" cy="20574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-4293870</wp:posOffset>
            </wp:positionV>
            <wp:extent cx="85725" cy="16319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-4293870</wp:posOffset>
            </wp:positionV>
            <wp:extent cx="85725" cy="16319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-4293870</wp:posOffset>
            </wp:positionV>
            <wp:extent cx="85725" cy="16319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-3042285</wp:posOffset>
            </wp:positionV>
            <wp:extent cx="85725" cy="16319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-3042285</wp:posOffset>
            </wp:positionV>
            <wp:extent cx="85725" cy="16319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-3042285</wp:posOffset>
            </wp:positionV>
            <wp:extent cx="85725" cy="16319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-1199515</wp:posOffset>
            </wp:positionV>
            <wp:extent cx="85725" cy="18859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-1199515</wp:posOffset>
            </wp:positionV>
            <wp:extent cx="85725" cy="18859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-1199515</wp:posOffset>
            </wp:positionV>
            <wp:extent cx="85725" cy="18859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-856615</wp:posOffset>
            </wp:positionV>
            <wp:extent cx="8572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-856615</wp:posOffset>
            </wp:positionV>
            <wp:extent cx="857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-856615</wp:posOffset>
            </wp:positionV>
            <wp:extent cx="857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-496570</wp:posOffset>
            </wp:positionV>
            <wp:extent cx="8572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-496570</wp:posOffset>
            </wp:positionV>
            <wp:extent cx="8572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8572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8572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8572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8572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5540" w:right="2340" w:hanging="4783"/>
        <w:spacing w:after="0" w:line="636" w:lineRule="auto"/>
        <w:tabs>
          <w:tab w:leader="none" w:pos="8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90 days past due not on nonaccrual.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76" w:name="page77"/>
    <w:bookmarkEnd w:id="76"/>
    <w:p>
      <w:pPr>
        <w:jc w:val="both"/>
        <w:spacing w:after="0" w:line="289"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Loans classified as nonaccrual were lower as of June 30, 2023 at $4.7 million as compared to $5.2 million as of June 30, 2022. The agricultural portfolio decreased $1.1 million as compared to June 30, 2022. These decreases offset the increases in the other portfolios.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Noninterest income was up $786 thousand for the six months ended June 30, 2023 over the same time frame in 2022. Servicing rights income for 1-4 family and agricultural real estate loans increased $2.1 million. This was due to the establishment of agricultural real estate servicing rights of $1.5 million in the first quarter and a change in the accounting estimate of $712 thousand in the second quarter. Combined service fees increased by $2.4 million as compared to the six months ended June 30, 2022. Debit card income increased by $181 thousand and bank owned life insurance cash surrender value increased $81 thousand. Also contributing to the increase was overdraft and returned check charges which increased $116 thousand compared to the six months ended June 30, 2022. Fee income from credit cards decreased by $154 thousand as compared to the six months ended June 30, 2022.</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seen a decrease in its mortgage production volume and the gain on the sale of these loans was $686 thousand lower for the six months ended June 30, 2023 over the same period in 2022. Loan originations on loans held for sale for the six months ended June 30, 2023 were $15.0 million with proceeds from sale at $14.5 million for 2023 compared to 2022’s activity of $47.1 million in originations and $51.4 million in sales. Loan originations driven by refinance activity have drastically decreased with the higher interest rates in 2023. Inventory in many of our markets remain low. The mortgages sold were both 1-4 family and agricultural real estate loans originated for sale.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six months ended June 30, 2023, noninterest expenses were $7.0 million higher than for the same period in 2022. Salaries, wages, and employee benefits (includes normal merit increases, restricted stock expense, incentive payout and all employee benefits) increased $2.9 million in total. This was comprised of increased salaries of $2.3 million and increased benefits of $636 thousand. The increase was due to the investment in people for our strategic growth initiative. Advertising and public relations expense increased $807 thousand. This was due, in part, to our new logo launch. Data processing expenses increased $264 thousand. Credit card expense increased $462 thousand related to the conversion of our credit card platform in the first quarter. The conversion expense also included a scorecard conversion expense of $108 thousand in the first quarter. This represented awards earned by customers that the Company paid to honor rather than allowing them to be lost in the conversion. FDIC assessment expense increased $418 thousand.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was $887 thousand lower for the six months ended June 30, 2023 compared to the same period in 2022, due to lower earnings. Effective tax rates were 19.99% and 19.64% for six months ended June 30, 2023 and 2022 respectively.</w:t>
      </w:r>
    </w:p>
    <w:p>
      <w:pPr>
        <w:spacing w:after="0" w:line="27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Net Income</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Results overall, net income for the six months ended June 30, 2023 was down $1.6 million as compared to the same period last year. As mentioned prior, the Company incurred a one-time expense in the first quarter of $541 thousand related to our credit card platform. A loss of $891 thousand arising from the sale of $21.6 million of investments was also recognized in the first quarter. The Company has done an exceptional job of growing loans while keeping past dues low. The increased cost of funding is impacting the bottom line as it is adjusting faster than our earning assets. The Company remains strong, stable, and well capitalized and has the capacity to continue to cover the increased costs of expansion.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5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25" w:lineRule="exact"/>
        <w:rPr>
          <w:sz w:val="20"/>
          <w:szCs w:val="20"/>
          <w:color w:val="auto"/>
        </w:rPr>
      </w:pPr>
    </w:p>
    <w:p>
      <w:pPr>
        <w:jc w:val="both"/>
        <w:ind w:left="760"/>
        <w:spacing w:after="0" w:line="296"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21"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shocks presented below assume an immediate change of rate in the percentages and directions shown covering a twelve month period: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Interest Rate Shock</w:t>
            </w:r>
          </w:p>
        </w:tc>
        <w:tc>
          <w:tcPr>
            <w:tcW w:w="12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Interest Rate Shock</w:t>
            </w:r>
          </w:p>
        </w:tc>
        <w:tc>
          <w:tcPr>
            <w:tcW w:w="128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740" w:type="dxa"/>
            <w:vAlign w:val="bottom"/>
            <w:gridSpan w:val="6"/>
          </w:tcPr>
          <w:p>
            <w:pPr>
              <w:jc w:val="center"/>
              <w:ind w:right="1100"/>
              <w:spacing w:after="0" w:line="196" w:lineRule="exact"/>
              <w:rPr>
                <w:sz w:val="20"/>
                <w:szCs w:val="20"/>
                <w:color w:val="auto"/>
              </w:rPr>
            </w:pPr>
            <w:r>
              <w:rPr>
                <w:rFonts w:ascii="Arial" w:cs="Arial" w:eastAsia="Arial" w:hAnsi="Arial"/>
                <w:sz w:val="18"/>
                <w:szCs w:val="18"/>
                <w:color w:val="auto"/>
                <w:w w:val="92"/>
              </w:rPr>
              <w:t>on Net Interest Margin</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20" w:type="dxa"/>
            <w:vAlign w:val="bottom"/>
            <w:gridSpan w:val="6"/>
          </w:tcPr>
          <w:p>
            <w:pPr>
              <w:spacing w:after="0" w:line="196" w:lineRule="exact"/>
              <w:rPr>
                <w:sz w:val="20"/>
                <w:szCs w:val="20"/>
                <w:color w:val="auto"/>
              </w:rPr>
            </w:pPr>
            <w:r>
              <w:rPr>
                <w:rFonts w:ascii="Arial" w:cs="Arial" w:eastAsia="Arial" w:hAnsi="Arial"/>
                <w:sz w:val="18"/>
                <w:szCs w:val="18"/>
                <w:color w:val="auto"/>
              </w:rPr>
              <w:t>on Net Interest Income</w:t>
            </w:r>
          </w:p>
        </w:tc>
      </w:tr>
      <w:tr>
        <w:trPr>
          <w:trHeight w:val="20"/>
        </w:trPr>
        <w:tc>
          <w:tcPr>
            <w:tcW w:w="1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3"/>
        </w:trPr>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0"/>
              </w:rPr>
              <w:t>Net Interest</w:t>
            </w:r>
          </w:p>
        </w:tc>
        <w:tc>
          <w:tcPr>
            <w:tcW w:w="220" w:type="dxa"/>
            <w:vAlign w:val="bottom"/>
          </w:tcPr>
          <w:p>
            <w:pPr>
              <w:spacing w:after="0"/>
              <w:rPr>
                <w:sz w:val="22"/>
                <w:szCs w:val="22"/>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88"/>
              </w:rPr>
              <w:t>% Change to</w:t>
            </w:r>
          </w:p>
        </w:tc>
        <w:tc>
          <w:tcPr>
            <w:tcW w:w="2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24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2"/>
                <w:szCs w:val="22"/>
                <w:color w:val="auto"/>
              </w:rPr>
            </w:pPr>
          </w:p>
        </w:tc>
        <w:tc>
          <w:tcPr>
            <w:tcW w:w="1800" w:type="dxa"/>
            <w:vAlign w:val="bottom"/>
            <w:gridSpan w:val="3"/>
          </w:tcPr>
          <w:p>
            <w:pPr>
              <w:ind w:left="480"/>
              <w:spacing w:after="0"/>
              <w:rPr>
                <w:sz w:val="20"/>
                <w:szCs w:val="20"/>
                <w:color w:val="auto"/>
              </w:rPr>
            </w:pPr>
            <w:r>
              <w:rPr>
                <w:rFonts w:ascii="Arial" w:cs="Arial" w:eastAsia="Arial" w:hAnsi="Arial"/>
                <w:sz w:val="18"/>
                <w:szCs w:val="18"/>
                <w:color w:val="auto"/>
              </w:rPr>
              <w:t>Cumulative</w:t>
            </w:r>
          </w:p>
        </w:tc>
        <w:tc>
          <w:tcPr>
            <w:tcW w:w="34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90"/>
              </w:rPr>
              <w:t>% Change to</w:t>
            </w:r>
          </w:p>
        </w:tc>
      </w:tr>
      <w:tr>
        <w:trPr>
          <w:trHeight w:val="250"/>
        </w:trPr>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Margin (Ratio)</w:t>
            </w:r>
          </w:p>
        </w:tc>
        <w:tc>
          <w:tcPr>
            <w:tcW w:w="220" w:type="dxa"/>
            <w:vAlign w:val="bottom"/>
          </w:tcPr>
          <w:p>
            <w:pPr>
              <w:spacing w:after="0"/>
              <w:rPr>
                <w:sz w:val="21"/>
                <w:szCs w:val="21"/>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Flat Rate</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Direction</w:t>
            </w:r>
          </w:p>
        </w:tc>
        <w:tc>
          <w:tcPr>
            <w:tcW w:w="24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Changes by</w:t>
            </w:r>
          </w:p>
        </w:tc>
        <w:tc>
          <w:tcPr>
            <w:tcW w:w="160" w:type="dxa"/>
            <w:vAlign w:val="bottom"/>
          </w:tcPr>
          <w:p>
            <w:pPr>
              <w:spacing w:after="0"/>
              <w:rPr>
                <w:sz w:val="21"/>
                <w:szCs w:val="21"/>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Total ($000)</w:t>
            </w:r>
          </w:p>
        </w:tc>
        <w:tc>
          <w:tcPr>
            <w:tcW w:w="3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0"/>
              </w:rPr>
              <w:t>Flat Rate</w:t>
            </w:r>
          </w:p>
        </w:tc>
      </w:tr>
      <w:tr>
        <w:trPr>
          <w:trHeight w:val="243"/>
        </w:trPr>
        <w:tc>
          <w:tcPr>
            <w:tcW w:w="122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3.33%</w:t>
            </w: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-1.10%</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160" w:type="dxa"/>
            <w:vAlign w:val="bottom"/>
            <w:shd w:val="clear" w:color="auto" w:fill="CFF0FC"/>
          </w:tcPr>
          <w:p>
            <w:pPr>
              <w:spacing w:after="0"/>
              <w:rPr>
                <w:sz w:val="21"/>
                <w:szCs w:val="21"/>
                <w:color w:val="auto"/>
              </w:rPr>
            </w:pPr>
          </w:p>
        </w:tc>
        <w:tc>
          <w:tcPr>
            <w:tcW w:w="1800" w:type="dxa"/>
            <w:vAlign w:val="bottom"/>
            <w:gridSpan w:val="3"/>
            <w:shd w:val="clear" w:color="auto" w:fill="CFF0FC"/>
          </w:tcPr>
          <w:p>
            <w:pPr>
              <w:ind w:left="1280"/>
              <w:spacing w:after="0"/>
              <w:rPr>
                <w:sz w:val="20"/>
                <w:szCs w:val="20"/>
                <w:color w:val="auto"/>
              </w:rPr>
            </w:pPr>
            <w:r>
              <w:rPr>
                <w:rFonts w:ascii="Arial" w:cs="Arial" w:eastAsia="Arial" w:hAnsi="Arial"/>
                <w:sz w:val="18"/>
                <w:szCs w:val="18"/>
                <w:color w:val="auto"/>
                <w:w w:val="90"/>
              </w:rPr>
              <w:t>92,359</w:t>
            </w:r>
          </w:p>
        </w:tc>
        <w:tc>
          <w:tcPr>
            <w:tcW w:w="3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-2.91%</w:t>
            </w:r>
          </w:p>
        </w:tc>
      </w:tr>
      <w:tr>
        <w:trPr>
          <w:trHeight w:val="237"/>
        </w:trPr>
        <w:tc>
          <w:tcPr>
            <w:tcW w:w="122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3.39%</w:t>
            </w:r>
          </w:p>
        </w:tc>
        <w:tc>
          <w:tcPr>
            <w:tcW w:w="600" w:type="dxa"/>
            <w:vAlign w:val="bottom"/>
          </w:tcPr>
          <w:p>
            <w:pPr>
              <w:spacing w:after="0"/>
              <w:rPr>
                <w:sz w:val="20"/>
                <w:szCs w:val="20"/>
                <w:color w:val="auto"/>
              </w:rPr>
            </w:pPr>
          </w:p>
        </w:tc>
        <w:tc>
          <w:tcPr>
            <w:tcW w:w="2020" w:type="dxa"/>
            <w:vAlign w:val="bottom"/>
            <w:gridSpan w:val="4"/>
          </w:tcPr>
          <w:p>
            <w:pPr>
              <w:jc w:val="center"/>
              <w:ind w:left="130"/>
              <w:spacing w:after="0"/>
              <w:rPr>
                <w:sz w:val="20"/>
                <w:szCs w:val="20"/>
                <w:color w:val="auto"/>
              </w:rPr>
            </w:pPr>
            <w:r>
              <w:rPr>
                <w:rFonts w:ascii="Arial" w:cs="Arial" w:eastAsia="Arial" w:hAnsi="Arial"/>
                <w:sz w:val="18"/>
                <w:szCs w:val="18"/>
                <w:color w:val="auto"/>
                <w:w w:val="93"/>
              </w:rPr>
              <w:t>0.81%</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Rising</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2.00%</w:t>
            </w:r>
          </w:p>
        </w:tc>
        <w:tc>
          <w:tcPr>
            <w:tcW w:w="1960" w:type="dxa"/>
            <w:vAlign w:val="bottom"/>
            <w:gridSpan w:val="4"/>
          </w:tcPr>
          <w:p>
            <w:pPr>
              <w:ind w:left="1440"/>
              <w:spacing w:after="0"/>
              <w:rPr>
                <w:sz w:val="20"/>
                <w:szCs w:val="20"/>
                <w:color w:val="auto"/>
              </w:rPr>
            </w:pPr>
            <w:r>
              <w:rPr>
                <w:rFonts w:ascii="Arial" w:cs="Arial" w:eastAsia="Arial" w:hAnsi="Arial"/>
                <w:sz w:val="18"/>
                <w:szCs w:val="18"/>
                <w:color w:val="auto"/>
                <w:w w:val="90"/>
              </w:rPr>
              <w:t>94,543</w:t>
            </w:r>
          </w:p>
        </w:tc>
        <w:tc>
          <w:tcPr>
            <w:tcW w:w="2180" w:type="dxa"/>
            <w:vAlign w:val="bottom"/>
            <w:gridSpan w:val="4"/>
          </w:tcPr>
          <w:p>
            <w:pPr>
              <w:jc w:val="center"/>
              <w:ind w:left="250"/>
              <w:spacing w:after="0"/>
              <w:rPr>
                <w:sz w:val="20"/>
                <w:szCs w:val="20"/>
                <w:color w:val="auto"/>
              </w:rPr>
            </w:pPr>
            <w:r>
              <w:rPr>
                <w:rFonts w:ascii="Arial" w:cs="Arial" w:eastAsia="Arial" w:hAnsi="Arial"/>
                <w:sz w:val="18"/>
                <w:szCs w:val="18"/>
                <w:color w:val="auto"/>
                <w:w w:val="91"/>
              </w:rPr>
              <w:t>-0.62%</w:t>
            </w:r>
          </w:p>
        </w:tc>
      </w:tr>
      <w:tr>
        <w:trPr>
          <w:trHeight w:val="249"/>
        </w:trPr>
        <w:tc>
          <w:tcPr>
            <w:tcW w:w="122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3.44%</w:t>
            </w:r>
          </w:p>
        </w:tc>
        <w:tc>
          <w:tcPr>
            <w:tcW w:w="600" w:type="dxa"/>
            <w:vAlign w:val="bottom"/>
            <w:shd w:val="clear" w:color="auto" w:fill="CFF0FC"/>
          </w:tcPr>
          <w:p>
            <w:pPr>
              <w:spacing w:after="0"/>
              <w:rPr>
                <w:sz w:val="21"/>
                <w:szCs w:val="21"/>
                <w:color w:val="auto"/>
              </w:rPr>
            </w:pPr>
          </w:p>
        </w:tc>
        <w:tc>
          <w:tcPr>
            <w:tcW w:w="2020" w:type="dxa"/>
            <w:vAlign w:val="bottom"/>
            <w:gridSpan w:val="4"/>
            <w:shd w:val="clear" w:color="auto" w:fill="CFF0FC"/>
          </w:tcPr>
          <w:p>
            <w:pPr>
              <w:jc w:val="center"/>
              <w:ind w:left="130"/>
              <w:spacing w:after="0"/>
              <w:rPr>
                <w:sz w:val="20"/>
                <w:szCs w:val="20"/>
                <w:color w:val="auto"/>
              </w:rPr>
            </w:pPr>
            <w:r>
              <w:rPr>
                <w:rFonts w:ascii="Arial" w:cs="Arial" w:eastAsia="Arial" w:hAnsi="Arial"/>
                <w:sz w:val="18"/>
                <w:szCs w:val="18"/>
                <w:color w:val="auto"/>
                <w:w w:val="93"/>
              </w:rPr>
              <w:t>2.28%</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16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0"/>
              </w:rPr>
              <w:t>1.00%</w:t>
            </w:r>
          </w:p>
        </w:tc>
        <w:tc>
          <w:tcPr>
            <w:tcW w:w="1960" w:type="dxa"/>
            <w:vAlign w:val="bottom"/>
            <w:gridSpan w:val="4"/>
            <w:shd w:val="clear" w:color="auto" w:fill="CFF0FC"/>
          </w:tcPr>
          <w:p>
            <w:pPr>
              <w:ind w:left="1440"/>
              <w:spacing w:after="0"/>
              <w:rPr>
                <w:sz w:val="20"/>
                <w:szCs w:val="20"/>
                <w:color w:val="auto"/>
              </w:rPr>
            </w:pPr>
            <w:r>
              <w:rPr>
                <w:rFonts w:ascii="Arial" w:cs="Arial" w:eastAsia="Arial" w:hAnsi="Arial"/>
                <w:sz w:val="18"/>
                <w:szCs w:val="18"/>
                <w:color w:val="auto"/>
                <w:w w:val="90"/>
              </w:rPr>
              <w:t>96,383</w:t>
            </w:r>
          </w:p>
        </w:tc>
        <w:tc>
          <w:tcPr>
            <w:tcW w:w="2180" w:type="dxa"/>
            <w:vAlign w:val="bottom"/>
            <w:gridSpan w:val="4"/>
            <w:shd w:val="clear" w:color="auto" w:fill="CFF0FC"/>
          </w:tcPr>
          <w:p>
            <w:pPr>
              <w:jc w:val="center"/>
              <w:ind w:left="270"/>
              <w:spacing w:after="0"/>
              <w:rPr>
                <w:sz w:val="20"/>
                <w:szCs w:val="20"/>
                <w:color w:val="auto"/>
              </w:rPr>
            </w:pPr>
            <w:r>
              <w:rPr>
                <w:rFonts w:ascii="Arial" w:cs="Arial" w:eastAsia="Arial" w:hAnsi="Arial"/>
                <w:sz w:val="18"/>
                <w:szCs w:val="18"/>
                <w:color w:val="auto"/>
                <w:w w:val="90"/>
              </w:rPr>
              <w:t>1.32%</w:t>
            </w:r>
          </w:p>
        </w:tc>
      </w:tr>
      <w:tr>
        <w:trPr>
          <w:trHeight w:val="237"/>
        </w:trPr>
        <w:tc>
          <w:tcPr>
            <w:tcW w:w="122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3.36%</w:t>
            </w:r>
          </w:p>
        </w:tc>
        <w:tc>
          <w:tcPr>
            <w:tcW w:w="600" w:type="dxa"/>
            <w:vAlign w:val="bottom"/>
          </w:tcPr>
          <w:p>
            <w:pPr>
              <w:spacing w:after="0"/>
              <w:rPr>
                <w:sz w:val="20"/>
                <w:szCs w:val="20"/>
                <w:color w:val="auto"/>
              </w:rPr>
            </w:pPr>
          </w:p>
        </w:tc>
        <w:tc>
          <w:tcPr>
            <w:tcW w:w="2020" w:type="dxa"/>
            <w:vAlign w:val="bottom"/>
            <w:gridSpan w:val="4"/>
          </w:tcPr>
          <w:p>
            <w:pPr>
              <w:jc w:val="center"/>
              <w:ind w:left="130"/>
              <w:spacing w:after="0"/>
              <w:rPr>
                <w:sz w:val="20"/>
                <w:szCs w:val="20"/>
                <w:color w:val="auto"/>
              </w:rPr>
            </w:pPr>
            <w:r>
              <w:rPr>
                <w:rFonts w:ascii="Arial" w:cs="Arial" w:eastAsia="Arial" w:hAnsi="Arial"/>
                <w:sz w:val="18"/>
                <w:szCs w:val="18"/>
                <w:color w:val="auto"/>
                <w:w w:val="93"/>
              </w:rPr>
              <w:t>0.00%</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Flat</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0.00%</w:t>
            </w:r>
          </w:p>
        </w:tc>
        <w:tc>
          <w:tcPr>
            <w:tcW w:w="1960" w:type="dxa"/>
            <w:vAlign w:val="bottom"/>
            <w:gridSpan w:val="4"/>
          </w:tcPr>
          <w:p>
            <w:pPr>
              <w:ind w:left="1440"/>
              <w:spacing w:after="0"/>
              <w:rPr>
                <w:sz w:val="20"/>
                <w:szCs w:val="20"/>
                <w:color w:val="auto"/>
              </w:rPr>
            </w:pPr>
            <w:r>
              <w:rPr>
                <w:rFonts w:ascii="Arial" w:cs="Arial" w:eastAsia="Arial" w:hAnsi="Arial"/>
                <w:sz w:val="18"/>
                <w:szCs w:val="18"/>
                <w:color w:val="auto"/>
                <w:w w:val="90"/>
              </w:rPr>
              <w:t>95,132</w:t>
            </w:r>
          </w:p>
        </w:tc>
        <w:tc>
          <w:tcPr>
            <w:tcW w:w="218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0.00%</w:t>
            </w:r>
          </w:p>
        </w:tc>
      </w:tr>
      <w:tr>
        <w:trPr>
          <w:trHeight w:val="249"/>
        </w:trPr>
        <w:tc>
          <w:tcPr>
            <w:tcW w:w="122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3.11%</w:t>
            </w:r>
          </w:p>
        </w:tc>
        <w:tc>
          <w:tcPr>
            <w:tcW w:w="600" w:type="dxa"/>
            <w:vAlign w:val="bottom"/>
            <w:shd w:val="clear" w:color="auto" w:fill="CFF0FC"/>
          </w:tcPr>
          <w:p>
            <w:pPr>
              <w:spacing w:after="0"/>
              <w:rPr>
                <w:sz w:val="21"/>
                <w:szCs w:val="21"/>
                <w:color w:val="auto"/>
              </w:rPr>
            </w:pPr>
          </w:p>
        </w:tc>
        <w:tc>
          <w:tcPr>
            <w:tcW w:w="2020" w:type="dxa"/>
            <w:vAlign w:val="bottom"/>
            <w:gridSpan w:val="4"/>
            <w:shd w:val="clear" w:color="auto" w:fill="CFF0FC"/>
          </w:tcPr>
          <w:p>
            <w:pPr>
              <w:jc w:val="center"/>
              <w:ind w:left="130"/>
              <w:spacing w:after="0"/>
              <w:rPr>
                <w:sz w:val="20"/>
                <w:szCs w:val="20"/>
                <w:color w:val="auto"/>
              </w:rPr>
            </w:pPr>
            <w:r>
              <w:rPr>
                <w:rFonts w:ascii="Arial" w:cs="Arial" w:eastAsia="Arial" w:hAnsi="Arial"/>
                <w:sz w:val="18"/>
                <w:szCs w:val="18"/>
                <w:color w:val="auto"/>
                <w:w w:val="91"/>
              </w:rPr>
              <w:t>-7.63%</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Falling</w:t>
            </w:r>
          </w:p>
        </w:tc>
        <w:tc>
          <w:tcPr>
            <w:tcW w:w="16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-1.00%</w:t>
            </w:r>
          </w:p>
        </w:tc>
        <w:tc>
          <w:tcPr>
            <w:tcW w:w="1960" w:type="dxa"/>
            <w:vAlign w:val="bottom"/>
            <w:gridSpan w:val="4"/>
            <w:shd w:val="clear" w:color="auto" w:fill="CFF0FC"/>
          </w:tcPr>
          <w:p>
            <w:pPr>
              <w:ind w:left="1440"/>
              <w:spacing w:after="0"/>
              <w:rPr>
                <w:sz w:val="20"/>
                <w:szCs w:val="20"/>
                <w:color w:val="auto"/>
              </w:rPr>
            </w:pPr>
            <w:r>
              <w:rPr>
                <w:rFonts w:ascii="Arial" w:cs="Arial" w:eastAsia="Arial" w:hAnsi="Arial"/>
                <w:sz w:val="18"/>
                <w:szCs w:val="18"/>
                <w:color w:val="auto"/>
                <w:w w:val="90"/>
              </w:rPr>
              <w:t>89,085</w:t>
            </w:r>
          </w:p>
        </w:tc>
        <w:tc>
          <w:tcPr>
            <w:tcW w:w="2180" w:type="dxa"/>
            <w:vAlign w:val="bottom"/>
            <w:gridSpan w:val="4"/>
            <w:shd w:val="clear" w:color="auto" w:fill="CFF0FC"/>
          </w:tcPr>
          <w:p>
            <w:pPr>
              <w:jc w:val="center"/>
              <w:ind w:left="250"/>
              <w:spacing w:after="0"/>
              <w:rPr>
                <w:sz w:val="20"/>
                <w:szCs w:val="20"/>
                <w:color w:val="auto"/>
              </w:rPr>
            </w:pPr>
            <w:r>
              <w:rPr>
                <w:rFonts w:ascii="Arial" w:cs="Arial" w:eastAsia="Arial" w:hAnsi="Arial"/>
                <w:sz w:val="18"/>
                <w:szCs w:val="18"/>
                <w:color w:val="auto"/>
                <w:w w:val="91"/>
              </w:rPr>
              <w:t>-6.36%</w:t>
            </w:r>
          </w:p>
        </w:tc>
      </w:tr>
      <w:tr>
        <w:trPr>
          <w:trHeight w:val="237"/>
        </w:trPr>
        <w:tc>
          <w:tcPr>
            <w:tcW w:w="122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2.92%</w:t>
            </w:r>
          </w:p>
        </w:tc>
        <w:tc>
          <w:tcPr>
            <w:tcW w:w="600" w:type="dxa"/>
            <w:vAlign w:val="bottom"/>
          </w:tcPr>
          <w:p>
            <w:pPr>
              <w:spacing w:after="0"/>
              <w:rPr>
                <w:sz w:val="20"/>
                <w:szCs w:val="20"/>
                <w:color w:val="auto"/>
              </w:rPr>
            </w:pPr>
          </w:p>
        </w:tc>
        <w:tc>
          <w:tcPr>
            <w:tcW w:w="2020" w:type="dxa"/>
            <w:vAlign w:val="bottom"/>
            <w:gridSpan w:val="4"/>
          </w:tcPr>
          <w:p>
            <w:pPr>
              <w:jc w:val="center"/>
              <w:ind w:left="130"/>
              <w:spacing w:after="0"/>
              <w:rPr>
                <w:sz w:val="20"/>
                <w:szCs w:val="20"/>
                <w:color w:val="auto"/>
              </w:rPr>
            </w:pPr>
            <w:r>
              <w:rPr>
                <w:rFonts w:ascii="Arial" w:cs="Arial" w:eastAsia="Arial" w:hAnsi="Arial"/>
                <w:sz w:val="18"/>
                <w:szCs w:val="18"/>
                <w:color w:val="auto"/>
                <w:w w:val="89"/>
              </w:rPr>
              <w:t>-13.09%</w:t>
            </w:r>
          </w:p>
        </w:tc>
        <w:tc>
          <w:tcPr>
            <w:tcW w:w="2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Falling</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-2.00%</w:t>
            </w:r>
          </w:p>
        </w:tc>
        <w:tc>
          <w:tcPr>
            <w:tcW w:w="1960" w:type="dxa"/>
            <w:vAlign w:val="bottom"/>
            <w:gridSpan w:val="4"/>
          </w:tcPr>
          <w:p>
            <w:pPr>
              <w:ind w:left="1460"/>
              <w:spacing w:after="0"/>
              <w:rPr>
                <w:sz w:val="20"/>
                <w:szCs w:val="20"/>
                <w:color w:val="auto"/>
              </w:rPr>
            </w:pPr>
            <w:r>
              <w:rPr>
                <w:rFonts w:ascii="Arial" w:cs="Arial" w:eastAsia="Arial" w:hAnsi="Arial"/>
                <w:sz w:val="18"/>
                <w:szCs w:val="18"/>
                <w:color w:val="auto"/>
                <w:w w:val="87"/>
              </w:rPr>
              <w:t>85,113</w:t>
            </w:r>
          </w:p>
        </w:tc>
        <w:tc>
          <w:tcPr>
            <w:tcW w:w="2180" w:type="dxa"/>
            <w:vAlign w:val="bottom"/>
            <w:gridSpan w:val="4"/>
          </w:tcPr>
          <w:p>
            <w:pPr>
              <w:jc w:val="center"/>
              <w:ind w:left="270"/>
              <w:spacing w:after="0"/>
              <w:rPr>
                <w:sz w:val="20"/>
                <w:szCs w:val="20"/>
                <w:color w:val="auto"/>
              </w:rPr>
            </w:pPr>
            <w:r>
              <w:rPr>
                <w:rFonts w:ascii="Arial" w:cs="Arial" w:eastAsia="Arial" w:hAnsi="Arial"/>
                <w:sz w:val="18"/>
                <w:szCs w:val="18"/>
                <w:color w:val="auto"/>
                <w:w w:val="92"/>
              </w:rPr>
              <w:t>-10.53%</w:t>
            </w:r>
          </w:p>
        </w:tc>
      </w:tr>
      <w:tr>
        <w:trPr>
          <w:trHeight w:val="249"/>
        </w:trPr>
        <w:tc>
          <w:tcPr>
            <w:tcW w:w="1220" w:type="dxa"/>
            <w:vAlign w:val="bottom"/>
            <w:gridSpan w:val="2"/>
            <w:shd w:val="clear" w:color="auto" w:fill="CFF0FC"/>
          </w:tcPr>
          <w:p>
            <w:pPr>
              <w:jc w:val="center"/>
              <w:ind w:left="510"/>
              <w:spacing w:after="0"/>
              <w:rPr>
                <w:sz w:val="20"/>
                <w:szCs w:val="20"/>
                <w:color w:val="auto"/>
              </w:rPr>
            </w:pPr>
            <w:r>
              <w:rPr>
                <w:rFonts w:ascii="Arial" w:cs="Arial" w:eastAsia="Arial" w:hAnsi="Arial"/>
                <w:sz w:val="18"/>
                <w:szCs w:val="18"/>
                <w:color w:val="auto"/>
                <w:w w:val="90"/>
              </w:rPr>
              <w:t>2.74%</w:t>
            </w:r>
          </w:p>
        </w:tc>
        <w:tc>
          <w:tcPr>
            <w:tcW w:w="600" w:type="dxa"/>
            <w:vAlign w:val="bottom"/>
            <w:shd w:val="clear" w:color="auto" w:fill="CFF0FC"/>
          </w:tcPr>
          <w:p>
            <w:pPr>
              <w:spacing w:after="0"/>
              <w:rPr>
                <w:sz w:val="21"/>
                <w:szCs w:val="21"/>
                <w:color w:val="auto"/>
              </w:rPr>
            </w:pPr>
          </w:p>
        </w:tc>
        <w:tc>
          <w:tcPr>
            <w:tcW w:w="2020" w:type="dxa"/>
            <w:vAlign w:val="bottom"/>
            <w:gridSpan w:val="4"/>
            <w:shd w:val="clear" w:color="auto" w:fill="CFF0FC"/>
          </w:tcPr>
          <w:p>
            <w:pPr>
              <w:jc w:val="center"/>
              <w:ind w:left="130"/>
              <w:spacing w:after="0"/>
              <w:rPr>
                <w:sz w:val="20"/>
                <w:szCs w:val="20"/>
                <w:color w:val="auto"/>
              </w:rPr>
            </w:pPr>
            <w:r>
              <w:rPr>
                <w:rFonts w:ascii="Arial" w:cs="Arial" w:eastAsia="Arial" w:hAnsi="Arial"/>
                <w:sz w:val="18"/>
                <w:szCs w:val="18"/>
                <w:color w:val="auto"/>
                <w:w w:val="89"/>
              </w:rPr>
              <w:t>-18.64%</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Falling</w:t>
            </w:r>
          </w:p>
        </w:tc>
        <w:tc>
          <w:tcPr>
            <w:tcW w:w="164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4"/>
              </w:rPr>
              <w:t>-3.00%</w:t>
            </w:r>
          </w:p>
        </w:tc>
        <w:tc>
          <w:tcPr>
            <w:tcW w:w="1960" w:type="dxa"/>
            <w:vAlign w:val="bottom"/>
            <w:gridSpan w:val="4"/>
            <w:shd w:val="clear" w:color="auto" w:fill="CFF0FC"/>
          </w:tcPr>
          <w:p>
            <w:pPr>
              <w:ind w:left="1440"/>
              <w:spacing w:after="0"/>
              <w:rPr>
                <w:sz w:val="20"/>
                <w:szCs w:val="20"/>
                <w:color w:val="auto"/>
              </w:rPr>
            </w:pPr>
            <w:r>
              <w:rPr>
                <w:rFonts w:ascii="Arial" w:cs="Arial" w:eastAsia="Arial" w:hAnsi="Arial"/>
                <w:sz w:val="18"/>
                <w:szCs w:val="18"/>
                <w:color w:val="auto"/>
                <w:w w:val="90"/>
              </w:rPr>
              <w:t>81,062</w:t>
            </w:r>
          </w:p>
        </w:tc>
        <w:tc>
          <w:tcPr>
            <w:tcW w:w="2180" w:type="dxa"/>
            <w:vAlign w:val="bottom"/>
            <w:gridSpan w:val="4"/>
            <w:shd w:val="clear" w:color="auto" w:fill="CFF0FC"/>
          </w:tcPr>
          <w:p>
            <w:pPr>
              <w:jc w:val="center"/>
              <w:ind w:left="270"/>
              <w:spacing w:after="0"/>
              <w:rPr>
                <w:sz w:val="20"/>
                <w:szCs w:val="20"/>
                <w:color w:val="auto"/>
              </w:rPr>
            </w:pPr>
            <w:r>
              <w:rPr>
                <w:rFonts w:ascii="Arial" w:cs="Arial" w:eastAsia="Arial" w:hAnsi="Arial"/>
                <w:sz w:val="18"/>
                <w:szCs w:val="18"/>
                <w:color w:val="auto"/>
                <w:w w:val="92"/>
              </w:rPr>
              <w:t>-14.79%</w:t>
            </w:r>
          </w:p>
        </w:tc>
      </w:tr>
    </w:tbl>
    <w:p>
      <w:pPr>
        <w:spacing w:after="0" w:line="202"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17"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shock chart currently shows a widening in net interest margin over the next twelve months in a rising rate environment up to a 1.00% increase and a tightening as it moves from 1.00% towards the 2.00% and 3.00% increases as well as in the falling rate environments. The 1.00% rising rate scenario is predicted to expand the net interest margin and produce a higher level of net interest income. Cost of funds are at 2.10% for the year so the falling shock of 200 basis points is where the Bank can take partial advantage and reprice some funds to match the level of shock. Once the shocks are falling over 200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limit the increase on cost of funds where possible.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212529"/>
        </w:rPr>
        <w:t xml:space="preserve">Except as indicated below, there have been no material changes in the Company’s risk factors from those disclosed in the Company’s Annual Report on Form 10-K for the year </w:t>
      </w:r>
      <w:r>
        <w:rPr>
          <w:rFonts w:ascii="Arial" w:cs="Arial" w:eastAsia="Arial" w:hAnsi="Arial"/>
          <w:sz w:val="18"/>
          <w:szCs w:val="18"/>
          <w:color w:val="000000"/>
        </w:rPr>
        <w:t>ended December 31, 2022.</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Recent Events Impacting the Financial Services Industry</w:t>
      </w:r>
    </w:p>
    <w:p>
      <w:pPr>
        <w:spacing w:after="0" w:line="202"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Recent events impacting the financial services industry, including the failures of Silicon Valley Bank and Signature Bank, have resulted in decreased confidence in banks among consumer and commercial depositors, other counterparties and investors, as well as significant disruption, volatility and reduced valuations of equity and other securities of banks in the capital markets. These events occurred during a period of rapidly rising interest rates which, among other things, has resulted in unrealized losses in longer duration securities and loans held by banks, more competition for bank deposits and may increase the risk of a potential recession. These recent events have, and could continue to, adversely impact the market price and volatility of the Company's common stock.</w:t>
      </w:r>
    </w:p>
    <w:p>
      <w:pPr>
        <w:spacing w:after="0" w:line="137"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These recent events may also result in potentially adverse changes to laws or regulations governing banks and bank holding companies or result in the impositions of restrictions through supervisory or enforcement activities, including higher capital requirements, which could have a material impact on our business. Inability to access short-term funding or the loss of client deposits could increase our cost of funding, limit access to capital markets or negatively impact our overall liquidity or capitalization. Moreover, we may be impacted by concerns regarding the soundness or creditworthiness of other financial institutions, which can cause substantial and cascading disruption within the financial markets and increased expenses. In addition, the cost of resolving the recent bank failures may prompt the FDIC to increase its premiums above the recently increased levels or to issue additional special assessments.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Inflation Risk</w:t>
      </w:r>
    </w:p>
    <w:p>
      <w:pPr>
        <w:spacing w:after="0" w:line="202" w:lineRule="exact"/>
        <w:rPr>
          <w:sz w:val="20"/>
          <w:szCs w:val="20"/>
          <w:color w:val="auto"/>
        </w:rPr>
      </w:pPr>
    </w:p>
    <w:p>
      <w:pPr>
        <w:jc w:val="both"/>
        <w:ind w:left="760"/>
        <w:spacing w:after="0" w:line="301" w:lineRule="auto"/>
        <w:rPr>
          <w:sz w:val="20"/>
          <w:szCs w:val="20"/>
          <w:color w:val="auto"/>
        </w:rPr>
      </w:pPr>
      <w:r>
        <w:rPr>
          <w:rFonts w:ascii="Arial" w:cs="Arial" w:eastAsia="Arial" w:hAnsi="Arial"/>
          <w:sz w:val="16"/>
          <w:szCs w:val="16"/>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Climate Change Risk</w:t>
      </w:r>
    </w:p>
    <w:p>
      <w:pPr>
        <w:spacing w:after="0" w:line="18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There is an increasing concern over the risks of climate change and related environmental sustainability matters. The physical risks of climate change include discrete events, such as flooding and wildfires, and longer-term shifts in climate patterns, such as extreme heat, sea level rise, and more frequent and prolonged drought. Under medium or longer-term scenarios, such events, if uninterrupted or unaddressed, could disrupt our operations or those of our customers or third parties on which we rely, including through direct damage to assets and indirect impacts from supply chain disruption and market volatility. While the timing and severity of climate change may not be entirely predictable and our risk management processes may not be effective in mitigating climate risk exposure, we continue to build capabilities to identify, assess, and manage climate risks.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Quantitative Modeling Risk</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29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1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7060" w:type="dxa"/>
            <w:vAlign w:val="bottom"/>
            <w:gridSpan w:val="4"/>
          </w:tcPr>
          <w:p>
            <w:pPr>
              <w:jc w:val="right"/>
              <w:ind w:right="290"/>
              <w:spacing w:after="0"/>
              <w:rPr>
                <w:sz w:val="20"/>
                <w:szCs w:val="20"/>
                <w:color w:val="auto"/>
              </w:rPr>
            </w:pPr>
            <w:r>
              <w:rPr>
                <w:rFonts w:ascii="Arial" w:cs="Arial" w:eastAsia="Arial" w:hAnsi="Arial"/>
                <w:sz w:val="18"/>
                <w:szCs w:val="18"/>
                <w:color w:val="auto"/>
                <w:w w:val="94"/>
              </w:rPr>
              <w:t>ITEM 2 UNREGISTERED SALES OF EQUITY SECURITIES AND USE OF PROCEEDS</w:t>
            </w:r>
          </w:p>
        </w:tc>
        <w:tc>
          <w:tcPr>
            <w:tcW w:w="18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4880" w:type="dxa"/>
            <w:vAlign w:val="bottom"/>
            <w:gridSpan w:val="2"/>
          </w:tcPr>
          <w:p>
            <w:pPr>
              <w:jc w:val="right"/>
              <w:ind w:right="250"/>
              <w:spacing w:after="0"/>
              <w:rPr>
                <w:sz w:val="20"/>
                <w:szCs w:val="20"/>
                <w:color w:val="auto"/>
              </w:rPr>
            </w:pPr>
            <w:r>
              <w:rPr>
                <w:rFonts w:ascii="Arial" w:cs="Arial" w:eastAsia="Arial" w:hAnsi="Arial"/>
                <w:sz w:val="18"/>
                <w:szCs w:val="18"/>
                <w:color w:val="auto"/>
                <w:w w:val="91"/>
              </w:rPr>
              <w:t>Treasury stock repurchased the quarter ended June 30, 2023.</w:t>
            </w: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58"/>
        </w:trPr>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(d) Maximum</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(c) Total 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Number</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of Shares Purchased</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of Shares that may</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4"/>
              </w:rPr>
              <w:t>as Part</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yet be</w:t>
            </w:r>
          </w:p>
        </w:tc>
      </w:t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180"/>
        </w:trPr>
        <w:tc>
          <w:tcPr>
            <w:tcW w:w="5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540" w:type="dxa"/>
            <w:vAlign w:val="bottom"/>
          </w:tcPr>
          <w:p>
            <w:pPr>
              <w:jc w:val="right"/>
              <w:ind w:right="330"/>
              <w:spacing w:after="0" w:line="181" w:lineRule="exact"/>
              <w:rPr>
                <w:sz w:val="20"/>
                <w:szCs w:val="20"/>
                <w:color w:val="auto"/>
              </w:rPr>
            </w:pPr>
            <w:r>
              <w:rPr>
                <w:rFonts w:ascii="Arial" w:cs="Arial" w:eastAsia="Arial" w:hAnsi="Arial"/>
                <w:sz w:val="18"/>
                <w:szCs w:val="18"/>
                <w:color w:val="auto"/>
              </w:rPr>
              <w:t>(a) Total Number of</w:t>
            </w:r>
          </w:p>
        </w:tc>
        <w:tc>
          <w:tcPr>
            <w:tcW w:w="1600" w:type="dxa"/>
            <w:vAlign w:val="bottom"/>
          </w:tcPr>
          <w:p>
            <w:pPr>
              <w:jc w:val="right"/>
              <w:ind w:right="190"/>
              <w:spacing w:after="0" w:line="181" w:lineRule="exact"/>
              <w:rPr>
                <w:sz w:val="20"/>
                <w:szCs w:val="20"/>
                <w:color w:val="auto"/>
              </w:rPr>
            </w:pPr>
            <w:r>
              <w:rPr>
                <w:rFonts w:ascii="Arial" w:cs="Arial" w:eastAsia="Arial" w:hAnsi="Arial"/>
                <w:sz w:val="18"/>
                <w:szCs w:val="18"/>
                <w:color w:val="auto"/>
                <w:w w:val="92"/>
              </w:rPr>
              <w:t>(b) Average Price</w:t>
            </w:r>
          </w:p>
        </w:tc>
        <w:tc>
          <w:tcPr>
            <w:tcW w:w="1840" w:type="dxa"/>
            <w:vAlign w:val="bottom"/>
          </w:tcPr>
          <w:p>
            <w:pPr>
              <w:jc w:val="center"/>
              <w:spacing w:after="0" w:line="181" w:lineRule="exact"/>
              <w:rPr>
                <w:sz w:val="20"/>
                <w:szCs w:val="20"/>
                <w:color w:val="auto"/>
              </w:rPr>
            </w:pPr>
            <w:r>
              <w:rPr>
                <w:rFonts w:ascii="Arial" w:cs="Arial" w:eastAsia="Arial" w:hAnsi="Arial"/>
                <w:sz w:val="18"/>
                <w:szCs w:val="18"/>
                <w:color w:val="auto"/>
                <w:w w:val="90"/>
              </w:rPr>
              <w:t>Announced Plan</w:t>
            </w:r>
          </w:p>
        </w:tc>
        <w:tc>
          <w:tcPr>
            <w:tcW w:w="1780" w:type="dxa"/>
            <w:vAlign w:val="bottom"/>
          </w:tcPr>
          <w:p>
            <w:pPr>
              <w:jc w:val="center"/>
              <w:spacing w:after="0" w:line="181" w:lineRule="exact"/>
              <w:rPr>
                <w:sz w:val="20"/>
                <w:szCs w:val="20"/>
                <w:color w:val="auto"/>
              </w:rPr>
            </w:pPr>
            <w:r>
              <w:rPr>
                <w:rFonts w:ascii="Arial" w:cs="Arial" w:eastAsia="Arial" w:hAnsi="Arial"/>
                <w:sz w:val="18"/>
                <w:szCs w:val="18"/>
                <w:color w:val="auto"/>
                <w:w w:val="87"/>
              </w:rPr>
              <w:t>Plans or</w:t>
            </w:r>
          </w:p>
        </w:tc>
      </w:tr>
      <w:tr>
        <w:trPr>
          <w:trHeight w:val="279"/>
        </w:trPr>
        <w:tc>
          <w:tcPr>
            <w:tcW w:w="580" w:type="dxa"/>
            <w:vAlign w:val="bottom"/>
          </w:tcPr>
          <w:p>
            <w:pPr>
              <w:spacing w:after="0"/>
              <w:rPr>
                <w:sz w:val="24"/>
                <w:szCs w:val="24"/>
                <w:color w:val="auto"/>
              </w:rPr>
            </w:pPr>
          </w:p>
        </w:tc>
        <w:tc>
          <w:tcPr>
            <w:tcW w:w="23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Period</w:t>
            </w:r>
          </w:p>
        </w:tc>
        <w:tc>
          <w:tcPr>
            <w:tcW w:w="2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Shares Purchased</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Paid per Share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xml:space="preserve">or Programs </w:t>
            </w:r>
            <w:r>
              <w:rPr>
                <w:rFonts w:ascii="Arial" w:cs="Arial" w:eastAsia="Arial" w:hAnsi="Arial"/>
                <w:sz w:val="24"/>
                <w:szCs w:val="24"/>
                <w:color w:val="auto"/>
                <w:w w:val="87"/>
                <w:vertAlign w:val="superscript"/>
              </w:rPr>
              <w:t>(1)</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r>
      <w:tr>
        <w:trPr>
          <w:trHeight w:val="237"/>
        </w:trPr>
        <w:tc>
          <w:tcPr>
            <w:tcW w:w="580" w:type="dxa"/>
            <w:vAlign w:val="bottom"/>
          </w:tcPr>
          <w:p>
            <w:pPr>
              <w:spacing w:after="0"/>
              <w:rPr>
                <w:sz w:val="20"/>
                <w:szCs w:val="20"/>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4/1/2023 to 4/30/2023</w:t>
            </w:r>
          </w:p>
        </w:tc>
        <w:tc>
          <w:tcPr>
            <w:tcW w:w="2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650,000</w:t>
            </w:r>
          </w:p>
        </w:tc>
      </w:tr>
      <w:tr>
        <w:trPr>
          <w:trHeight w:val="243"/>
        </w:trPr>
        <w:tc>
          <w:tcPr>
            <w:tcW w:w="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5/1/2023 to 5/31/2023</w:t>
            </w:r>
          </w:p>
        </w:tc>
        <w:tc>
          <w:tcPr>
            <w:tcW w:w="2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650,000</w:t>
            </w:r>
          </w:p>
        </w:tc>
      </w:tr>
      <w:tr>
        <w:trPr>
          <w:trHeight w:val="243"/>
        </w:trPr>
        <w:tc>
          <w:tcPr>
            <w:tcW w:w="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6/1/2023 to 6/30/2023</w:t>
            </w:r>
          </w:p>
        </w:tc>
        <w:tc>
          <w:tcPr>
            <w:tcW w:w="2540" w:type="dxa"/>
            <w:vAlign w:val="bottom"/>
            <w:tcBorders>
              <w:bottom w:val="single" w:sz="8" w:color="auto"/>
            </w:tcBorders>
            <w:shd w:val="clear" w:color="auto" w:fill="CFF0FC"/>
          </w:tcPr>
          <w:p>
            <w:pPr>
              <w:jc w:val="right"/>
              <w:spacing w:after="0" w:line="243" w:lineRule="exact"/>
              <w:rPr>
                <w:sz w:val="20"/>
                <w:szCs w:val="20"/>
                <w:color w:val="auto"/>
              </w:rPr>
            </w:pPr>
            <w:r>
              <w:rPr>
                <w:rFonts w:ascii="Arial" w:cs="Arial" w:eastAsia="Arial" w:hAnsi="Arial"/>
                <w:sz w:val="18"/>
                <w:szCs w:val="18"/>
                <w:color w:val="auto"/>
              </w:rPr>
              <w:t xml:space="preserve">208  </w:t>
            </w:r>
            <w:r>
              <w:rPr>
                <w:rFonts w:ascii="Arial" w:cs="Arial" w:eastAsia="Arial" w:hAnsi="Arial"/>
                <w:sz w:val="24"/>
                <w:szCs w:val="24"/>
                <w:color w:val="auto"/>
                <w:vertAlign w:val="superscript"/>
              </w:rPr>
              <w:t>(2)</w:t>
            </w:r>
          </w:p>
        </w:tc>
        <w:tc>
          <w:tcPr>
            <w:tcW w:w="16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23.30</w:t>
            </w:r>
          </w:p>
        </w:tc>
        <w:tc>
          <w:tcPr>
            <w:tcW w:w="184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650,000</w:t>
            </w:r>
          </w:p>
        </w:tc>
      </w:tr>
      <w:tr>
        <w:trPr>
          <w:trHeight w:val="230"/>
        </w:trPr>
        <w:tc>
          <w:tcPr>
            <w:tcW w:w="58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208</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23.30</w:t>
            </w:r>
          </w:p>
        </w:tc>
        <w:tc>
          <w:tcPr>
            <w:tcW w:w="18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650,000</w:t>
            </w:r>
          </w:p>
        </w:tc>
      </w:tr>
    </w:tbl>
    <w:p>
      <w:pPr>
        <w:spacing w:after="0" w:line="202" w:lineRule="exact"/>
        <w:rPr>
          <w:sz w:val="20"/>
          <w:szCs w:val="20"/>
          <w:color w:val="auto"/>
        </w:rPr>
      </w:pPr>
    </w:p>
    <w:p>
      <w:pPr>
        <w:jc w:val="both"/>
        <w:ind w:left="1140" w:hanging="383"/>
        <w:spacing w:after="0" w:line="255"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24, 2023. On that date, the Board of Directors authorized the repurchase of 650,000 common shares between January 24, 2023 and December 31, 2023.</w:t>
      </w:r>
    </w:p>
    <w:p>
      <w:pPr>
        <w:spacing w:after="0" w:line="2" w:lineRule="exact"/>
        <w:rPr>
          <w:rFonts w:ascii="Arial" w:cs="Arial" w:eastAsia="Arial" w:hAnsi="Arial"/>
          <w:sz w:val="18"/>
          <w:szCs w:val="18"/>
          <w:color w:val="auto"/>
        </w:rPr>
      </w:pPr>
    </w:p>
    <w:p>
      <w:pPr>
        <w:ind w:left="1140" w:hanging="383"/>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which are returned to account for tax payable on vested stock awards are outside of the Company’s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ITEM 6 EXHIBITS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3.1</w:t>
            </w:r>
          </w:p>
        </w:tc>
        <w:tc>
          <w:tcPr>
            <w:tcW w:w="10080" w:type="dxa"/>
            <w:vAlign w:val="bottom"/>
            <w:gridSpan w:val="6"/>
          </w:tcPr>
          <w:p>
            <w:pPr>
              <w:spacing w:after="0"/>
              <w:rPr>
                <w:rFonts w:ascii="Arial" w:cs="Arial" w:eastAsia="Arial" w:hAnsi="Arial"/>
                <w:sz w:val="18"/>
                <w:szCs w:val="18"/>
                <w:color w:val="0000FF"/>
                <w:w w:val="94"/>
              </w:rPr>
            </w:pPr>
            <w:hyperlink r:id="rId840">
              <w:r>
                <w:rPr>
                  <w:rFonts w:ascii="Arial" w:cs="Arial" w:eastAsia="Arial" w:hAnsi="Arial"/>
                  <w:sz w:val="18"/>
                  <w:szCs w:val="18"/>
                  <w:color w:val="0000FF"/>
                  <w:w w:val="94"/>
                </w:rPr>
                <w:t>Amended Articles of Incorporation of the Registrant (incorporated by reference to Exhibit 3.1 to Registrant’s Quarterly Report on Form</w:t>
              </w:r>
            </w:hyperlink>
          </w:p>
        </w:tc>
      </w:tr>
      <w:tr>
        <w:trPr>
          <w:trHeight w:val="20"/>
        </w:trPr>
        <w:tc>
          <w:tcPr>
            <w:tcW w:w="11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980" w:type="dxa"/>
            <w:vAlign w:val="bottom"/>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rPr>
            </w:pPr>
            <w:hyperlink r:id="rId840">
              <w:r>
                <w:rPr>
                  <w:rFonts w:ascii="Arial" w:cs="Arial" w:eastAsia="Arial" w:hAnsi="Arial"/>
                  <w:sz w:val="18"/>
                  <w:szCs w:val="18"/>
                  <w:color w:val="0000FF"/>
                </w:rPr>
                <w:t>10-Q filed with the Commission on October 25, 2017).</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gridSpan w:val="6"/>
          </w:tcPr>
          <w:p>
            <w:pPr>
              <w:spacing w:after="0"/>
              <w:rPr>
                <w:rFonts w:ascii="Arial" w:cs="Arial" w:eastAsia="Arial" w:hAnsi="Arial"/>
                <w:sz w:val="18"/>
                <w:szCs w:val="18"/>
                <w:color w:val="0000FF"/>
                <w:w w:val="91"/>
              </w:rPr>
            </w:pPr>
            <w:hyperlink r:id="rId841">
              <w:r>
                <w:rPr>
                  <w:rFonts w:ascii="Arial" w:cs="Arial" w:eastAsia="Arial" w:hAnsi="Arial"/>
                  <w:sz w:val="18"/>
                  <w:szCs w:val="18"/>
                  <w:color w:val="0000FF"/>
                  <w:w w:val="91"/>
                </w:rPr>
                <w:t>Amended and Restated Code of Regulations of the Registrant (incorporated by reference to Exhibit 3.2 to Registrant's Quarterly Report on</w:t>
              </w:r>
            </w:hyperlink>
          </w:p>
        </w:tc>
      </w:tr>
      <w:tr>
        <w:trPr>
          <w:trHeight w:val="20"/>
        </w:trPr>
        <w:tc>
          <w:tcPr>
            <w:tcW w:w="11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980" w:type="dxa"/>
            <w:vAlign w:val="bottom"/>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rPr>
            </w:pPr>
            <w:hyperlink r:id="rId841">
              <w:r>
                <w:rPr>
                  <w:rFonts w:ascii="Arial" w:cs="Arial" w:eastAsia="Arial" w:hAnsi="Arial"/>
                  <w:sz w:val="18"/>
                  <w:szCs w:val="18"/>
                  <w:color w:val="0000FF"/>
                </w:rPr>
                <w:t>Form 10-Q filed with the Commission on July 26, 2017).</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10080" w:type="dxa"/>
            <w:vAlign w:val="bottom"/>
            <w:gridSpan w:val="6"/>
          </w:tcPr>
          <w:p>
            <w:pPr>
              <w:spacing w:after="0"/>
              <w:rPr>
                <w:rFonts w:ascii="Arial" w:cs="Arial" w:eastAsia="Arial" w:hAnsi="Arial"/>
                <w:sz w:val="18"/>
                <w:szCs w:val="18"/>
                <w:color w:val="0000FF"/>
                <w:w w:val="95"/>
              </w:rPr>
            </w:pPr>
            <w:hyperlink r:id="rId842">
              <w:r>
                <w:rPr>
                  <w:rFonts w:ascii="Arial" w:cs="Arial" w:eastAsia="Arial" w:hAnsi="Arial"/>
                  <w:sz w:val="18"/>
                  <w:szCs w:val="18"/>
                  <w:color w:val="0000FF"/>
                  <w:w w:val="95"/>
                </w:rPr>
                <w:t>Description of Registrant’s Common Stock (incorporated by reference to Exhibit 4.1 to Registrant's Annual Report on Form 10-K filed</w:t>
              </w:r>
            </w:hyperlink>
          </w:p>
        </w:tc>
      </w:tr>
      <w:tr>
        <w:trPr>
          <w:trHeight w:val="20"/>
        </w:trPr>
        <w:tc>
          <w:tcPr>
            <w:tcW w:w="11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60" w:type="dxa"/>
            <w:vAlign w:val="bottom"/>
            <w:gridSpan w:val="3"/>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rPr>
            </w:pPr>
            <w:hyperlink r:id="rId842">
              <w:r>
                <w:rPr>
                  <w:rFonts w:ascii="Arial" w:cs="Arial" w:eastAsia="Arial" w:hAnsi="Arial"/>
                  <w:sz w:val="18"/>
                  <w:szCs w:val="18"/>
                  <w:color w:val="0000FF"/>
                </w:rPr>
                <w:t>with the Commission on February 26,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gridSpan w:val="6"/>
          </w:tcPr>
          <w:p>
            <w:pPr>
              <w:spacing w:after="0"/>
              <w:rPr>
                <w:sz w:val="20"/>
                <w:szCs w:val="20"/>
                <w:color w:val="auto"/>
              </w:rPr>
            </w:pPr>
            <w:r>
              <w:rPr>
                <w:rFonts w:ascii="Arial" w:cs="Arial" w:eastAsia="Arial" w:hAnsi="Arial"/>
                <w:sz w:val="18"/>
                <w:szCs w:val="18"/>
                <w:color w:val="0000FF"/>
              </w:rPr>
              <w:t>Rule 13-a-14(a) Certification - CEO</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tcBorders>
              <w:left w:val="single" w:sz="8" w:color="0000FF"/>
            </w:tcBorders>
            <w:gridSpan w:val="4"/>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gridSpan w:val="6"/>
          </w:tcPr>
          <w:p>
            <w:pPr>
              <w:spacing w:after="0"/>
              <w:rPr>
                <w:sz w:val="20"/>
                <w:szCs w:val="20"/>
                <w:color w:val="auto"/>
              </w:rPr>
            </w:pPr>
            <w:r>
              <w:rPr>
                <w:rFonts w:ascii="Arial" w:cs="Arial" w:eastAsia="Arial" w:hAnsi="Arial"/>
                <w:sz w:val="18"/>
                <w:szCs w:val="18"/>
                <w:color w:val="0000FF"/>
              </w:rPr>
              <w:t>Rule 13-a-14(a) Certification - CFO</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0080" w:type="dxa"/>
            <w:vAlign w:val="bottom"/>
            <w:gridSpan w:val="6"/>
          </w:tcPr>
          <w:p>
            <w:pPr>
              <w:spacing w:after="0"/>
              <w:rPr>
                <w:sz w:val="20"/>
                <w:szCs w:val="20"/>
                <w:color w:val="auto"/>
              </w:rPr>
            </w:pPr>
            <w:r>
              <w:rPr>
                <w:rFonts w:ascii="Arial" w:cs="Arial" w:eastAsia="Arial" w:hAnsi="Arial"/>
                <w:sz w:val="18"/>
                <w:szCs w:val="18"/>
                <w:color w:val="0000FF"/>
              </w:rPr>
              <w:t>Section 1350 Certification - CEO</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700" w:type="dxa"/>
            <w:vAlign w:val="bottom"/>
            <w:tcBorders>
              <w:left w:val="single" w:sz="8" w:color="0000FF"/>
            </w:tcBorders>
            <w:gridSpan w:val="5"/>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10080" w:type="dxa"/>
            <w:vAlign w:val="bottom"/>
            <w:gridSpan w:val="6"/>
          </w:tcPr>
          <w:p>
            <w:pPr>
              <w:spacing w:after="0"/>
              <w:rPr>
                <w:sz w:val="20"/>
                <w:szCs w:val="20"/>
                <w:color w:val="auto"/>
              </w:rPr>
            </w:pPr>
            <w:r>
              <w:rPr>
                <w:rFonts w:ascii="Arial" w:cs="Arial" w:eastAsia="Arial" w:hAnsi="Arial"/>
                <w:sz w:val="18"/>
                <w:szCs w:val="18"/>
                <w:color w:val="0000FF"/>
              </w:rPr>
              <w:t>Section 1350 Certification - CFO</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700" w:type="dxa"/>
            <w:vAlign w:val="bottom"/>
            <w:gridSpan w:val="5"/>
          </w:tcPr>
          <w:p>
            <w:pPr>
              <w:spacing w:after="0" w:line="20" w:lineRule="exact"/>
              <w:rPr>
                <w:sz w:val="1"/>
                <w:szCs w:val="1"/>
                <w:color w:val="auto"/>
              </w:rPr>
            </w:pPr>
          </w:p>
        </w:tc>
      </w:tr>
      <w:tr>
        <w:trPr>
          <w:trHeight w:val="470"/>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6"/>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 Interactive Data File because its XBRL tags are</w:t>
            </w:r>
          </w:p>
        </w:tc>
      </w:tr>
      <w:tr>
        <w:trPr>
          <w:trHeight w:val="243"/>
        </w:trPr>
        <w:tc>
          <w:tcPr>
            <w:tcW w:w="1180" w:type="dxa"/>
            <w:vAlign w:val="bottom"/>
          </w:tcPr>
          <w:p>
            <w:pPr>
              <w:spacing w:after="0"/>
              <w:rPr>
                <w:sz w:val="21"/>
                <w:szCs w:val="21"/>
                <w:color w:val="auto"/>
              </w:rPr>
            </w:pPr>
          </w:p>
        </w:tc>
        <w:tc>
          <w:tcPr>
            <w:tcW w:w="1008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embedded within the Inline XBRL document. </w:t>
            </w:r>
            <w:r>
              <w:rPr>
                <w:rFonts w:ascii="Arial" w:cs="Arial" w:eastAsia="Arial" w:hAnsi="Arial"/>
                <w:sz w:val="24"/>
                <w:szCs w:val="24"/>
                <w:color w:val="auto"/>
                <w:vertAlign w:val="superscript"/>
              </w:rPr>
              <w:t>(1)</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24"/>
                <w:szCs w:val="24"/>
                <w:color w:val="auto"/>
                <w:vertAlign w:val="superscript"/>
              </w:rPr>
              <w:t>(1)</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24"/>
                <w:szCs w:val="24"/>
                <w:color w:val="auto"/>
                <w:vertAlign w:val="superscript"/>
              </w:rPr>
              <w:t>(1)</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24"/>
                <w:szCs w:val="24"/>
                <w:color w:val="auto"/>
                <w:vertAlign w:val="superscript"/>
              </w:rPr>
              <w:t>(1)</w:t>
            </w: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line="243" w:lineRule="exact"/>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24"/>
                <w:szCs w:val="24"/>
                <w:color w:val="auto"/>
                <w:vertAlign w:val="superscript"/>
              </w:rPr>
              <w:t>(1)</w:t>
            </w:r>
          </w:p>
        </w:tc>
      </w:tr>
      <w:tr>
        <w:trPr>
          <w:trHeight w:val="281"/>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24"/>
                <w:szCs w:val="24"/>
                <w:color w:val="auto"/>
                <w:vertAlign w:val="superscript"/>
              </w:rPr>
              <w:t>(1)</w:t>
            </w:r>
          </w:p>
        </w:tc>
      </w:tr>
    </w:tbl>
    <w:p>
      <w:pPr>
        <w:ind w:left="1180" w:right="60" w:hanging="1159"/>
        <w:spacing w:after="0" w:line="258" w:lineRule="auto"/>
        <w:tabs>
          <w:tab w:leader="none" w:pos="11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2023, has been formatted in Inline XBRL.</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jc w:val="both"/>
        <w:ind w:right="40" w:firstLine="8"/>
        <w:spacing w:after="0" w:line="246" w:lineRule="auto"/>
        <w:tabs>
          <w:tab w:leader="none" w:pos="19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Farmers &amp; Merchants Bancorp, Inc.,</w:t>
      </w:r>
    </w:p>
    <w:p>
      <w:pPr>
        <w:spacing w:after="0" w:line="279" w:lineRule="exact"/>
        <w:rPr>
          <w:sz w:val="20"/>
          <w:szCs w:val="20"/>
          <w:color w:val="auto"/>
        </w:rPr>
      </w:pPr>
    </w:p>
    <w:p>
      <w:pPr>
        <w:ind w:left="780"/>
        <w:spacing w:after="0"/>
        <w:tabs>
          <w:tab w:leader="none" w:pos="1600" w:val="left"/>
          <w:tab w:leader="none" w:pos="6500" w:val="left"/>
          <w:tab w:leader="none" w:pos="7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23495</wp:posOffset>
            </wp:positionV>
            <wp:extent cx="276034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Lars B. Eller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0"/>
        <w:spacing w:after="0"/>
        <w:tabs>
          <w:tab w:leader="none" w:pos="1600" w:val="left"/>
          <w:tab w:leader="none" w:pos="6500" w:val="left"/>
          <w:tab w:leader="none" w:pos="7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23495</wp:posOffset>
            </wp:positionV>
            <wp:extent cx="276034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Barbara J. Britenriker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Executive Vice-President and</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760" w:hanging="378"/>
        <w:spacing w:after="0" w:line="291"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369"/>
        <w:spacing w:after="0" w:line="263"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369"/>
        <w:spacing w:after="0" w:line="308" w:lineRule="auto"/>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369"/>
        <w:spacing w:after="0" w:line="277"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170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Lars B. Eller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760" w:hanging="378"/>
        <w:spacing w:after="0" w:line="291"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369"/>
        <w:spacing w:after="0" w:line="263"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369"/>
        <w:spacing w:after="0" w:line="263"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369"/>
        <w:spacing w:after="0" w:line="308" w:lineRule="auto"/>
        <w:tabs>
          <w:tab w:leader="none" w:pos="15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369"/>
        <w:spacing w:after="0" w:line="277"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170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Barbara J. Britenriker</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2023, as filed with the Securities and Exchange Commission ("the report"), I, Lars B. Eller, President and Chief Executive Officer, certify, pursuant to 18 U.S.C. Section 1350, as adopted pursuant to Section 906 of the Sarbanes-Oxley Act of 2002, that:</w:t>
      </w:r>
    </w:p>
    <w:p>
      <w:pPr>
        <w:spacing w:after="0" w:line="184"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60" w:hanging="378"/>
        <w:spacing w:after="0" w:line="260"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226" w:lineRule="exact"/>
        <w:rPr>
          <w:sz w:val="20"/>
          <w:szCs w:val="20"/>
          <w:color w:val="auto"/>
        </w:rPr>
      </w:pPr>
    </w:p>
    <w:p>
      <w:pPr>
        <w:ind w:left="20"/>
        <w:spacing w:after="0"/>
        <w:tabs>
          <w:tab w:leader="none" w:pos="170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Lars B. Eller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2023,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84"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60" w:hanging="378"/>
        <w:spacing w:after="0" w:line="260"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226" w:lineRule="exact"/>
        <w:rPr>
          <w:sz w:val="20"/>
          <w:szCs w:val="20"/>
          <w:color w:val="auto"/>
        </w:rPr>
      </w:pPr>
    </w:p>
    <w:p>
      <w:pPr>
        <w:ind w:left="20"/>
        <w:spacing w:after="0"/>
        <w:tabs>
          <w:tab w:leader="none" w:pos="1700" w:val="left"/>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Barbara J. Britenriker</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2."/>
      <w:numFmt w:val="lowerLetter"/>
      <w:start w:val="1"/>
    </w:lvl>
  </w:abstractNum>
  <w:abstractNum w:abstractNumId="5">
    <w:nsid w:val="7FDCC233"/>
    <w:multiLevelType w:val="hybridMultilevel"/>
    <w:lvl w:ilvl="0">
      <w:lvlJc w:val="left"/>
      <w:lvlText w:val="%1."/>
      <w:numFmt w:val="decimal"/>
      <w:start w:val="7"/>
    </w:lvl>
    <w:lvl w:ilvl="1">
      <w:lvlJc w:val="left"/>
      <w:lvlText w:val="%2."/>
      <w:numFmt w:val="lowerLetter"/>
      <w:start w:val="1"/>
    </w:lvl>
  </w:abstractNum>
  <w:abstractNum w:abstractNumId="6">
    <w:nsid w:val="1BEFD79F"/>
    <w:multiLevelType w:val="hybridMultilevel"/>
    <w:lvl w:ilvl="0">
      <w:lvlJc w:val="left"/>
      <w:lvlText w:val="%1"/>
      <w:numFmt w:val="upperLetter"/>
      <w:start w:val="68"/>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o"/>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lvl w:ilvl="1">
      <w:lvlJc w:val="left"/>
      <w:lvlText w:val="%2"/>
      <w:numFmt w:val="decimal"/>
      <w:start w:val="104"/>
    </w:lvl>
  </w:abstractNum>
  <w:abstractNum w:abstractNumId="18">
    <w:nsid w:val="628C895D"/>
    <w:multiLevelType w:val="hybridMultilevel"/>
    <w:lvl w:ilvl="0">
      <w:lvlJc w:val="left"/>
      <w:lvlText w:val="(%1)"/>
      <w:numFmt w:val="decimal"/>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40" Type="http://schemas.openxmlformats.org/officeDocument/2006/relationships/hyperlink" Target="https://www.sec.gov/Archives/edgar/data/792966/000119312517318709/d447990dex31.htm" TargetMode="External"/><Relationship Id="rId841" Type="http://schemas.openxmlformats.org/officeDocument/2006/relationships/hyperlink" Target="https://www.sec.gov/Archives/edgar/data/792966/000119312517235925/d422994dex32.htm" TargetMode="External"/><Relationship Id="rId842"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2023-08-02T13:30:36Z</dcterms:created>
  <dcterms:modified xsi:type="dcterms:W3CDTF">2023-08-02T13:30:36Z</dcterms:modified>
</cp:coreProperties>
</file>