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September 30, 2017</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FARMERS &amp; MERCHANTS BANCORP,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260" w:type="dxa"/>
        <w:tblCellMar>
          <w:top w:w="0" w:type="dxa"/>
          <w:left w:w="0" w:type="dxa"/>
          <w:bottom w:w="0" w:type="dxa"/>
          <w:right w:w="0" w:type="dxa"/>
        </w:tblCellMar>
      </w:tblPr>
      <w:tr>
        <w:trPr>
          <w:trHeight w:val="212"/>
        </w:trPr>
        <w:tc>
          <w:tcPr>
            <w:tcW w:w="6420" w:type="dxa"/>
            <w:vAlign w:val="bottom"/>
          </w:tcPr>
          <w:p>
            <w:pPr>
              <w:jc w:val="center"/>
              <w:ind w:right="3080"/>
              <w:spacing w:after="0"/>
              <w:rPr>
                <w:sz w:val="20"/>
                <w:szCs w:val="20"/>
                <w:color w:val="auto"/>
              </w:rPr>
            </w:pPr>
            <w:r>
              <w:rPr>
                <w:rFonts w:ascii="Arial" w:cs="Arial" w:eastAsia="Arial" w:hAnsi="Arial"/>
                <w:sz w:val="18"/>
                <w:szCs w:val="18"/>
                <w:b w:val="1"/>
                <w:bCs w:val="1"/>
                <w:color w:val="auto"/>
              </w:rPr>
              <w:t>OHIO</w:t>
            </w:r>
          </w:p>
        </w:tc>
        <w:tc>
          <w:tcPr>
            <w:tcW w:w="1540" w:type="dxa"/>
            <w:vAlign w:val="bottom"/>
          </w:tcPr>
          <w:p>
            <w:pPr>
              <w:jc w:val="right"/>
              <w:ind w:right="6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6420" w:type="dxa"/>
            <w:vAlign w:val="bottom"/>
          </w:tcPr>
          <w:p>
            <w:pPr>
              <w:jc w:val="center"/>
              <w:ind w:right="30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420" w:type="dxa"/>
            <w:vAlign w:val="bottom"/>
          </w:tcPr>
          <w:p>
            <w:pPr>
              <w:jc w:val="center"/>
              <w:ind w:right="306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Identification No.)</w:t>
            </w:r>
          </w:p>
        </w:tc>
      </w:tr>
      <w:tr>
        <w:trPr>
          <w:trHeight w:val="367"/>
        </w:trPr>
        <w:tc>
          <w:tcPr>
            <w:tcW w:w="6420" w:type="dxa"/>
            <w:vAlign w:val="bottom"/>
          </w:tcPr>
          <w:p>
            <w:pPr>
              <w:jc w:val="center"/>
              <w:ind w:right="3060"/>
              <w:spacing w:after="0"/>
              <w:rPr>
                <w:sz w:val="20"/>
                <w:szCs w:val="20"/>
                <w:color w:val="auto"/>
              </w:rPr>
            </w:pPr>
            <w:r>
              <w:rPr>
                <w:rFonts w:ascii="Arial" w:cs="Arial" w:eastAsia="Arial" w:hAnsi="Arial"/>
                <w:sz w:val="18"/>
                <w:szCs w:val="18"/>
                <w:b w:val="1"/>
                <w:bCs w:val="1"/>
                <w:color w:val="auto"/>
                <w:w w:val="91"/>
              </w:rPr>
              <w:t>307 North Defiance Street, Archbold, Ohio</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6420" w:type="dxa"/>
            <w:vAlign w:val="bottom"/>
          </w:tcPr>
          <w:p>
            <w:pPr>
              <w:jc w:val="center"/>
              <w:ind w:right="30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420" w:type="dxa"/>
            <w:vAlign w:val="bottom"/>
          </w:tcPr>
          <w:p>
            <w:pPr>
              <w:jc w:val="right"/>
              <w:ind w:right="1320"/>
              <w:spacing w:after="0"/>
              <w:rPr>
                <w:sz w:val="20"/>
                <w:szCs w:val="20"/>
                <w:color w:val="auto"/>
              </w:rPr>
            </w:pPr>
            <w:r>
              <w:rPr>
                <w:rFonts w:ascii="Arial" w:cs="Arial" w:eastAsia="Arial" w:hAnsi="Arial"/>
                <w:sz w:val="18"/>
                <w:szCs w:val="18"/>
                <w:b w:val="1"/>
                <w:bCs w:val="1"/>
                <w:color w:val="auto"/>
              </w:rPr>
              <w:t>(419) 446-2501</w:t>
            </w:r>
          </w:p>
        </w:tc>
        <w:tc>
          <w:tcPr>
            <w:tcW w:w="1540" w:type="dxa"/>
            <w:vAlign w:val="bottom"/>
          </w:tcPr>
          <w:p>
            <w:pPr>
              <w:spacing w:after="0"/>
              <w:rPr>
                <w:sz w:val="24"/>
                <w:szCs w:val="24"/>
                <w:color w:val="auto"/>
              </w:rPr>
            </w:pPr>
          </w:p>
        </w:tc>
      </w:tr>
      <w:tr>
        <w:trPr>
          <w:trHeight w:val="186"/>
        </w:trPr>
        <w:tc>
          <w:tcPr>
            <w:tcW w:w="6420" w:type="dxa"/>
            <w:vAlign w:val="bottom"/>
          </w:tcPr>
          <w:p>
            <w:pPr>
              <w:jc w:val="center"/>
              <w:ind w:left="24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bl>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both"/>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33" w:lineRule="exact"/>
        <w:rPr>
          <w:sz w:val="24"/>
          <w:szCs w:val="24"/>
          <w:color w:val="auto"/>
        </w:rPr>
      </w:pPr>
    </w:p>
    <w:p>
      <w:pPr>
        <w:ind w:left="90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1000" w:space="260"/>
            <w:col w:w="160"/>
          </w:cols>
          <w:pgMar w:left="240" w:top="230"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4280" w:type="dxa"/>
            <w:vAlign w:val="bottom"/>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7"/>
              </w:rPr>
              <w:t>9,266,676</w:t>
            </w:r>
          </w:p>
        </w:tc>
        <w:tc>
          <w:tcPr>
            <w:tcW w:w="2400" w:type="dxa"/>
            <w:vAlign w:val="bottom"/>
          </w:tcPr>
          <w:p>
            <w:pPr>
              <w:spacing w:after="0"/>
              <w:rPr>
                <w:sz w:val="20"/>
                <w:szCs w:val="20"/>
                <w:color w:val="auto"/>
              </w:rPr>
            </w:pPr>
          </w:p>
        </w:tc>
      </w:tr>
      <w:tr>
        <w:trPr>
          <w:trHeight w:val="224"/>
        </w:trPr>
        <w:tc>
          <w:tcPr>
            <w:tcW w:w="180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4280" w:type="dxa"/>
            <w:vAlign w:val="bottom"/>
          </w:tcPr>
          <w:p>
            <w:pPr>
              <w:ind w:left="3360"/>
              <w:spacing w:after="0"/>
              <w:rPr>
                <w:sz w:val="20"/>
                <w:szCs w:val="20"/>
                <w:color w:val="auto"/>
              </w:rPr>
            </w:pPr>
            <w:r>
              <w:rPr>
                <w:rFonts w:ascii="Arial" w:cs="Arial" w:eastAsia="Arial" w:hAnsi="Arial"/>
                <w:sz w:val="18"/>
                <w:szCs w:val="18"/>
                <w:color w:val="auto"/>
                <w:w w:val="92"/>
              </w:rPr>
              <w:t>Outstanding</w:t>
            </w: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as of October 25, 2017</w:t>
            </w:r>
          </w:p>
        </w:tc>
      </w:tr>
      <w:tr>
        <w:trPr>
          <w:trHeight w:val="215"/>
        </w:trPr>
        <w:tc>
          <w:tcPr>
            <w:tcW w:w="18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r>
      <w:tr>
        <w:trPr>
          <w:trHeight w:val="48"/>
        </w:trPr>
        <w:tc>
          <w:tcPr>
            <w:tcW w:w="18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Form 10-Q Items</w:t>
            </w:r>
          </w:p>
        </w:tc>
        <w:tc>
          <w:tcPr>
            <w:tcW w:w="260" w:type="dxa"/>
            <w:vAlign w:val="bottom"/>
          </w:tcPr>
          <w:p>
            <w:pPr>
              <w:spacing w:after="0"/>
              <w:rPr>
                <w:sz w:val="15"/>
                <w:szCs w:val="15"/>
                <w:color w:val="auto"/>
              </w:rPr>
            </w:pPr>
          </w:p>
        </w:tc>
        <w:tc>
          <w:tcPr>
            <w:tcW w:w="968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1000" w:type="dxa"/>
            <w:vAlign w:val="bottom"/>
            <w:gridSpan w:val="2"/>
          </w:tcPr>
          <w:p>
            <w:pPr>
              <w:spacing w:after="0" w:line="156" w:lineRule="exact"/>
              <w:rPr>
                <w:sz w:val="20"/>
                <w:szCs w:val="20"/>
                <w:color w:val="auto"/>
              </w:rPr>
            </w:pPr>
            <w:r>
              <w:rPr>
                <w:rFonts w:ascii="Arial" w:cs="Arial" w:eastAsia="Arial" w:hAnsi="Arial"/>
                <w:sz w:val="18"/>
                <w:szCs w:val="18"/>
                <w:color w:val="auto"/>
              </w:rPr>
              <w:t>PART I.</w:t>
            </w:r>
          </w:p>
        </w:tc>
        <w:tc>
          <w:tcPr>
            <w:tcW w:w="260" w:type="dxa"/>
            <w:vAlign w:val="bottom"/>
          </w:tcPr>
          <w:p>
            <w:pPr>
              <w:spacing w:after="0"/>
              <w:rPr>
                <w:sz w:val="13"/>
                <w:szCs w:val="13"/>
                <w:color w:val="auto"/>
              </w:rPr>
            </w:pPr>
          </w:p>
        </w:tc>
        <w:tc>
          <w:tcPr>
            <w:tcW w:w="9680" w:type="dxa"/>
            <w:vAlign w:val="bottom"/>
            <w:gridSpan w:val="2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September 30, 2017 and December 31, 2016</w:t>
              </w:r>
            </w:hyperlink>
          </w:p>
        </w:tc>
        <w:tc>
          <w:tcPr>
            <w:tcW w:w="630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&amp; Comprehensive Income -</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Three and Nine Months Ended September 30, 2017 and September 30, 2016</w:t>
              </w:r>
            </w:hyperlink>
          </w:p>
        </w:tc>
        <w:tc>
          <w:tcPr>
            <w:tcW w:w="400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w:t>
              </w:r>
            </w:hyperlink>
          </w:p>
        </w:tc>
        <w:tc>
          <w:tcPr>
            <w:tcW w:w="5860" w:type="dxa"/>
            <w:vAlign w:val="bottom"/>
            <w:gridSpan w:val="8"/>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0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Nine Months Ended September 30, 2017 and September 30, 2016</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8"/>
              </w:rPr>
              <w:t>6-36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91"/>
              </w:rPr>
              <w:t>37-54</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2"/>
                <w:szCs w:val="22"/>
                <w:color w:val="auto"/>
              </w:rPr>
            </w:pPr>
          </w:p>
        </w:tc>
        <w:tc>
          <w:tcPr>
            <w:tcW w:w="436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Qualitative and Quantitative Disclosures About Market Risk</w:t>
              </w:r>
            </w:hyperlink>
          </w:p>
        </w:tc>
        <w:tc>
          <w:tcPr>
            <w:tcW w:w="2080" w:type="dxa"/>
            <w:vAlign w:val="bottom"/>
            <w:tcBorders>
              <w:top w:val="single" w:sz="8" w:color="0000EE"/>
            </w:tcBorders>
            <w:gridSpan w:val="4"/>
          </w:tcPr>
          <w:p>
            <w:pPr>
              <w:spacing w:after="0"/>
              <w:rPr>
                <w:sz w:val="22"/>
                <w:szCs w:val="22"/>
                <w:color w:val="auto"/>
              </w:rPr>
            </w:pPr>
          </w:p>
        </w:tc>
        <w:tc>
          <w:tcPr>
            <w:tcW w:w="324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2"/>
                <w:szCs w:val="22"/>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7900" w:type="dxa"/>
            <w:vAlign w:val="bottom"/>
            <w:gridSpan w:val="17"/>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260" w:type="dxa"/>
            <w:vAlign w:val="bottom"/>
          </w:tcPr>
          <w:p>
            <w:pPr>
              <w:spacing w:after="0"/>
              <w:rPr>
                <w:sz w:val="22"/>
                <w:szCs w:val="22"/>
                <w:color w:val="auto"/>
              </w:rPr>
            </w:pPr>
          </w:p>
        </w:tc>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OTHER INFORMATION</w:t>
              </w:r>
            </w:hyperlink>
          </w:p>
        </w:tc>
        <w:tc>
          <w:tcPr>
            <w:tcW w:w="7800" w:type="dxa"/>
            <w:vAlign w:val="bottom"/>
            <w:gridSpan w:val="16"/>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60" w:type="dxa"/>
            <w:vAlign w:val="bottom"/>
          </w:tcPr>
          <w:p>
            <w:pPr>
              <w:spacing w:after="0"/>
              <w:rPr>
                <w:sz w:val="22"/>
                <w:szCs w:val="22"/>
                <w:color w:val="auto"/>
              </w:rPr>
            </w:pP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2"/>
                <w:szCs w:val="22"/>
                <w:color w:val="auto"/>
              </w:rPr>
            </w:pPr>
          </w:p>
        </w:tc>
        <w:tc>
          <w:tcPr>
            <w:tcW w:w="8360" w:type="dxa"/>
            <w:vAlign w:val="bottom"/>
            <w:gridSpan w:val="19"/>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60" w:type="dxa"/>
            <w:vAlign w:val="bottom"/>
          </w:tcPr>
          <w:p>
            <w:pPr>
              <w:spacing w:after="0"/>
              <w:rPr>
                <w:sz w:val="22"/>
                <w:szCs w:val="22"/>
                <w:color w:val="auto"/>
              </w:rPr>
            </w:pPr>
          </w:p>
        </w:tc>
        <w:tc>
          <w:tcPr>
            <w:tcW w:w="43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5340" w:type="dxa"/>
            <w:vAlign w:val="bottom"/>
            <w:gridSpan w:val="6"/>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60" w:type="dxa"/>
            <w:vAlign w:val="bottom"/>
          </w:tcPr>
          <w:p>
            <w:pPr>
              <w:spacing w:after="0"/>
              <w:rPr>
                <w:sz w:val="22"/>
                <w:szCs w:val="22"/>
                <w:color w:val="auto"/>
              </w:rPr>
            </w:pP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Defaults Upon Senior Securities</w:t>
              </w:r>
            </w:hyperlink>
          </w:p>
        </w:tc>
        <w:tc>
          <w:tcPr>
            <w:tcW w:w="7360" w:type="dxa"/>
            <w:vAlign w:val="bottom"/>
            <w:gridSpan w:val="14"/>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260" w:type="dxa"/>
            <w:vAlign w:val="bottom"/>
          </w:tcPr>
          <w:p>
            <w:pPr>
              <w:spacing w:after="0"/>
              <w:rPr>
                <w:sz w:val="22"/>
                <w:szCs w:val="22"/>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7920" w:type="dxa"/>
            <w:vAlign w:val="bottom"/>
            <w:gridSpan w:val="18"/>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60" w:type="dxa"/>
            <w:vAlign w:val="bottom"/>
          </w:tcPr>
          <w:p>
            <w:pPr>
              <w:spacing w:after="0"/>
              <w:rPr>
                <w:sz w:val="22"/>
                <w:szCs w:val="22"/>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8380" w:type="dxa"/>
            <w:vAlign w:val="bottom"/>
            <w:gridSpan w:val="20"/>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26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Amended Articles of Incorporation</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260" w:type="dxa"/>
            <w:vAlign w:val="bottom"/>
          </w:tcPr>
          <w:p>
            <w:pPr>
              <w:spacing w:after="0"/>
              <w:rPr>
                <w:sz w:val="22"/>
                <w:szCs w:val="22"/>
                <w:color w:val="auto"/>
              </w:rPr>
            </w:pPr>
          </w:p>
        </w:tc>
        <w:tc>
          <w:tcPr>
            <w:tcW w:w="24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Certifications Under Section 302</w:t>
              </w:r>
            </w:hyperlink>
          </w:p>
        </w:tc>
        <w:tc>
          <w:tcPr>
            <w:tcW w:w="120" w:type="dxa"/>
            <w:vAlign w:val="bottom"/>
            <w:tcBorders>
              <w:top w:val="single" w:sz="8" w:color="0000EE"/>
            </w:tcBorders>
          </w:tcPr>
          <w:p>
            <w:pPr>
              <w:spacing w:after="0"/>
              <w:rPr>
                <w:sz w:val="22"/>
                <w:szCs w:val="22"/>
                <w:color w:val="auto"/>
              </w:rPr>
            </w:pPr>
          </w:p>
        </w:tc>
        <w:tc>
          <w:tcPr>
            <w:tcW w:w="7160" w:type="dxa"/>
            <w:vAlign w:val="bottom"/>
            <w:gridSpan w:val="11"/>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60" w:type="dxa"/>
            <w:vAlign w:val="bottom"/>
          </w:tcPr>
          <w:p>
            <w:pPr>
              <w:spacing w:after="0"/>
              <w:rPr>
                <w:sz w:val="22"/>
                <w:szCs w:val="22"/>
                <w:color w:val="auto"/>
              </w:rPr>
            </w:pPr>
          </w:p>
        </w:tc>
        <w:tc>
          <w:tcPr>
            <w:tcW w:w="9680" w:type="dxa"/>
            <w:vAlign w:val="bottom"/>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Certifications Under Section 906</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23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15"/>
                <w:szCs w:val="15"/>
                <w:color w:val="auto"/>
              </w:rPr>
              <w:t>(1)</w:t>
            </w:r>
          </w:p>
        </w:tc>
        <w:tc>
          <w:tcPr>
            <w:tcW w:w="732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8"/>
                <w:szCs w:val="18"/>
                <w:color w:val="auto"/>
              </w:rPr>
            </w:pPr>
          </w:p>
        </w:tc>
        <w:tc>
          <w:tcPr>
            <w:tcW w:w="9680" w:type="dxa"/>
            <w:vAlign w:val="bottom"/>
            <w:gridSpan w:val="24"/>
          </w:tcPr>
          <w:p>
            <w:pPr>
              <w:spacing w:after="0"/>
              <w:rPr>
                <w:sz w:val="20"/>
                <w:szCs w:val="20"/>
                <w:color w:val="auto"/>
              </w:rPr>
            </w:pPr>
            <w:r>
              <w:rPr>
                <w:rFonts w:ascii="Arial" w:cs="Arial" w:eastAsia="Arial" w:hAnsi="Arial"/>
                <w:sz w:val="18"/>
                <w:szCs w:val="18"/>
                <w:color w:val="auto"/>
              </w:rPr>
              <w:t xml:space="preserve">XBRL Taxonomy Extension Scheme Document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8"/>
                <w:szCs w:val="18"/>
                <w:color w:val="auto"/>
              </w:rPr>
            </w:pPr>
          </w:p>
        </w:tc>
        <w:tc>
          <w:tcPr>
            <w:tcW w:w="9680" w:type="dxa"/>
            <w:vAlign w:val="bottom"/>
            <w:gridSpan w:val="24"/>
          </w:tcPr>
          <w:p>
            <w:pPr>
              <w:spacing w:after="0"/>
              <w:rPr>
                <w:sz w:val="20"/>
                <w:szCs w:val="20"/>
                <w:color w:val="auto"/>
              </w:rPr>
            </w:pPr>
            <w:r>
              <w:rPr>
                <w:rFonts w:ascii="Arial" w:cs="Arial" w:eastAsia="Arial" w:hAnsi="Arial"/>
                <w:sz w:val="18"/>
                <w:szCs w:val="18"/>
                <w:color w:val="auto"/>
              </w:rPr>
              <w:t xml:space="preserve">XBRL Taxonomy Extension Calculation Linkbase Document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8"/>
                <w:szCs w:val="18"/>
                <w:color w:val="auto"/>
              </w:rPr>
            </w:pPr>
          </w:p>
        </w:tc>
        <w:tc>
          <w:tcPr>
            <w:tcW w:w="9680" w:type="dxa"/>
            <w:vAlign w:val="bottom"/>
            <w:gridSpan w:val="24"/>
          </w:tcPr>
          <w:p>
            <w:pPr>
              <w:spacing w:after="0"/>
              <w:rPr>
                <w:sz w:val="20"/>
                <w:szCs w:val="20"/>
                <w:color w:val="auto"/>
              </w:rPr>
            </w:pPr>
            <w:r>
              <w:rPr>
                <w:rFonts w:ascii="Arial" w:cs="Arial" w:eastAsia="Arial" w:hAnsi="Arial"/>
                <w:sz w:val="18"/>
                <w:szCs w:val="18"/>
                <w:color w:val="auto"/>
              </w:rPr>
              <w:t xml:space="preserve">XBRL Taxonomy Extension Definition Linkbase Document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8"/>
                <w:szCs w:val="18"/>
                <w:color w:val="auto"/>
              </w:rPr>
            </w:pPr>
          </w:p>
        </w:tc>
        <w:tc>
          <w:tcPr>
            <w:tcW w:w="9680" w:type="dxa"/>
            <w:vAlign w:val="bottom"/>
            <w:gridSpan w:val="24"/>
          </w:tcPr>
          <w:p>
            <w:pPr>
              <w:spacing w:after="0"/>
              <w:rPr>
                <w:sz w:val="20"/>
                <w:szCs w:val="20"/>
                <w:color w:val="auto"/>
              </w:rPr>
            </w:pPr>
            <w:r>
              <w:rPr>
                <w:rFonts w:ascii="Arial" w:cs="Arial" w:eastAsia="Arial" w:hAnsi="Arial"/>
                <w:sz w:val="18"/>
                <w:szCs w:val="18"/>
                <w:color w:val="auto"/>
              </w:rPr>
              <w:t xml:space="preserve">XBRL Taxonomy Extension Label Linkbase Document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0"/>
                <w:szCs w:val="20"/>
                <w:color w:val="auto"/>
              </w:rPr>
            </w:pPr>
          </w:p>
        </w:tc>
        <w:tc>
          <w:tcPr>
            <w:tcW w:w="9680" w:type="dxa"/>
            <w:vAlign w:val="bottom"/>
            <w:gridSpan w:val="24"/>
          </w:tcPr>
          <w:p>
            <w:pPr>
              <w:spacing w:after="0"/>
              <w:rPr>
                <w:sz w:val="20"/>
                <w:szCs w:val="20"/>
                <w:color w:val="auto"/>
              </w:rPr>
            </w:pPr>
            <w:r>
              <w:rPr>
                <w:rFonts w:ascii="Arial" w:cs="Arial" w:eastAsia="Arial" w:hAnsi="Arial"/>
                <w:sz w:val="18"/>
                <w:szCs w:val="18"/>
                <w:color w:val="auto"/>
              </w:rPr>
              <w:t xml:space="preserve">XBRL Taxonomy Extension Presentation Linkbase Document </w:t>
            </w:r>
            <w:r>
              <w:rPr>
                <w:rFonts w:ascii="Arial" w:cs="Arial" w:eastAsia="Arial" w:hAnsi="Arial"/>
                <w:sz w:val="15"/>
                <w:szCs w:val="15"/>
                <w:color w:val="auto"/>
              </w:rPr>
              <w:t>(1)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6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64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FARMERS &amp; MERCHANTS BANCORP, INC. AND SUBSIDIARIES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7"/>
          </w:tcPr>
          <w:p>
            <w:pPr>
              <w:jc w:val="center"/>
              <w:ind w:right="260"/>
              <w:spacing w:after="0"/>
              <w:rPr>
                <w:sz w:val="20"/>
                <w:szCs w:val="20"/>
                <w:color w:val="auto"/>
              </w:rPr>
            </w:pPr>
            <w:r>
              <w:rPr>
                <w:rFonts w:ascii="Arial" w:cs="Arial" w:eastAsia="Arial" w:hAnsi="Arial"/>
                <w:sz w:val="14"/>
                <w:szCs w:val="14"/>
                <w:color w:val="auto"/>
                <w:w w:val="90"/>
              </w:rPr>
              <w:t>Condensed Consolidated Balance Sheets</w:t>
            </w: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5"/>
          </w:tcPr>
          <w:p>
            <w:pPr>
              <w:jc w:val="center"/>
              <w:ind w:left="512"/>
              <w:spacing w:after="0" w:line="149" w:lineRule="exact"/>
              <w:rPr>
                <w:sz w:val="20"/>
                <w:szCs w:val="20"/>
                <w:color w:val="auto"/>
              </w:rPr>
            </w:pPr>
            <w:r>
              <w:rPr>
                <w:rFonts w:ascii="Arial" w:cs="Arial" w:eastAsia="Arial" w:hAnsi="Arial"/>
                <w:sz w:val="14"/>
                <w:szCs w:val="14"/>
                <w:color w:val="auto"/>
                <w:w w:val="93"/>
              </w:rPr>
              <w:t>(in thousands of dollars)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color w:val="auto"/>
              </w:rPr>
              <w:t>September 30, 2017</w:t>
            </w:r>
          </w:p>
        </w:tc>
        <w:tc>
          <w:tcPr>
            <w:tcW w:w="3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2016</w:t>
            </w: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gridSpan w:val="2"/>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Cash and due from banks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48,313</w:t>
            </w:r>
          </w:p>
        </w:tc>
        <w:tc>
          <w:tcPr>
            <w:tcW w:w="3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27,348</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ind w:left="60"/>
              <w:spacing w:after="0"/>
              <w:rPr>
                <w:sz w:val="20"/>
                <w:szCs w:val="20"/>
                <w:color w:val="auto"/>
              </w:rPr>
            </w:pPr>
            <w:r>
              <w:rPr>
                <w:rFonts w:ascii="Arial" w:cs="Arial" w:eastAsia="Arial" w:hAnsi="Arial"/>
                <w:sz w:val="18"/>
                <w:szCs w:val="18"/>
                <w:color w:val="auto"/>
              </w:rPr>
              <w:t>Total cash and cash equivalents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49,104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Interest-bearing time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Securities - available-for-sale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192,811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218,527</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securities, at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Loans held for 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2,147</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788,335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751,310</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Premises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21,473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21,457</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Mortgage servicing rights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2,264</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real estate owned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Bank owned life insurance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14,446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w:t>
            </w: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1,090,155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40" w:type="dxa"/>
            <w:vAlign w:val="bottom"/>
          </w:tcPr>
          <w:p>
            <w:pPr>
              <w:ind w:left="60"/>
              <w:spacing w:after="0"/>
              <w:rPr>
                <w:sz w:val="20"/>
                <w:szCs w:val="20"/>
                <w:color w:val="auto"/>
              </w:rPr>
            </w:pPr>
            <w:r>
              <w:rPr>
                <w:rFonts w:ascii="Arial" w:cs="Arial" w:eastAsia="Arial" w:hAnsi="Arial"/>
                <w:sz w:val="18"/>
                <w:szCs w:val="18"/>
                <w:color w:val="auto"/>
              </w:rPr>
              <w:t>Noninterest-bearing</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189,963</w:t>
            </w:r>
          </w:p>
        </w:tc>
        <w:tc>
          <w:tcPr>
            <w:tcW w:w="3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186,390</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Interest-bearing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NOW accounts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294,911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230,446</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224,911</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226,537</w:t>
            </w: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193,581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deposits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903,366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842,203</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35,550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70,324</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(FHLB) advances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6,738</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4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957,266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930,318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 No par value 20,000,000 shares authorized; issued and outstanding 10,400,000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xml:space="preserve">shares 9/30/17 and 12/31/16 </w:t>
            </w:r>
            <w:r>
              <w:rPr>
                <w:rFonts w:ascii="Arial" w:cs="Arial" w:eastAsia="Arial" w:hAnsi="Arial"/>
                <w:sz w:val="15"/>
                <w:szCs w:val="15"/>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11,388</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11,947</w:t>
            </w: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 xml:space="preserve">Treasury Stock - 1,133,324 shares 9/30/17, 1,158,250 shares 12/31/16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(12,126)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(12,267)</w:t>
            </w: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134,320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127,869</w:t>
            </w:r>
          </w:p>
        </w:tc>
      </w:tr>
      <w:tr>
        <w:trPr>
          <w:trHeight w:val="223"/>
        </w:trPr>
        <w:tc>
          <w:tcPr>
            <w:tcW w:w="20" w:type="dxa"/>
            <w:vAlign w:val="bottom"/>
          </w:tcPr>
          <w:p>
            <w:pPr>
              <w:spacing w:after="0"/>
              <w:rPr>
                <w:sz w:val="19"/>
                <w:szCs w:val="19"/>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(693)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(1,972)</w:t>
            </w: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1,090,155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40" w:firstLine="8"/>
        <w:spacing w:after="0" w:line="530" w:lineRule="auto"/>
        <w:tabs>
          <w:tab w:leader="none" w:pos="446" w:val="left"/>
        </w:tabs>
        <w:numPr>
          <w:ilvl w:val="0"/>
          <w:numId w:val="4"/>
        </w:numPr>
        <w:rPr>
          <w:rFonts w:ascii="Arial" w:cs="Arial" w:eastAsia="Arial" w:hAnsi="Arial"/>
          <w:sz w:val="14"/>
          <w:szCs w:val="14"/>
          <w:color w:val="auto"/>
        </w:rPr>
      </w:pPr>
      <w:r>
        <w:rPr>
          <w:rFonts w:ascii="Arial" w:cs="Arial" w:eastAsia="Arial" w:hAnsi="Arial"/>
          <w:sz w:val="17"/>
          <w:szCs w:val="17"/>
          <w:color w:val="auto"/>
        </w:rPr>
        <w:t>Share data has been adjusted to reflect a 2-for-1 stock split on September 20, 2017 See Notes to Condensed Consolidated Unaudited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2016, Condensed Consolidated Balance Sheet has been derived from the audited Consolidated Balance Sheet as of that date.</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ind w:right="4200"/>
        <w:spacing w:after="0" w:line="261" w:lineRule="auto"/>
        <w:rPr>
          <w:sz w:val="20"/>
          <w:szCs w:val="20"/>
          <w:color w:val="auto"/>
        </w:rPr>
      </w:pPr>
      <w:r>
        <w:rPr>
          <w:rFonts w:ascii="Arial" w:cs="Arial" w:eastAsia="Arial" w:hAnsi="Arial"/>
          <w:sz w:val="18"/>
          <w:szCs w:val="18"/>
          <w:color w:val="auto"/>
        </w:rPr>
        <w:t>CONDENSED CONSOLIDATED STATEMENTS OF INCOME &amp; COMPREHENSIVE INCOME (Unaudited)</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(in thousands of dollars,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4"/>
          </w:tcPr>
          <w:p>
            <w:pPr>
              <w:jc w:val="right"/>
              <w:ind w:right="147"/>
              <w:spacing w:after="0"/>
              <w:rPr>
                <w:sz w:val="20"/>
                <w:szCs w:val="20"/>
                <w:color w:val="auto"/>
              </w:rPr>
            </w:pPr>
            <w:r>
              <w:rPr>
                <w:rFonts w:ascii="Arial" w:cs="Arial" w:eastAsia="Arial" w:hAnsi="Arial"/>
                <w:sz w:val="14"/>
                <w:szCs w:val="14"/>
                <w:color w:val="auto"/>
              </w:rPr>
              <w:t>Three Months Ended</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4"/>
          </w:tcPr>
          <w:p>
            <w:pPr>
              <w:jc w:val="right"/>
              <w:ind w:right="127"/>
              <w:spacing w:after="0"/>
              <w:rPr>
                <w:sz w:val="20"/>
                <w:szCs w:val="20"/>
                <w:color w:val="auto"/>
              </w:rPr>
            </w:pPr>
            <w:r>
              <w:rPr>
                <w:rFonts w:ascii="Arial" w:cs="Arial" w:eastAsia="Arial" w:hAnsi="Arial"/>
                <w:sz w:val="14"/>
                <w:szCs w:val="14"/>
                <w:color w:val="auto"/>
              </w:rPr>
              <w:t>Nine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2017</w:t>
            </w:r>
          </w:p>
        </w:tc>
        <w:tc>
          <w:tcPr>
            <w:tcW w:w="28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w w:val="89"/>
              </w:rPr>
              <w:t>September 30, 2016</w:t>
            </w:r>
          </w:p>
        </w:tc>
        <w:tc>
          <w:tcPr>
            <w:tcW w:w="2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September 30, 2017</w:t>
            </w:r>
          </w:p>
        </w:tc>
        <w:tc>
          <w:tcPr>
            <w:tcW w:w="280" w:type="dxa"/>
            <w:vAlign w:val="bottom"/>
          </w:tcPr>
          <w:p>
            <w:pPr>
              <w:spacing w:after="0"/>
              <w:rPr>
                <w:sz w:val="14"/>
                <w:szCs w:val="14"/>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w w:val="88"/>
              </w:rPr>
              <w:t>September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Loans, including fees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9,547</w:t>
            </w:r>
          </w:p>
        </w:tc>
        <w:tc>
          <w:tcPr>
            <w:tcW w:w="8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8,629</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27,367</w:t>
            </w:r>
          </w:p>
        </w:tc>
        <w:tc>
          <w:tcPr>
            <w:tcW w:w="7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securities: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U.S. Treasury and government agencies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605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1,870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Municipalities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interest income</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9,590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30,380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340"/>
              <w:spacing w:after="0" w:line="201" w:lineRule="exact"/>
              <w:rPr>
                <w:sz w:val="20"/>
                <w:szCs w:val="20"/>
                <w:color w:val="auto"/>
              </w:rPr>
            </w:pPr>
            <w:r>
              <w:rPr>
                <w:rFonts w:ascii="Arial" w:cs="Arial" w:eastAsia="Arial" w:hAnsi="Arial"/>
                <w:sz w:val="18"/>
                <w:szCs w:val="18"/>
                <w:color w:val="auto"/>
              </w:rPr>
              <w:t>Federal funds purchased and securities sold under</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agreements to repurchase</w:t>
            </w:r>
          </w:p>
        </w:tc>
        <w:tc>
          <w:tcPr>
            <w:tcW w:w="3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Borrowed funds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Total interest expense</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9,202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26,615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9,103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26,418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service fees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 service charges and fees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1,134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941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3,214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 of loans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gain on sale of available for sale securities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noninterest income</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and Wages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Employee benefits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943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2,648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occupancy expense</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Furniture and equipment</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Franchise taxes</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sale of other assets owned</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FDIC Assessment</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servicing rights amortization</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 general and administrative</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1,473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4,692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operating expenses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7,357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ind w:left="340"/>
              <w:spacing w:after="0" w:line="201" w:lineRule="exact"/>
              <w:rPr>
                <w:sz w:val="20"/>
                <w:szCs w:val="20"/>
                <w:color w:val="auto"/>
              </w:rPr>
            </w:pPr>
            <w:r>
              <w:rPr>
                <w:rFonts w:ascii="Arial" w:cs="Arial" w:eastAsia="Arial" w:hAnsi="Arial"/>
                <w:sz w:val="18"/>
                <w:szCs w:val="18"/>
                <w:color w:val="auto"/>
              </w:rPr>
              <w:t>Net unrealized gain (loss) on available for sale</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securities</w:t>
            </w:r>
          </w:p>
        </w:tc>
        <w:tc>
          <w:tcPr>
            <w:tcW w:w="3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1,984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Reclassification adjustment for gain on sale of</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available for sale securities</w:t>
            </w: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unrealized gain (loss) on available</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for sale securities</w:t>
            </w:r>
          </w:p>
        </w:tc>
        <w:tc>
          <w:tcPr>
            <w:tcW w:w="3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1,937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70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2,910</w:t>
            </w:r>
          </w:p>
        </w:tc>
        <w:tc>
          <w:tcPr>
            <w:tcW w:w="8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3,022</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10,562</w:t>
            </w:r>
          </w:p>
        </w:tc>
        <w:tc>
          <w:tcPr>
            <w:tcW w:w="74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Earnings Per Share - Basic and Diluted </w:t>
            </w:r>
            <w:r>
              <w:rPr>
                <w:rFonts w:ascii="Arial" w:cs="Arial" w:eastAsia="Arial" w:hAnsi="Arial"/>
                <w:sz w:val="15"/>
                <w:szCs w:val="15"/>
                <w:b w:val="1"/>
                <w:bCs w:val="1"/>
                <w:color w:val="auto"/>
              </w:rPr>
              <w:t>(1)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Dividends Declared </w:t>
            </w:r>
            <w:r>
              <w:rPr>
                <w:rFonts w:ascii="Arial" w:cs="Arial" w:eastAsia="Arial" w:hAnsi="Arial"/>
                <w:sz w:val="15"/>
                <w:szCs w:val="15"/>
                <w:b w:val="1"/>
                <w:bCs w:val="1"/>
                <w:color w:val="auto"/>
              </w:rPr>
              <w:t>(1)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8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0.12</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0.37</w:t>
            </w:r>
          </w:p>
        </w:tc>
        <w:tc>
          <w:tcPr>
            <w:tcW w:w="74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40" w:firstLine="8"/>
        <w:spacing w:after="0" w:line="505" w:lineRule="auto"/>
        <w:tabs>
          <w:tab w:leader="none" w:pos="446" w:val="left"/>
        </w:tabs>
        <w:numPr>
          <w:ilvl w:val="0"/>
          <w:numId w:val="5"/>
        </w:numPr>
        <w:rPr>
          <w:rFonts w:ascii="Arial" w:cs="Arial" w:eastAsia="Arial" w:hAnsi="Arial"/>
          <w:sz w:val="14"/>
          <w:szCs w:val="14"/>
          <w:color w:val="auto"/>
        </w:rPr>
      </w:pPr>
      <w:r>
        <w:rPr>
          <w:rFonts w:ascii="Arial" w:cs="Arial" w:eastAsia="Arial" w:hAnsi="Arial"/>
          <w:sz w:val="17"/>
          <w:szCs w:val="17"/>
          <w:color w:val="auto"/>
        </w:rPr>
        <w:t>Share data has been adjusted to reflect a 2-for-1 stock split on September 20, 2017 See Notes to Condensed Consolidated Unaudited Financial Statements</w:t>
      </w:r>
    </w:p>
    <w:p>
      <w:pPr>
        <w:sectPr>
          <w:pgSz w:w="11900" w:h="16838" w:orient="portrait"/>
          <w:cols w:equalWidth="0" w:num="1">
            <w:col w:w="11420"/>
          </w:cols>
          <w:pgMar w:left="240" w:top="459" w:right="239" w:bottom="1029"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029"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gridSpan w:val="4"/>
          </w:tcPr>
          <w:p>
            <w:pPr>
              <w:jc w:val="center"/>
              <w:ind w:left="311"/>
              <w:spacing w:after="0"/>
              <w:rPr>
                <w:sz w:val="20"/>
                <w:szCs w:val="20"/>
                <w:color w:val="auto"/>
              </w:rPr>
            </w:pPr>
            <w:r>
              <w:rPr>
                <w:rFonts w:ascii="Arial" w:cs="Arial" w:eastAsia="Arial" w:hAnsi="Arial"/>
                <w:sz w:val="14"/>
                <w:szCs w:val="14"/>
                <w:color w:val="auto"/>
                <w:w w:val="93"/>
              </w:rPr>
              <w:t>(in thousands of dollars)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4"/>
          </w:tcPr>
          <w:p>
            <w:pPr>
              <w:jc w:val="center"/>
              <w:ind w:left="311"/>
              <w:spacing w:after="0" w:line="149" w:lineRule="exact"/>
              <w:rPr>
                <w:sz w:val="20"/>
                <w:szCs w:val="20"/>
                <w:color w:val="auto"/>
              </w:rPr>
            </w:pPr>
            <w:r>
              <w:rPr>
                <w:rFonts w:ascii="Arial" w:cs="Arial" w:eastAsia="Arial" w:hAnsi="Arial"/>
                <w:sz w:val="14"/>
                <w:szCs w:val="14"/>
                <w:color w:val="auto"/>
                <w:w w:val="94"/>
              </w:rPr>
              <w:t>Nine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color w:val="auto"/>
              </w:rPr>
              <w:t>September 30, 2017</w:t>
            </w:r>
          </w:p>
        </w:tc>
        <w:tc>
          <w:tcPr>
            <w:tcW w:w="4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9,284</w:t>
            </w:r>
          </w:p>
        </w:tc>
        <w:tc>
          <w:tcPr>
            <w:tcW w:w="4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on available for sale securities,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346</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(600)</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(42,601)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44,574</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 owned</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Gain on sales of securities available for sale</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12,251</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Activity in available-for-sale securities: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16,682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13,562</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(3,387)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(626)</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other assets owned</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(1,459)</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(39,195)</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change in deposits</w:t>
            </w:r>
          </w:p>
        </w:tc>
        <w:tc>
          <w:tcPr>
            <w:tcW w:w="34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61,163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(34,774)</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22,937</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20,782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9,480</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49,104</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31,498</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3,735</w:t>
            </w:r>
          </w:p>
        </w:tc>
        <w:tc>
          <w:tcPr>
            <w:tcW w:w="4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1 BASIS OF PRESENTATION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Share data has been adjusted to reflect a 2-for-1 stock split on September 20, 2017. Operating results for the nine months ended September 30, 2017 are not necessarily indicative of the results that are expected for the year ended December 31, 2017. The condensed consolidated balance sheet of the Company as of December 31, 2016,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2016.</w:t>
      </w:r>
    </w:p>
    <w:p>
      <w:pPr>
        <w:spacing w:after="0" w:line="3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2 ASSET PURCHASES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recognized core deposit intangible assets of $1.09 million with the purchase of the Hicksville office on July 9, 2010. These were amortized over an estimated remaining economic useful life of the deposits of 7 years on a straight line basis.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 office was purchased on December 13, 2013 in Custar, Ohio. Core deposit intangible assets of $1.17 million were recognized and are being amortized over its remaining economic useful life of the deposits of 7 years on a straight line basis.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amortization expense for the year ended December 31, 2016 was $323 thousand. Of the $245 thousand to be expensed in 2017, $203 thousand has been expensed for the nine months ended September 30, 2017.</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5"/>
              </w:rPr>
              <w:t>Hicksville</w:t>
            </w:r>
          </w:p>
        </w:tc>
        <w:tc>
          <w:tcPr>
            <w:tcW w:w="500" w:type="dxa"/>
            <w:vAlign w:val="bottom"/>
          </w:tcPr>
          <w:p>
            <w:pPr>
              <w:spacing w:after="0"/>
              <w:rPr>
                <w:sz w:val="12"/>
                <w:szCs w:val="12"/>
                <w:color w:val="auto"/>
              </w:rPr>
            </w:pPr>
          </w:p>
        </w:tc>
        <w:tc>
          <w:tcPr>
            <w:tcW w:w="8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87"/>
              </w:rPr>
              <w:t>Custar</w:t>
            </w:r>
          </w:p>
        </w:tc>
        <w:tc>
          <w:tcPr>
            <w:tcW w:w="360" w:type="dxa"/>
            <w:vAlign w:val="bottom"/>
          </w:tcPr>
          <w:p>
            <w:pPr>
              <w:jc w:val="center"/>
              <w:spacing w:after="0" w:line="142" w:lineRule="exact"/>
              <w:rPr>
                <w:sz w:val="20"/>
                <w:szCs w:val="20"/>
                <w:color w:val="auto"/>
              </w:rPr>
            </w:pPr>
            <w:r>
              <w:rPr>
                <w:rFonts w:ascii="Arial" w:cs="Arial" w:eastAsia="Arial" w:hAnsi="Arial"/>
                <w:sz w:val="14"/>
                <w:szCs w:val="14"/>
                <w:color w:val="auto"/>
                <w:w w:val="96"/>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jc w:val="right"/>
              <w:ind w:right="2110"/>
              <w:spacing w:after="0"/>
              <w:rPr>
                <w:sz w:val="20"/>
                <w:szCs w:val="20"/>
                <w:color w:val="auto"/>
              </w:rPr>
            </w:pPr>
            <w:r>
              <w:rPr>
                <w:rFonts w:ascii="Arial" w:cs="Arial" w:eastAsia="Arial" w:hAnsi="Arial"/>
                <w:sz w:val="18"/>
                <w:szCs w:val="18"/>
                <w:color w:val="auto"/>
                <w:w w:val="84"/>
              </w:rPr>
              <w:t>2017</w:t>
            </w:r>
          </w:p>
        </w:tc>
        <w:tc>
          <w:tcPr>
            <w:tcW w:w="4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$ 167</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2018</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167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w w:val="84"/>
              </w:rPr>
              <w:t>2019</w:t>
            </w:r>
          </w:p>
        </w:tc>
        <w:tc>
          <w:tcPr>
            <w:tcW w:w="4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560" w:type="dxa"/>
            <w:vAlign w:val="bottom"/>
          </w:tcPr>
          <w:p>
            <w:pPr>
              <w:jc w:val="right"/>
              <w:ind w:right="2110"/>
              <w:spacing w:after="0"/>
              <w:rPr>
                <w:sz w:val="20"/>
                <w:szCs w:val="20"/>
                <w:color w:val="auto"/>
              </w:rPr>
            </w:pPr>
            <w:r>
              <w:rPr>
                <w:rFonts w:ascii="Arial" w:cs="Arial" w:eastAsia="Arial" w:hAnsi="Arial"/>
                <w:sz w:val="18"/>
                <w:szCs w:val="18"/>
                <w:color w:val="auto"/>
                <w:w w:val="84"/>
              </w:rPr>
              <w:t>2020</w:t>
            </w: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161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6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740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640" w:type="dxa"/>
            <w:vAlign w:val="bottom"/>
            <w:vMerge w:val="restart"/>
          </w:tcPr>
          <w:p>
            <w:pPr>
              <w:jc w:val="right"/>
              <w:ind w:right="2270"/>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3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September 30, 2017 and December 31, 2016,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ind w:right="420"/>
              <w:spacing w:after="0" w:line="142" w:lineRule="exact"/>
              <w:rPr>
                <w:sz w:val="20"/>
                <w:szCs w:val="20"/>
                <w:color w:val="auto"/>
              </w:rPr>
            </w:pPr>
            <w:r>
              <w:rPr>
                <w:rFonts w:ascii="Arial" w:cs="Arial" w:eastAsia="Arial" w:hAnsi="Arial"/>
                <w:sz w:val="14"/>
                <w:szCs w:val="14"/>
                <w:color w:val="auto"/>
                <w:w w:val="91"/>
              </w:rPr>
              <w:t>September 30, 2017</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7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0"/>
                <w:szCs w:val="10"/>
                <w:color w:val="auto"/>
              </w:rPr>
            </w:pPr>
          </w:p>
        </w:tc>
        <w:tc>
          <w:tcPr>
            <w:tcW w:w="96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75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8"/>
              </w:rPr>
              <w:t>Amortized</w:t>
            </w:r>
          </w:p>
        </w:tc>
        <w:tc>
          <w:tcPr>
            <w:tcW w:w="36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15,790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15,676</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79,224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78,160</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42,409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41,990</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56,438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56,985</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193,861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(1,971</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192,811</w:t>
            </w:r>
          </w:p>
        </w:tc>
        <w:tc>
          <w:tcPr>
            <w:tcW w:w="6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7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5"/>
          </w:tcPr>
          <w:p>
            <w:pPr>
              <w:jc w:val="center"/>
              <w:ind w:right="440"/>
              <w:spacing w:after="0" w:line="142" w:lineRule="exact"/>
              <w:rPr>
                <w:sz w:val="20"/>
                <w:szCs w:val="20"/>
                <w:color w:val="auto"/>
              </w:rPr>
            </w:pPr>
            <w:r>
              <w:rPr>
                <w:rFonts w:ascii="Arial" w:cs="Arial" w:eastAsia="Arial" w:hAnsi="Arial"/>
                <w:sz w:val="14"/>
                <w:szCs w:val="14"/>
                <w:color w:val="auto"/>
                <w:w w:val="92"/>
              </w:rPr>
              <w:t>December 31, 2016</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7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0"/>
              </w:rPr>
              <w:t>Gross</w:t>
            </w:r>
          </w:p>
        </w:tc>
        <w:tc>
          <w:tcPr>
            <w:tcW w:w="100" w:type="dxa"/>
            <w:vAlign w:val="bottom"/>
          </w:tcPr>
          <w:p>
            <w:pPr>
              <w:spacing w:after="0"/>
              <w:rPr>
                <w:sz w:val="10"/>
                <w:szCs w:val="10"/>
                <w:color w:val="auto"/>
              </w:rPr>
            </w:pPr>
          </w:p>
        </w:tc>
        <w:tc>
          <w:tcPr>
            <w:tcW w:w="96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7540" w:type="dxa"/>
            <w:vAlign w:val="bottom"/>
          </w:tcPr>
          <w:p>
            <w:pPr>
              <w:spacing w:after="0"/>
              <w:rPr>
                <w:sz w:val="12"/>
                <w:szCs w:val="12"/>
                <w:color w:val="auto"/>
              </w:rPr>
            </w:pPr>
          </w:p>
        </w:tc>
        <w:tc>
          <w:tcPr>
            <w:tcW w:w="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8"/>
              </w:rPr>
              <w:t>Amortized</w:t>
            </w:r>
          </w:p>
        </w:tc>
        <w:tc>
          <w:tcPr>
            <w:tcW w:w="36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Fair</w:t>
            </w:r>
          </w:p>
        </w:tc>
      </w:tr>
      <w:tr>
        <w:trPr>
          <w:trHeight w:val="167"/>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24,920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24,775</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84,266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82,474</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49,155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48,461</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63,173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62,817</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221,514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(3,810</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218,527</w:t>
            </w:r>
          </w:p>
        </w:tc>
        <w:tc>
          <w:tcPr>
            <w:tcW w:w="6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spacing w:after="0" w:line="5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downgrade has occurred that lowered the credit rating to below investment grade (below Baa3 by Moody and BBB – by Standard and Poors.)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ind w:left="460" w:right="10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2017 and December 31, 2016,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118"/>
              <w:spacing w:after="0"/>
              <w:rPr>
                <w:sz w:val="20"/>
                <w:szCs w:val="20"/>
                <w:color w:val="auto"/>
              </w:rPr>
            </w:pPr>
            <w:r>
              <w:rPr>
                <w:rFonts w:ascii="Arial" w:cs="Arial" w:eastAsia="Arial" w:hAnsi="Arial"/>
                <w:sz w:val="14"/>
                <w:szCs w:val="14"/>
                <w:color w:val="auto"/>
                <w:w w:val="93"/>
              </w:rPr>
              <w:t>(In Thousands)</w:t>
            </w: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center"/>
              <w:ind w:left="138"/>
              <w:spacing w:after="0" w:line="142" w:lineRule="exact"/>
              <w:rPr>
                <w:sz w:val="20"/>
                <w:szCs w:val="20"/>
                <w:color w:val="auto"/>
              </w:rPr>
            </w:pPr>
            <w:r>
              <w:rPr>
                <w:rFonts w:ascii="Arial" w:cs="Arial" w:eastAsia="Arial" w:hAnsi="Arial"/>
                <w:sz w:val="14"/>
                <w:szCs w:val="14"/>
                <w:color w:val="auto"/>
                <w:w w:val="89"/>
              </w:rPr>
              <w:t>September 30, 2017</w:t>
            </w:r>
          </w:p>
        </w:tc>
        <w:tc>
          <w:tcPr>
            <w:tcW w:w="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gridSpan w:val="6"/>
          </w:tcPr>
          <w:p>
            <w:pPr>
              <w:ind w:left="200"/>
              <w:spacing w:after="0" w:line="142" w:lineRule="exact"/>
              <w:rPr>
                <w:sz w:val="20"/>
                <w:szCs w:val="20"/>
                <w:color w:val="auto"/>
              </w:rPr>
            </w:pPr>
            <w:r>
              <w:rPr>
                <w:rFonts w:ascii="Arial" w:cs="Arial" w:eastAsia="Arial" w:hAnsi="Arial"/>
                <w:sz w:val="14"/>
                <w:szCs w:val="14"/>
                <w:color w:val="auto"/>
              </w:rPr>
              <w:t>Less Than Twelve Months</w:t>
            </w:r>
          </w:p>
        </w:tc>
        <w:tc>
          <w:tcPr>
            <w:tcW w:w="280" w:type="dxa"/>
            <w:vAlign w:val="bottom"/>
          </w:tcPr>
          <w:p>
            <w:pPr>
              <w:spacing w:after="0"/>
              <w:rPr>
                <w:sz w:val="12"/>
                <w:szCs w:val="12"/>
                <w:color w:val="auto"/>
              </w:rPr>
            </w:pPr>
          </w:p>
        </w:tc>
        <w:tc>
          <w:tcPr>
            <w:tcW w:w="1940" w:type="dxa"/>
            <w:vAlign w:val="bottom"/>
            <w:gridSpan w:val="4"/>
          </w:tcPr>
          <w:p>
            <w:pPr>
              <w:jc w:val="right"/>
              <w:ind w:right="335"/>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8"/>
              <w:spacing w:after="0" w:line="123" w:lineRule="exact"/>
              <w:rPr>
                <w:sz w:val="20"/>
                <w:szCs w:val="20"/>
                <w:color w:val="auto"/>
              </w:rPr>
            </w:pPr>
            <w:r>
              <w:rPr>
                <w:rFonts w:ascii="Arial" w:cs="Arial" w:eastAsia="Arial" w:hAnsi="Arial"/>
                <w:sz w:val="14"/>
                <w:szCs w:val="14"/>
                <w:color w:val="auto"/>
                <w:w w:val="91"/>
              </w:rPr>
              <w:t>Fair</w:t>
            </w:r>
          </w:p>
        </w:tc>
        <w:tc>
          <w:tcPr>
            <w:tcW w:w="56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95"/>
              <w:spacing w:after="0" w:line="123" w:lineRule="exact"/>
              <w:rPr>
                <w:sz w:val="20"/>
                <w:szCs w:val="20"/>
                <w:color w:val="auto"/>
              </w:rPr>
            </w:pPr>
            <w:r>
              <w:rPr>
                <w:rFonts w:ascii="Arial" w:cs="Arial" w:eastAsia="Arial" w:hAnsi="Arial"/>
                <w:sz w:val="14"/>
                <w:szCs w:val="14"/>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Value</w:t>
            </w:r>
          </w:p>
        </w:tc>
        <w:tc>
          <w:tcPr>
            <w:tcW w:w="280" w:type="dxa"/>
            <w:vAlign w:val="bottom"/>
          </w:tcPr>
          <w:p>
            <w:pPr>
              <w:spacing w:after="0"/>
              <w:rPr>
                <w:sz w:val="14"/>
                <w:szCs w:val="14"/>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4"/>
                <w:szCs w:val="14"/>
                <w:color w:val="auto"/>
                <w:w w:val="90"/>
              </w:rPr>
              <w:t>Losses</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15,676</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62,910</w:t>
            </w:r>
          </w:p>
        </w:tc>
        <w:tc>
          <w:tcPr>
            <w:tcW w:w="2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22,344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8,776</w:t>
            </w:r>
          </w:p>
        </w:tc>
        <w:tc>
          <w:tcPr>
            <w:tcW w:w="2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109,706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93"/>
              </w:rPr>
              <w:t>(In Thousands)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1"/>
              </w:rPr>
              <w:t>December 31, 2016</w:t>
            </w:r>
          </w:p>
        </w:tc>
        <w:tc>
          <w:tcPr>
            <w:tcW w:w="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80" w:type="dxa"/>
            <w:vAlign w:val="bottom"/>
            <w:gridSpan w:val="5"/>
          </w:tcPr>
          <w:p>
            <w:pPr>
              <w:jc w:val="right"/>
              <w:ind w:right="960"/>
              <w:spacing w:after="0" w:line="142" w:lineRule="exact"/>
              <w:rPr>
                <w:sz w:val="20"/>
                <w:szCs w:val="20"/>
                <w:color w:val="auto"/>
              </w:rPr>
            </w:pPr>
            <w:r>
              <w:rPr>
                <w:rFonts w:ascii="Arial" w:cs="Arial" w:eastAsia="Arial" w:hAnsi="Arial"/>
                <w:sz w:val="14"/>
                <w:szCs w:val="14"/>
                <w:color w:val="auto"/>
              </w:rPr>
              <w:t>Less Than Twelve Months</w:t>
            </w:r>
          </w:p>
        </w:tc>
        <w:tc>
          <w:tcPr>
            <w:tcW w:w="220" w:type="dxa"/>
            <w:vAlign w:val="bottom"/>
          </w:tcPr>
          <w:p>
            <w:pPr>
              <w:spacing w:after="0"/>
              <w:rPr>
                <w:sz w:val="12"/>
                <w:szCs w:val="12"/>
                <w:color w:val="auto"/>
              </w:rPr>
            </w:pPr>
          </w:p>
        </w:tc>
        <w:tc>
          <w:tcPr>
            <w:tcW w:w="178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Twelve Months &amp; Over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Unrealized</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8"/>
              <w:spacing w:after="0" w:line="123" w:lineRule="exact"/>
              <w:rPr>
                <w:sz w:val="20"/>
                <w:szCs w:val="20"/>
                <w:color w:val="auto"/>
              </w:rPr>
            </w:pPr>
            <w:r>
              <w:rPr>
                <w:rFonts w:ascii="Arial" w:cs="Arial" w:eastAsia="Arial" w:hAnsi="Arial"/>
                <w:sz w:val="14"/>
                <w:szCs w:val="14"/>
                <w:color w:val="auto"/>
              </w:rPr>
              <w:t>Fair</w:t>
            </w:r>
          </w:p>
        </w:tc>
        <w:tc>
          <w:tcPr>
            <w:tcW w:w="560" w:type="dxa"/>
            <w:vAlign w:val="bottom"/>
          </w:tcPr>
          <w:p>
            <w:pPr>
              <w:spacing w:after="0"/>
              <w:rPr>
                <w:sz w:val="10"/>
                <w:szCs w:val="10"/>
                <w:color w:val="auto"/>
              </w:rPr>
            </w:pPr>
          </w:p>
        </w:tc>
        <w:tc>
          <w:tcPr>
            <w:tcW w:w="164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Gross Unrealized</w:t>
            </w:r>
          </w:p>
        </w:tc>
        <w:tc>
          <w:tcPr>
            <w:tcW w:w="3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940"/>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color w:val="auto"/>
              </w:rPr>
              <w:t>Losses</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1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(1,795)</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77,471</w:t>
            </w:r>
          </w:p>
        </w:tc>
        <w:tc>
          <w:tcPr>
            <w:tcW w:w="22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36,474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37,540</w:t>
            </w:r>
          </w:p>
        </w:tc>
        <w:tc>
          <w:tcPr>
            <w:tcW w:w="22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167,230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Below are the gross realized gains and losses for the three and nine months ended September 30.</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20" w:type="dxa"/>
            <w:vAlign w:val="bottom"/>
            <w:gridSpan w:val="5"/>
          </w:tcPr>
          <w:p>
            <w:pPr>
              <w:jc w:val="center"/>
              <w:ind w:right="360"/>
              <w:spacing w:after="0"/>
              <w:rPr>
                <w:sz w:val="20"/>
                <w:szCs w:val="20"/>
                <w:color w:val="auto"/>
              </w:rPr>
            </w:pPr>
            <w:r>
              <w:rPr>
                <w:rFonts w:ascii="Arial" w:cs="Arial" w:eastAsia="Arial" w:hAnsi="Arial"/>
                <w:sz w:val="14"/>
                <w:szCs w:val="14"/>
                <w:color w:val="auto"/>
                <w:w w:val="94"/>
              </w:rPr>
              <w:t>Three Months</w:t>
            </w:r>
          </w:p>
        </w:tc>
        <w:tc>
          <w:tcPr>
            <w:tcW w:w="1220" w:type="dxa"/>
            <w:vAlign w:val="bottom"/>
            <w:gridSpan w:val="5"/>
          </w:tcPr>
          <w:p>
            <w:pPr>
              <w:jc w:val="right"/>
              <w:ind w:right="280"/>
              <w:spacing w:after="0"/>
              <w:rPr>
                <w:sz w:val="20"/>
                <w:szCs w:val="20"/>
                <w:color w:val="auto"/>
              </w:rPr>
            </w:pPr>
            <w:r>
              <w:rPr>
                <w:rFonts w:ascii="Arial" w:cs="Arial" w:eastAsia="Arial" w:hAnsi="Arial"/>
                <w:sz w:val="14"/>
                <w:szCs w:val="14"/>
                <w:color w:val="auto"/>
              </w:rPr>
              <w:t>Nine Months</w:t>
            </w:r>
          </w:p>
        </w:tc>
        <w:tc>
          <w:tcPr>
            <w:tcW w:w="0" w:type="dxa"/>
            <w:vAlign w:val="bottom"/>
          </w:tcPr>
          <w:p>
            <w:pPr>
              <w:spacing w:after="0"/>
              <w:rPr>
                <w:sz w:val="1"/>
                <w:szCs w:val="1"/>
                <w:color w:val="auto"/>
              </w:rPr>
            </w:pPr>
          </w:p>
        </w:tc>
      </w:tr>
      <w:tr>
        <w:trPr>
          <w:trHeight w:val="167"/>
        </w:trPr>
        <w:tc>
          <w:tcPr>
            <w:tcW w:w="7860" w:type="dxa"/>
            <w:vAlign w:val="bottom"/>
          </w:tcPr>
          <w:p>
            <w:pPr>
              <w:spacing w:after="0"/>
              <w:rPr>
                <w:sz w:val="14"/>
                <w:szCs w:val="14"/>
                <w:color w:val="auto"/>
              </w:rPr>
            </w:pPr>
          </w:p>
        </w:tc>
        <w:tc>
          <w:tcPr>
            <w:tcW w:w="1420" w:type="dxa"/>
            <w:vAlign w:val="bottom"/>
            <w:gridSpan w:val="5"/>
          </w:tcPr>
          <w:p>
            <w:pPr>
              <w:jc w:val="center"/>
              <w:ind w:right="340"/>
              <w:spacing w:after="0"/>
              <w:rPr>
                <w:sz w:val="20"/>
                <w:szCs w:val="20"/>
                <w:color w:val="auto"/>
              </w:rPr>
            </w:pPr>
            <w:r>
              <w:rPr>
                <w:rFonts w:ascii="Arial" w:cs="Arial" w:eastAsia="Arial" w:hAnsi="Arial"/>
                <w:sz w:val="14"/>
                <w:szCs w:val="14"/>
                <w:color w:val="auto"/>
                <w:w w:val="93"/>
              </w:rPr>
              <w:t>(In Thousands)</w:t>
            </w:r>
          </w:p>
        </w:tc>
        <w:tc>
          <w:tcPr>
            <w:tcW w:w="1220" w:type="dxa"/>
            <w:vAlign w:val="bottom"/>
            <w:gridSpan w:val="5"/>
          </w:tcPr>
          <w:p>
            <w:pPr>
              <w:jc w:val="right"/>
              <w:ind w:right="2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78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2016</w:t>
            </w:r>
          </w:p>
        </w:tc>
        <w:tc>
          <w:tcPr>
            <w:tcW w:w="34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3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85"/>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Gross realized losses</w:t>
            </w:r>
          </w:p>
        </w:tc>
        <w:tc>
          <w:tcPr>
            <w:tcW w:w="3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5"/>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$ 47</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85"/>
              </w:rPr>
              <w:t>$—</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 is included in net gain on sale of available-for-sale securities and the related tax expense is included in tax expense in the condensed consolidated statements of income and comprehensive income.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3 SECURITIES (Continued)</w:t>
      </w:r>
    </w:p>
    <w:p>
      <w:pPr>
        <w:spacing w:after="0" w:line="15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amortized cost and fair value of debt securities at September 30, 2017, by contractual maturity, are shown below. Expected maturities will differ from contractual maturities because borrowers may have the right to call or prepay obligations with or without call or prepayment penalties.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r>
      <w:tr>
        <w:trPr>
          <w:trHeight w:val="123"/>
        </w:trPr>
        <w:tc>
          <w:tcPr>
            <w:tcW w:w="4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4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88,228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88,088</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49,979</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After ten years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151,452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150,821</w:t>
            </w:r>
          </w:p>
        </w:tc>
        <w:tc>
          <w:tcPr>
            <w:tcW w:w="60" w:type="dxa"/>
            <w:vAlign w:val="bottom"/>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41,990</w:t>
            </w:r>
          </w:p>
        </w:tc>
        <w:tc>
          <w:tcPr>
            <w:tcW w:w="60" w:type="dxa"/>
            <w:vAlign w:val="bottom"/>
          </w:tcPr>
          <w:p>
            <w:pPr>
              <w:spacing w:after="0"/>
              <w:rPr>
                <w:sz w:val="19"/>
                <w:szCs w:val="19"/>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193,861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192,811</w:t>
            </w:r>
          </w:p>
        </w:tc>
        <w:tc>
          <w:tcPr>
            <w:tcW w:w="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Investments with a carrying value of $84.5 million and $129.4 million at September 30, 2017 and December 31, 2016, respectively, were pledged to secure public deposits and securities sold under repurchase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 include Federal Home Loan Bank of Cincinnati and Farmer Mac stock as of September 30, 2017 and December 31, 2016.</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as of September 30, 2017 and December 31, 2016:</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00" w:type="dxa"/>
            <w:vAlign w:val="bottom"/>
            <w:vMerge w:val="restart"/>
          </w:tcPr>
          <w:p>
            <w:pPr>
              <w:spacing w:after="0"/>
              <w:rPr>
                <w:sz w:val="20"/>
                <w:szCs w:val="20"/>
                <w:color w:val="auto"/>
              </w:rPr>
            </w:pPr>
            <w:r>
              <w:rPr>
                <w:rFonts w:ascii="Arial" w:cs="Arial" w:eastAsia="Arial" w:hAnsi="Arial"/>
                <w:sz w:val="14"/>
                <w:szCs w:val="14"/>
                <w:color w:val="auto"/>
                <w:w w:val="90"/>
              </w:rPr>
              <w:t>Loans:</w:t>
            </w:r>
          </w:p>
        </w:tc>
        <w:tc>
          <w:tcPr>
            <w:tcW w:w="3100" w:type="dxa"/>
            <w:vAlign w:val="bottom"/>
            <w:vMerge w:val="restart"/>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w w:val="89"/>
              </w:rPr>
              <w:t>September 30, 2017</w:t>
            </w:r>
          </w:p>
        </w:tc>
        <w:tc>
          <w:tcPr>
            <w:tcW w:w="88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color w:val="auto"/>
                <w:w w:val="89"/>
              </w:rPr>
              <w:t>December 31, 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19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84,283</w:t>
            </w: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63,603</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Agricultural</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87,095</w:t>
            </w:r>
          </w:p>
        </w:tc>
        <w:tc>
          <w:tcPr>
            <w:tcW w:w="8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394,481</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124,078</w:t>
            </w:r>
          </w:p>
        </w:tc>
        <w:tc>
          <w:tcPr>
            <w:tcW w:w="8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35,843</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88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795,938</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deferred loan fees and costs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(733)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795,205</w:t>
            </w:r>
          </w:p>
        </w:tc>
        <w:tc>
          <w:tcPr>
            <w:tcW w:w="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tcBorders>
              <w:right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(6,870)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Loans – Net</w:t>
            </w:r>
          </w:p>
        </w:tc>
        <w:tc>
          <w:tcPr>
            <w:tcW w:w="19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788,335</w:t>
            </w:r>
          </w:p>
        </w:tc>
        <w:tc>
          <w:tcPr>
            <w:tcW w:w="8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vMerge w:val="restart"/>
          </w:tcPr>
          <w:p>
            <w:pPr>
              <w:jc w:val="right"/>
              <w:ind w:right="930"/>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contractual maturity schedule by major category of loans as of September 30, 2017:</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After One</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56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Within</w:t>
            </w:r>
          </w:p>
        </w:tc>
        <w:tc>
          <w:tcPr>
            <w:tcW w:w="2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Year Within</w:t>
            </w:r>
          </w:p>
        </w:tc>
        <w:tc>
          <w:tcPr>
            <w:tcW w:w="1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After</w:t>
            </w:r>
          </w:p>
        </w:tc>
      </w:tr>
      <w:tr>
        <w:trPr>
          <w:trHeight w:val="167"/>
        </w:trPr>
        <w:tc>
          <w:tcPr>
            <w:tcW w:w="65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One Year</w:t>
            </w:r>
          </w:p>
        </w:tc>
        <w:tc>
          <w:tcPr>
            <w:tcW w:w="2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Five Years</w:t>
            </w: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Five Years</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$ 2,153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14,237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$ 67,893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5,495</w:t>
            </w: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57,707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51,979</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25,915</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9,201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10,875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120,924</w:t>
            </w:r>
          </w:p>
        </w:tc>
        <w:tc>
          <w:tcPr>
            <w:tcW w:w="3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262,682</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68,139</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34,860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21,079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Consumer</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5,077</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23,025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7,741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5,639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2017:</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gridSpan w:val="4"/>
          </w:tcPr>
          <w:p>
            <w:pPr>
              <w:ind w:left="480"/>
              <w:spacing w:after="0"/>
              <w:rPr>
                <w:sz w:val="20"/>
                <w:szCs w:val="20"/>
                <w:color w:val="auto"/>
              </w:rPr>
            </w:pPr>
            <w:r>
              <w:rPr>
                <w:rFonts w:ascii="Arial" w:cs="Arial" w:eastAsia="Arial" w:hAnsi="Arial"/>
                <w:sz w:val="14"/>
                <w:szCs w:val="14"/>
                <w:color w:val="auto"/>
              </w:rPr>
              <w:t>(In Thousands)</w:t>
            </w:r>
          </w:p>
        </w:tc>
      </w:tr>
      <w:tr>
        <w:trPr>
          <w:trHeight w:val="123"/>
        </w:trPr>
        <w:tc>
          <w:tcPr>
            <w:tcW w:w="4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Borders>
              <w:top w:val="single" w:sz="8" w:color="auto"/>
            </w:tcBorders>
          </w:tcPr>
          <w:p>
            <w:pPr>
              <w:jc w:val="right"/>
              <w:ind w:right="104"/>
              <w:spacing w:after="0" w:line="123" w:lineRule="exact"/>
              <w:rPr>
                <w:sz w:val="20"/>
                <w:szCs w:val="20"/>
                <w:color w:val="auto"/>
              </w:rPr>
            </w:pPr>
            <w:r>
              <w:rPr>
                <w:rFonts w:ascii="Arial" w:cs="Arial" w:eastAsia="Arial" w:hAnsi="Arial"/>
                <w:sz w:val="14"/>
                <w:szCs w:val="14"/>
                <w:color w:val="auto"/>
              </w:rPr>
              <w:t>Fixed</w:t>
            </w: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Variable</w:t>
            </w:r>
          </w:p>
        </w:tc>
        <w:tc>
          <w:tcPr>
            <w:tcW w:w="60" w:type="dxa"/>
            <w:vAlign w:val="bottom"/>
          </w:tcPr>
          <w:p>
            <w:pPr>
              <w:spacing w:after="0"/>
              <w:rPr>
                <w:sz w:val="10"/>
                <w:szCs w:val="10"/>
                <w:color w:val="auto"/>
              </w:rPr>
            </w:pPr>
          </w:p>
        </w:tc>
      </w:tr>
      <w:tr>
        <w:trPr>
          <w:trHeight w:val="167"/>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jc w:val="right"/>
              <w:ind w:right="144"/>
              <w:spacing w:after="0"/>
              <w:rPr>
                <w:sz w:val="20"/>
                <w:szCs w:val="20"/>
                <w:color w:val="auto"/>
              </w:rPr>
            </w:pPr>
            <w:r>
              <w:rPr>
                <w:rFonts w:ascii="Arial" w:cs="Arial" w:eastAsia="Arial" w:hAnsi="Arial"/>
                <w:sz w:val="14"/>
                <w:szCs w:val="14"/>
                <w:color w:val="auto"/>
              </w:rPr>
              <w:t>Rate</w:t>
            </w:r>
          </w:p>
        </w:tc>
        <w:tc>
          <w:tcPr>
            <w:tcW w:w="4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Rate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$ 47,662</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$ 36,621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46,557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17,046</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266,316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128,165</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65,518</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Consumer</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31,554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4,289</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September 30, 2017 and December 31, 2016 one to four family residential mortgage loans amounting to $17.7 and $17.9 million, respectively, have been pledged as security for future loans and existing loans the Bank has received from the Federal Home Loan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listed separately, Industrial Development Bonds are included in the Commercial and Industrial category for the remainder of the tables in this Note 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the contractual aging of the recorded investment (in thousands) in past due loans by portfolio classification of loans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Recorded</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Investment</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&gt; 90 Days</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30-59 Days</w:t>
            </w:r>
          </w:p>
        </w:tc>
        <w:tc>
          <w:tcPr>
            <w:tcW w:w="18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60-89 Days</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Financing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and</w:t>
            </w:r>
          </w:p>
        </w:tc>
      </w:tr>
      <w:tr>
        <w:trPr>
          <w:trHeight w:val="167"/>
        </w:trPr>
        <w:tc>
          <w:tcPr>
            <w:tcW w:w="3300" w:type="dxa"/>
            <w:vAlign w:val="bottom"/>
          </w:tcPr>
          <w:p>
            <w:pPr>
              <w:spacing w:after="0"/>
              <w:rPr>
                <w:sz w:val="20"/>
                <w:szCs w:val="20"/>
                <w:color w:val="auto"/>
              </w:rPr>
            </w:pPr>
            <w:r>
              <w:rPr>
                <w:rFonts w:ascii="Arial" w:cs="Arial" w:eastAsia="Arial" w:hAnsi="Arial"/>
                <w:sz w:val="14"/>
                <w:szCs w:val="14"/>
                <w:color w:val="auto"/>
              </w:rPr>
              <w:t>September 30, 2017</w:t>
            </w:r>
          </w:p>
        </w:tc>
        <w:tc>
          <w:tcPr>
            <w:tcW w:w="13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w w:val="97"/>
              </w:rPr>
              <w:t>Past Due</w:t>
            </w:r>
          </w:p>
        </w:tc>
        <w:tc>
          <w:tcPr>
            <w:tcW w:w="1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Past Due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color w:val="auto"/>
                <w:w w:val="86"/>
              </w:rPr>
              <w:t>Past Due</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Current</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Receivables</w:t>
            </w: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Accruing</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532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10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505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$ 1,037</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63,366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63,571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124</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79"/>
              </w:rPr>
              <w:t>98</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393,815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393,913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130,720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130,720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Consumer</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35,887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673</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828</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$ 1,511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793,694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$ 795,205</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w:t>
            </w:r>
          </w:p>
        </w:tc>
      </w:tr>
      <w:tr>
        <w:trPr>
          <w:trHeight w:val="20"/>
        </w:trPr>
        <w:tc>
          <w:tcPr>
            <w:tcW w:w="3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0"/>
        </w:trPr>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Recorded</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Investment</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Total</w:t>
            </w: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&gt; 90 Days</w:t>
            </w:r>
          </w:p>
        </w:tc>
      </w:tr>
      <w:tr>
        <w:trPr>
          <w:trHeight w:val="149"/>
        </w:trPr>
        <w:tc>
          <w:tcPr>
            <w:tcW w:w="3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30-59 Days</w:t>
            </w:r>
          </w:p>
        </w:tc>
        <w:tc>
          <w:tcPr>
            <w:tcW w:w="18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60-89 Days</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5"/>
              </w:rPr>
              <w:t>Financing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and</w:t>
            </w:r>
          </w:p>
        </w:tc>
      </w:tr>
      <w:tr>
        <w:trPr>
          <w:trHeight w:val="167"/>
        </w:trPr>
        <w:tc>
          <w:tcPr>
            <w:tcW w:w="3300" w:type="dxa"/>
            <w:vAlign w:val="bottom"/>
          </w:tcPr>
          <w:p>
            <w:pPr>
              <w:spacing w:after="0"/>
              <w:rPr>
                <w:sz w:val="20"/>
                <w:szCs w:val="20"/>
                <w:color w:val="auto"/>
              </w:rPr>
            </w:pPr>
            <w:r>
              <w:rPr>
                <w:rFonts w:ascii="Arial" w:cs="Arial" w:eastAsia="Arial" w:hAnsi="Arial"/>
                <w:sz w:val="14"/>
                <w:szCs w:val="14"/>
                <w:color w:val="auto"/>
              </w:rPr>
              <w:t>December 31, 2016</w:t>
            </w:r>
          </w:p>
        </w:tc>
        <w:tc>
          <w:tcPr>
            <w:tcW w:w="136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color w:val="auto"/>
                <w:w w:val="97"/>
              </w:rPr>
              <w:t>Past Due</w:t>
            </w:r>
          </w:p>
        </w:tc>
        <w:tc>
          <w:tcPr>
            <w:tcW w:w="1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Past Due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color w:val="auto"/>
                <w:w w:val="86"/>
              </w:rPr>
              <w:t>Past Due</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Current</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Receivables</w:t>
            </w: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Accruing</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882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ind w:right="102"/>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507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$ 1,404</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84,469</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132</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62,192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62,336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84,591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376,827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376,887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115,093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115,093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Consumer</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33,178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33,213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7"/>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639</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756,350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$ 758,094</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w:t>
            </w:r>
          </w:p>
        </w:tc>
      </w:tr>
      <w:tr>
        <w:trPr>
          <w:trHeight w:val="20"/>
        </w:trPr>
        <w:tc>
          <w:tcPr>
            <w:tcW w:w="3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11</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recorded investment in nonaccrual loans by class of loans as of September 30, 2017 and December 31, 2016:</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(In Thousands)</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0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2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7"/>
              </w:rPr>
              <w:t>September 30,</w:t>
            </w:r>
          </w:p>
        </w:tc>
        <w:tc>
          <w:tcPr>
            <w:tcW w:w="148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0"/>
                <w:szCs w:val="10"/>
                <w:color w:val="auto"/>
              </w:rPr>
            </w:pPr>
          </w:p>
        </w:tc>
      </w:tr>
      <w:tr>
        <w:trPr>
          <w:trHeight w:val="167"/>
        </w:trPr>
        <w:tc>
          <w:tcPr>
            <w:tcW w:w="406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132</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161</w:t>
            </w:r>
          </w:p>
        </w:tc>
        <w:tc>
          <w:tcPr>
            <w:tcW w:w="60" w:type="dxa"/>
            <w:vAlign w:val="bottom"/>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Consumer</w:t>
            </w: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federal crop insurance.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risk ratings are described as follows.</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70" w:lineRule="exact"/>
        <w:rPr>
          <w:rFonts w:ascii="Arial" w:cs="Arial" w:eastAsia="Arial" w:hAnsi="Arial"/>
          <w:sz w:val="16"/>
          <w:szCs w:val="16"/>
          <w:color w:val="auto"/>
        </w:rPr>
      </w:pPr>
    </w:p>
    <w:p>
      <w:pPr>
        <w:ind w:left="900" w:right="4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6" w:lineRule="exact"/>
        <w:rPr>
          <w:rFonts w:ascii="Arial" w:cs="Arial" w:eastAsia="Arial" w:hAnsi="Arial"/>
          <w:sz w:val="17"/>
          <w:szCs w:val="17"/>
          <w:color w:val="auto"/>
        </w:rPr>
      </w:pPr>
    </w:p>
    <w:p>
      <w:pPr>
        <w:ind w:left="900" w:right="1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Loans may be graded 3 when there is no recent information on which to base a current risk evaluation and the following conditions apply:</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1" w:lineRule="exact"/>
        <w:rPr>
          <w:sz w:val="20"/>
          <w:szCs w:val="20"/>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480" w:right="40" w:hanging="567"/>
        <w:spacing w:after="0" w:line="286" w:lineRule="auto"/>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70" w:lineRule="exact"/>
        <w:rPr>
          <w:rFonts w:ascii="Arial" w:cs="Arial" w:eastAsia="Arial" w:hAnsi="Arial"/>
          <w:sz w:val="17"/>
          <w:szCs w:val="17"/>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92" w:lineRule="exact"/>
        <w:rPr>
          <w:rFonts w:ascii="Arial" w:cs="Arial" w:eastAsia="Arial" w:hAnsi="Arial"/>
          <w:sz w:val="18"/>
          <w:szCs w:val="18"/>
          <w:color w:val="auto"/>
        </w:rPr>
      </w:pPr>
    </w:p>
    <w:p>
      <w:pPr>
        <w:jc w:val="both"/>
        <w:ind w:left="900" w:right="160" w:hanging="446"/>
        <w:spacing w:after="0" w:line="28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w:t>
      </w:r>
    </w:p>
    <w:p>
      <w:pPr>
        <w:ind w:left="900"/>
        <w:spacing w:after="0"/>
        <w:rPr>
          <w:rFonts w:ascii="Arial" w:cs="Arial" w:eastAsia="Arial" w:hAnsi="Arial"/>
          <w:sz w:val="16"/>
          <w:szCs w:val="16"/>
          <w:color w:val="auto"/>
        </w:rPr>
      </w:pPr>
      <w:r>
        <w:rPr>
          <w:rFonts w:ascii="Arial" w:cs="Arial" w:eastAsia="Arial" w:hAnsi="Arial"/>
          <w:sz w:val="18"/>
          <w:szCs w:val="18"/>
          <w:color w:val="auto"/>
        </w:rPr>
        <w:t>(2) weaknesses are considered “potential”, versus “defined”, impairments to the primary source of loan repayment and collateral.</w:t>
      </w:r>
    </w:p>
    <w:p>
      <w:pPr>
        <w:spacing w:after="0" w:line="116"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480" w:right="560" w:hanging="567"/>
        <w:spacing w:after="0" w:line="342" w:lineRule="auto"/>
        <w:tabs>
          <w:tab w:leader="none" w:pos="1480" w:val="left"/>
        </w:tabs>
        <w:numPr>
          <w:ilvl w:val="1"/>
          <w:numId w:val="9"/>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left="1480" w:right="300" w:hanging="567"/>
        <w:spacing w:after="0" w:line="277"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however, continues to make interest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480" w:right="500" w:hanging="567"/>
        <w:spacing w:after="0" w:line="277"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primary source of repayment is gone, and there is considerable doubt as to the quality of the secondary source of repayment.</w:t>
      </w:r>
    </w:p>
    <w:p>
      <w:pPr>
        <w:spacing w:after="0" w:line="142" w:lineRule="exact"/>
        <w:rPr>
          <w:rFonts w:ascii="Arial" w:cs="Arial" w:eastAsia="Arial" w:hAnsi="Arial"/>
          <w:sz w:val="17"/>
          <w:szCs w:val="17"/>
          <w:color w:val="auto"/>
        </w:rPr>
      </w:pPr>
    </w:p>
    <w:p>
      <w:pPr>
        <w:ind w:left="1480" w:right="260" w:hanging="567"/>
        <w:spacing w:after="0" w:line="34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risk category of loans by portfolio class, net of deferred fees and costs, based on the most recent analysis performed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8"/>
              </w:rPr>
              <w:t>Industrial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September 30, 2017</w:t>
            </w:r>
          </w:p>
        </w:tc>
        <w:tc>
          <w:tcPr>
            <w:tcW w:w="2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1-2</w:t>
            </w:r>
          </w:p>
        </w:tc>
        <w:tc>
          <w:tcPr>
            <w:tcW w:w="280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3,973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5,316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10,166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14,762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43,491</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49,712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349,120</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96,923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6,215</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8</w:t>
            </w:r>
          </w:p>
        </w:tc>
        <w:tc>
          <w:tcPr>
            <w:tcW w:w="2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63,571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87,239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$ 393,913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124,165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6,555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Industrial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9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9"/>
              </w:rPr>
              <w:t>Development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8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Bonds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2016</w:t>
            </w:r>
          </w:p>
        </w:tc>
        <w:tc>
          <w:tcPr>
            <w:tcW w:w="2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1-2</w:t>
            </w:r>
          </w:p>
        </w:tc>
        <w:tc>
          <w:tcPr>
            <w:tcW w:w="280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7,334</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10,060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16,660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27,858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4</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39,808</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44,560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333,523</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w w:val="97"/>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6</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6,508</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8</w:t>
            </w:r>
          </w:p>
        </w:tc>
        <w:tc>
          <w:tcPr>
            <w:tcW w:w="2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62,336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84,692</w:t>
            </w:r>
          </w:p>
        </w:tc>
        <w:tc>
          <w:tcPr>
            <w:tcW w:w="12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$ 376,887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109,361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5,732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40" w:type="dxa"/>
            <w:vAlign w:val="bottom"/>
            <w:vMerge w:val="restart"/>
          </w:tcPr>
          <w:p>
            <w:pPr>
              <w:jc w:val="right"/>
              <w:ind w:right="29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2017 and December 31, 2016.</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7"/>
          </w:tcPr>
          <w:p>
            <w:pPr>
              <w:jc w:val="right"/>
              <w:ind w:right="7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9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19"/>
              <w:spacing w:after="0" w:line="123" w:lineRule="exact"/>
              <w:rPr>
                <w:sz w:val="20"/>
                <w:szCs w:val="20"/>
                <w:color w:val="auto"/>
              </w:rPr>
            </w:pPr>
            <w:r>
              <w:rPr>
                <w:rFonts w:ascii="Arial" w:cs="Arial" w:eastAsia="Arial" w:hAnsi="Arial"/>
                <w:sz w:val="14"/>
                <w:szCs w:val="14"/>
                <w:color w:val="auto"/>
                <w:w w:val="89"/>
              </w:rPr>
              <w:t>Consumer</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160"/>
              <w:spacing w:after="0" w:line="123" w:lineRule="exact"/>
              <w:rPr>
                <w:sz w:val="20"/>
                <w:szCs w:val="20"/>
                <w:color w:val="auto"/>
              </w:rPr>
            </w:pPr>
            <w:r>
              <w:rPr>
                <w:rFonts w:ascii="Arial" w:cs="Arial" w:eastAsia="Arial" w:hAnsi="Arial"/>
                <w:sz w:val="14"/>
                <w:szCs w:val="14"/>
                <w:color w:val="auto"/>
                <w:w w:val="89"/>
              </w:rPr>
              <w:t>Consumer</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9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9"/>
              <w:spacing w:after="0"/>
              <w:rPr>
                <w:sz w:val="20"/>
                <w:szCs w:val="20"/>
                <w:color w:val="auto"/>
              </w:rPr>
            </w:pPr>
            <w:r>
              <w:rPr>
                <w:rFonts w:ascii="Arial" w:cs="Arial" w:eastAsia="Arial" w:hAnsi="Arial"/>
                <w:sz w:val="14"/>
                <w:szCs w:val="14"/>
                <w:color w:val="auto"/>
                <w:w w:val="91"/>
              </w:rPr>
              <w:t>Real Estate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Real Estate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9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89"/>
              </w:rPr>
              <w:t>September 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Borders>
              <w:top w:val="single" w:sz="8" w:color="auto"/>
            </w:tcBorders>
            <w:gridSpan w:val="3"/>
          </w:tcPr>
          <w:p>
            <w:pPr>
              <w:jc w:val="center"/>
              <w:ind w:right="60"/>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920" w:type="dxa"/>
            <w:vAlign w:val="bottom"/>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color w:val="auto"/>
                <w:w w:val="96"/>
              </w:rPr>
              <w:t>2017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6"/>
              </w:rPr>
              <w:t>2016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Pass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85,322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6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160" w:type="dxa"/>
            <w:vAlign w:val="bottom"/>
          </w:tcPr>
          <w:p>
            <w:pPr>
              <w:ind w:left="7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85,873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380"/>
              <w:spacing w:after="0" w:line="142" w:lineRule="exact"/>
              <w:rPr>
                <w:sz w:val="20"/>
                <w:szCs w:val="20"/>
                <w:color w:val="auto"/>
              </w:rPr>
            </w:pPr>
            <w:r>
              <w:rPr>
                <w:rFonts w:ascii="Arial" w:cs="Arial" w:eastAsia="Arial" w:hAnsi="Arial"/>
                <w:sz w:val="14"/>
                <w:szCs w:val="14"/>
                <w:color w:val="auto"/>
                <w:w w:val="92"/>
              </w:rPr>
              <w:t>Consumer - Credit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w w:val="92"/>
              </w:rPr>
              <w:t>Consumer - Other</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9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September 30,</w:t>
            </w:r>
          </w:p>
        </w:tc>
        <w:tc>
          <w:tcPr>
            <w:tcW w:w="800" w:type="dxa"/>
            <w:vAlign w:val="bottom"/>
            <w:gridSpan w:val="4"/>
          </w:tcPr>
          <w:p>
            <w:pPr>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5"/>
          </w:tcPr>
          <w:p>
            <w:pPr>
              <w:jc w:val="right"/>
              <w:ind w:right="540"/>
              <w:spacing w:after="0" w:line="123" w:lineRule="exact"/>
              <w:rPr>
                <w:sz w:val="20"/>
                <w:szCs w:val="20"/>
                <w:color w:val="auto"/>
              </w:rPr>
            </w:pPr>
            <w:r>
              <w:rPr>
                <w:rFonts w:ascii="Arial" w:cs="Arial" w:eastAsia="Arial" w:hAnsi="Arial"/>
                <w:sz w:val="14"/>
                <w:szCs w:val="14"/>
                <w:color w:val="auto"/>
                <w:w w:val="87"/>
              </w:rPr>
              <w:t>September 30,</w:t>
            </w:r>
          </w:p>
        </w:tc>
        <w:tc>
          <w:tcPr>
            <w:tcW w:w="4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10"/>
                <w:szCs w:val="10"/>
                <w:color w:val="auto"/>
              </w:rPr>
            </w:pPr>
          </w:p>
        </w:tc>
      </w:tr>
      <w:tr>
        <w:trPr>
          <w:trHeight w:val="167"/>
        </w:trPr>
        <w:tc>
          <w:tcPr>
            <w:tcW w:w="92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2017</w:t>
            </w: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color w:val="auto"/>
                <w:w w:val="89"/>
              </w:rPr>
              <w:t>2016</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32,013</w:t>
            </w:r>
          </w:p>
        </w:tc>
        <w:tc>
          <w:tcPr>
            <w:tcW w:w="5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29,120</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79"/>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399"/>
              <w:spacing w:after="0"/>
              <w:rPr>
                <w:sz w:val="20"/>
                <w:szCs w:val="20"/>
                <w:color w:val="auto"/>
              </w:rPr>
            </w:pPr>
            <w:r>
              <w:rPr>
                <w:rFonts w:ascii="Arial" w:cs="Arial" w:eastAsia="Arial" w:hAnsi="Arial"/>
                <w:sz w:val="18"/>
                <w:szCs w:val="18"/>
                <w:color w:val="auto"/>
              </w:rPr>
              <w:t>4,061</w:t>
            </w:r>
          </w:p>
        </w:tc>
        <w:tc>
          <w:tcPr>
            <w:tcW w:w="3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32,041</w:t>
            </w: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29,152</w:t>
            </w:r>
          </w:p>
        </w:tc>
      </w:tr>
      <w:tr>
        <w:trPr>
          <w:trHeight w:val="20"/>
        </w:trPr>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impaired loans as of September 30, 2017, December 31, 2016 and September 30, 2016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6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September 30, 2017</w:t>
            </w:r>
          </w:p>
        </w:tc>
        <w:tc>
          <w:tcPr>
            <w:tcW w:w="420" w:type="dxa"/>
            <w:vAlign w:val="bottom"/>
          </w:tcPr>
          <w:p>
            <w:pPr>
              <w:spacing w:after="0"/>
              <w:rPr>
                <w:sz w:val="12"/>
                <w:szCs w:val="12"/>
                <w:color w:val="auto"/>
              </w:rPr>
            </w:pPr>
          </w:p>
        </w:tc>
        <w:tc>
          <w:tcPr>
            <w:tcW w:w="198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2016</w:t>
            </w: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w w:val="89"/>
              </w:rPr>
              <w:t>September 30, 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9"/>
              </w:rPr>
              <w:t>515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685</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711</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1,384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loans past-due ninety days or more and still</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accruing</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Quarter ended average investment in impaired</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1,684</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Year to date average investment in impaired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loans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1,793</w:t>
            </w:r>
          </w:p>
        </w:tc>
        <w:tc>
          <w:tcPr>
            <w:tcW w:w="420" w:type="dxa"/>
            <w:vAlign w:val="bottom"/>
          </w:tcPr>
          <w:p>
            <w:pPr>
              <w:spacing w:after="0"/>
              <w:rPr>
                <w:sz w:val="20"/>
                <w:szCs w:val="20"/>
                <w:color w:val="auto"/>
              </w:rPr>
            </w:pP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840"/>
              <w:spacing w:after="0"/>
              <w:rPr>
                <w:sz w:val="20"/>
                <w:szCs w:val="20"/>
                <w:color w:val="auto"/>
              </w:rPr>
            </w:pPr>
            <w:r>
              <w:rPr>
                <w:rFonts w:ascii="Arial" w:cs="Arial" w:eastAsia="Arial" w:hAnsi="Arial"/>
                <w:sz w:val="18"/>
                <w:szCs w:val="18"/>
                <w:color w:val="auto"/>
              </w:rPr>
              <w:t>1,802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Bank had approximately $540 thousand of its impaired loans classified as troubled debt restructured (TDR) as of September 30, 2017, $557 thousand as of December 31, 2016 and $562 thousand as of September 30, 2016. During the year to date 2017, there were no new loans considered TDR.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three and nine months ended September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Pre-</w:t>
            </w:r>
          </w:p>
        </w:tc>
        <w:tc>
          <w:tcPr>
            <w:tcW w:w="8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Post-</w:t>
            </w: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color w:val="auto"/>
                <w:w w:val="90"/>
              </w:rPr>
              <w:t>Pre-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Post-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8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Number of</w:t>
            </w: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rPr>
              <w:t>Modification</w:t>
            </w: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9"/>
              </w:rPr>
              <w:t>Modification</w:t>
            </w:r>
          </w:p>
        </w:tc>
        <w:tc>
          <w:tcPr>
            <w:tcW w:w="2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Nine Months</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Modification</w:t>
            </w:r>
          </w:p>
        </w:tc>
        <w:tc>
          <w:tcPr>
            <w:tcW w:w="38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Modification</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September 30, 2017</w:t>
            </w:r>
          </w:p>
        </w:tc>
        <w:tc>
          <w:tcPr>
            <w:tcW w:w="8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Contracts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2"/>
              </w:rPr>
              <w:t>Outstanding</w:t>
            </w:r>
          </w:p>
        </w:tc>
        <w:tc>
          <w:tcPr>
            <w:tcW w:w="11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Outstanding</w:t>
            </w:r>
          </w:p>
        </w:tc>
        <w:tc>
          <w:tcPr>
            <w:tcW w:w="2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September 30, 2017</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Contracts</w:t>
            </w:r>
          </w:p>
        </w:tc>
        <w:tc>
          <w:tcPr>
            <w:tcW w:w="38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Outstanding</w:t>
            </w:r>
          </w:p>
        </w:tc>
        <w:tc>
          <w:tcPr>
            <w:tcW w:w="380" w:type="dxa"/>
            <w:vAlign w:val="bottom"/>
          </w:tcPr>
          <w:p>
            <w:pPr>
              <w:spacing w:after="0"/>
              <w:rPr>
                <w:sz w:val="12"/>
                <w:szCs w:val="12"/>
                <w:color w:val="auto"/>
              </w:rPr>
            </w:pP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Outstanding</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Modified in the</w:t>
            </w: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2"/>
              </w:rPr>
              <w:t>Recorded</w:t>
            </w:r>
          </w:p>
        </w:tc>
        <w:tc>
          <w:tcPr>
            <w:tcW w:w="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8"/>
              </w:rPr>
              <w:t>Recorded</w:t>
            </w:r>
          </w:p>
        </w:tc>
        <w:tc>
          <w:tcPr>
            <w:tcW w:w="21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(in thousands)</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Modified in the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color w:val="auto"/>
                <w:w w:val="92"/>
              </w:rPr>
              <w:t>Recorded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Recorded</w:t>
            </w: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w w:val="92"/>
              </w:rPr>
              <w:t>Troubled Debt Restructurings</w:t>
            </w:r>
          </w:p>
        </w:tc>
        <w:tc>
          <w:tcPr>
            <w:tcW w:w="8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Last 3 Months</w:t>
            </w: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Investment</w:t>
            </w: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color w:val="auto"/>
                <w:w w:val="93"/>
              </w:rPr>
              <w:t>Investment</w:t>
            </w:r>
          </w:p>
        </w:tc>
        <w:tc>
          <w:tcPr>
            <w:tcW w:w="21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Troubled Debt Restructurings</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Last 9 Months</w:t>
            </w:r>
          </w:p>
        </w:tc>
        <w:tc>
          <w:tcPr>
            <w:tcW w:w="38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Investment</w:t>
            </w:r>
          </w:p>
        </w:tc>
        <w:tc>
          <w:tcPr>
            <w:tcW w:w="380" w:type="dxa"/>
            <w:vAlign w:val="bottom"/>
          </w:tcPr>
          <w:p>
            <w:pPr>
              <w:spacing w:after="0"/>
              <w:rPr>
                <w:sz w:val="15"/>
                <w:szCs w:val="15"/>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Investment</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c>
          <w:tcPr>
            <w:tcW w:w="8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8"/>
                <w:szCs w:val="18"/>
                <w:color w:val="auto"/>
                <w:w w:val="83"/>
              </w:rPr>
              <w:t>None</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three and nine months ended September 30,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Post-</w:t>
            </w: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Post-</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Three Months</w:t>
            </w:r>
          </w:p>
        </w:tc>
        <w:tc>
          <w:tcPr>
            <w:tcW w:w="10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34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Nine Months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Modification</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September 30, 2016</w:t>
            </w:r>
          </w:p>
        </w:tc>
        <w:tc>
          <w:tcPr>
            <w:tcW w:w="10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Contracts</w:t>
            </w:r>
          </w:p>
        </w:tc>
        <w:tc>
          <w:tcPr>
            <w:tcW w:w="34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2"/>
              </w:rPr>
              <w:t>Outstanding</w:t>
            </w: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2"/>
              </w:rPr>
              <w:t>Outstanding</w:t>
            </w:r>
          </w:p>
        </w:tc>
        <w:tc>
          <w:tcPr>
            <w:tcW w:w="2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September 30, 2016</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Outstanding</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Outstanding</w:t>
            </w:r>
          </w:p>
        </w:tc>
      </w:tr>
      <w:tr>
        <w:trPr>
          <w:trHeight w:val="149"/>
        </w:trPr>
        <w:tc>
          <w:tcPr>
            <w:tcW w:w="172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10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Modified in the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Recorded</w:t>
            </w:r>
          </w:p>
        </w:tc>
        <w:tc>
          <w:tcPr>
            <w:tcW w:w="2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(in thousands)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Modified in the</w:t>
            </w: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8"/>
              </w:rPr>
              <w:t>Recorded</w:t>
            </w: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w w:val="92"/>
              </w:rPr>
              <w:t>Troubled Debt Restructurings</w:t>
            </w:r>
          </w:p>
        </w:tc>
        <w:tc>
          <w:tcPr>
            <w:tcW w:w="10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Last 3 Months</w:t>
            </w:r>
          </w:p>
        </w:tc>
        <w:tc>
          <w:tcPr>
            <w:tcW w:w="340" w:type="dxa"/>
            <w:vAlign w:val="bottom"/>
          </w:tcPr>
          <w:p>
            <w:pPr>
              <w:spacing w:after="0"/>
              <w:rPr>
                <w:sz w:val="15"/>
                <w:szCs w:val="15"/>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Troubled Debt Restructurings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Last 9 Months</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Investment</w:t>
            </w: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Consumer Real Estate</w:t>
            </w:r>
          </w:p>
        </w:tc>
        <w:tc>
          <w:tcPr>
            <w:tcW w:w="10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Consumer Real Estate</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 period ended September 30, 2017 and 2016, there were no TDRs that subsequently defaulted after modification.</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5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September 30, 2017 and September 30,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QTD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Three Months Ended September 30, 2017</w:t>
            </w:r>
          </w:p>
        </w:tc>
        <w:tc>
          <w:tcPr>
            <w:tcW w:w="16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926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1,011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161</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161</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489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113</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113</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114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00"/>
              <w:spacing w:after="0" w:line="123" w:lineRule="exact"/>
              <w:rPr>
                <w:sz w:val="20"/>
                <w:szCs w:val="20"/>
                <w:color w:val="auto"/>
              </w:rPr>
            </w:pPr>
            <w:r>
              <w:rPr>
                <w:rFonts w:ascii="Arial" w:cs="Arial" w:eastAsia="Arial" w:hAnsi="Arial"/>
                <w:sz w:val="14"/>
                <w:szCs w:val="14"/>
                <w:color w:val="auto"/>
              </w:rPr>
              <w:t>QTD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QTD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QTD</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Three Months Ended September 30, 2016</w:t>
            </w:r>
          </w:p>
        </w:tc>
        <w:tc>
          <w:tcPr>
            <w:tcW w:w="1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383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383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712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712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428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132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444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375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118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118</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22</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564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79"/>
              </w:rPr>
              <w:t>6</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nine months ended September 30, 2017 and September 30,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YTD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49" w:lineRule="exact"/>
              <w:rPr>
                <w:sz w:val="20"/>
                <w:szCs w:val="20"/>
                <w:color w:val="auto"/>
              </w:rPr>
            </w:pPr>
            <w:r>
              <w:rPr>
                <w:rFonts w:ascii="Arial" w:cs="Arial" w:eastAsia="Arial" w:hAnsi="Arial"/>
                <w:sz w:val="14"/>
                <w:szCs w:val="14"/>
                <w:color w:val="auto"/>
              </w:rPr>
              <w:t>YTD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Interest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Recorded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color w:val="auto"/>
              </w:rPr>
              <w:t>Income</w:t>
            </w:r>
          </w:p>
        </w:tc>
        <w:tc>
          <w:tcPr>
            <w:tcW w:w="3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Nine Months Ended September 30, 2017</w:t>
            </w:r>
          </w:p>
        </w:tc>
        <w:tc>
          <w:tcPr>
            <w:tcW w:w="16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00" w:type="dxa"/>
            <w:vAlign w:val="bottom"/>
            <w:gridSpan w:val="3"/>
          </w:tcPr>
          <w:p>
            <w:pPr>
              <w:spacing w:after="0"/>
              <w:rPr>
                <w:sz w:val="20"/>
                <w:szCs w:val="20"/>
                <w:color w:val="auto"/>
              </w:rPr>
            </w:pPr>
            <w:r>
              <w:rPr>
                <w:rFonts w:ascii="Arial" w:cs="Arial" w:eastAsia="Arial" w:hAnsi="Arial"/>
                <w:sz w:val="14"/>
                <w:szCs w:val="14"/>
                <w:color w:val="auto"/>
              </w:rPr>
              <w:t>Allowance</w:t>
            </w:r>
          </w:p>
        </w:tc>
        <w:tc>
          <w:tcPr>
            <w:tcW w:w="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w w:val="89"/>
              </w:rPr>
              <w:t>Recognized</w:t>
            </w:r>
          </w:p>
        </w:tc>
        <w:tc>
          <w:tcPr>
            <w:tcW w:w="3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959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9"/>
              </w:rPr>
              <w:t>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1,012</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1,048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400"/>
              <w:spacing w:after="0"/>
              <w:rPr>
                <w:sz w:val="20"/>
                <w:szCs w:val="20"/>
                <w:color w:val="auto"/>
              </w:rPr>
            </w:pPr>
            <w:r>
              <w:rPr>
                <w:rFonts w:ascii="Arial" w:cs="Arial" w:eastAsia="Arial" w:hAnsi="Arial"/>
                <w:sz w:val="18"/>
                <w:szCs w:val="18"/>
                <w:color w:val="auto"/>
                <w:w w:val="79"/>
              </w:rPr>
              <w:t>25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161</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161</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493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17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113</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113</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20" w:type="dxa"/>
            <w:vAlign w:val="bottom"/>
            <w:gridSpan w:val="2"/>
          </w:tcPr>
          <w:p>
            <w:pPr>
              <w:ind w:left="150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13"/>
              <w:spacing w:after="0" w:line="123" w:lineRule="exact"/>
              <w:rPr>
                <w:sz w:val="20"/>
                <w:szCs w:val="20"/>
                <w:color w:val="auto"/>
              </w:rPr>
            </w:pPr>
            <w:r>
              <w:rPr>
                <w:rFonts w:ascii="Arial" w:cs="Arial" w:eastAsia="Arial" w:hAnsi="Arial"/>
                <w:sz w:val="14"/>
                <w:szCs w:val="14"/>
                <w:color w:val="auto"/>
              </w:rPr>
              <w:t>YTD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YTD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YTD</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1"/>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060" w:type="dxa"/>
            <w:vAlign w:val="bottom"/>
            <w:gridSpan w:val="2"/>
          </w:tcPr>
          <w:p>
            <w:pPr>
              <w:spacing w:after="0"/>
              <w:rPr>
                <w:sz w:val="20"/>
                <w:szCs w:val="20"/>
                <w:color w:val="auto"/>
              </w:rPr>
            </w:pPr>
            <w:r>
              <w:rPr>
                <w:rFonts w:ascii="Arial" w:cs="Arial" w:eastAsia="Arial" w:hAnsi="Arial"/>
                <w:sz w:val="14"/>
                <w:szCs w:val="14"/>
                <w:color w:val="auto"/>
              </w:rPr>
              <w:t>Nine Months Ended September 30, 2016</w:t>
            </w:r>
          </w:p>
        </w:tc>
        <w:tc>
          <w:tcPr>
            <w:tcW w:w="1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383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383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78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68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712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712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465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132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444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621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118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118</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22</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592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6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of September 30, 2017, the Company had $25 thousand of foreclosed residential real estate property obtained by physical possession and $59 thousand of consumer mortgage loans secured by residential real estate properties for which foreclosure proceedings are in process according to local jurisdictions. As of September 30, 2016, the Company had $808 thousand of foreclosed residential real estate property obtained by physical possession and $211 thousand of consumer mortgage loans secured by residential real estate properties for which foreclosure proceedings were in process according to local jurisdictions.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color w:val="auto"/>
                <w:w w:val="95"/>
              </w:rPr>
              <w:t>(In Thousands)</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w w:val="97"/>
              </w:rPr>
              <w:t>Nine Months Ended</w:t>
            </w:r>
          </w:p>
        </w:tc>
        <w:tc>
          <w:tcPr>
            <w:tcW w:w="2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Twelve Months Ended</w:t>
            </w:r>
          </w:p>
        </w:tc>
        <w:tc>
          <w:tcPr>
            <w:tcW w:w="12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6"/>
              </w:rPr>
              <w:t>September 30, 2017</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2016</w:t>
            </w: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Loan &amp; Lease Losses</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Balance at beginning of year</w:t>
            </w: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6,784</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Unfunded Loan Commitments &amp; Letters</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Credit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three months ended September 30, 2017 and September 30, 2016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Unfunded</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Loan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Consumer</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&amp; Letters of</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4"/>
                <w:szCs w:val="14"/>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color w:val="auto"/>
                <w:w w:val="93"/>
              </w:rPr>
              <w:t>Real Estate</w:t>
            </w:r>
          </w:p>
        </w:tc>
        <w:tc>
          <w:tcPr>
            <w:tcW w:w="10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9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Credit</w:t>
            </w:r>
          </w:p>
        </w:tc>
        <w:tc>
          <w:tcPr>
            <w:tcW w:w="82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27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Three Months Ended September 30,</w:t>
            </w:r>
          </w:p>
        </w:tc>
        <w:tc>
          <w:tcPr>
            <w:tcW w:w="1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2017</w:t>
            </w: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Arial" w:cs="Arial" w:eastAsia="Arial" w:hAnsi="Arial"/>
                <w:sz w:val="14"/>
                <w:szCs w:val="14"/>
                <w:b w:val="1"/>
                <w:bCs w:val="1"/>
                <w:color w:val="auto"/>
              </w:rPr>
              <w:t>ALLOWANCE FOR CREDIT</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16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253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596</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3,076</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219</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5"/>
              </w:rPr>
              <w:t>924</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149"/>
        </w:trPr>
        <w:tc>
          <w:tcPr>
            <w:tcW w:w="2720" w:type="dxa"/>
            <w:vAlign w:val="bottom"/>
          </w:tcPr>
          <w:p>
            <w:pPr>
              <w:ind w:left="300"/>
              <w:spacing w:after="0" w:line="149" w:lineRule="exact"/>
              <w:rPr>
                <w:sz w:val="20"/>
                <w:szCs w:val="20"/>
                <w:color w:val="auto"/>
              </w:rPr>
            </w:pPr>
            <w:r>
              <w:rPr>
                <w:rFonts w:ascii="Arial" w:cs="Arial" w:eastAsia="Arial" w:hAnsi="Arial"/>
                <w:sz w:val="14"/>
                <w:szCs w:val="14"/>
                <w:color w:val="auto"/>
              </w:rPr>
              <w:t>Charge Offs</w:t>
            </w:r>
          </w:p>
        </w:tc>
        <w:tc>
          <w:tcPr>
            <w:tcW w:w="180" w:type="dxa"/>
            <w:vAlign w:val="bottom"/>
          </w:tcPr>
          <w:p>
            <w:pPr>
              <w:spacing w:after="0"/>
              <w:rPr>
                <w:sz w:val="12"/>
                <w:szCs w:val="12"/>
                <w:color w:val="auto"/>
              </w:rPr>
            </w:pPr>
          </w:p>
        </w:tc>
        <w:tc>
          <w:tcPr>
            <w:tcW w:w="76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w:t>
            </w:r>
          </w:p>
        </w:tc>
        <w:tc>
          <w:tcPr>
            <w:tcW w:w="10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Recoveries</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720" w:type="dxa"/>
            <w:vAlign w:val="bottom"/>
          </w:tcPr>
          <w:p>
            <w:pPr>
              <w:ind w:left="300"/>
              <w:spacing w:after="0" w:line="149" w:lineRule="exact"/>
              <w:rPr>
                <w:sz w:val="20"/>
                <w:szCs w:val="20"/>
                <w:color w:val="auto"/>
              </w:rPr>
            </w:pPr>
            <w:r>
              <w:rPr>
                <w:rFonts w:ascii="Arial" w:cs="Arial" w:eastAsia="Arial" w:hAnsi="Arial"/>
                <w:sz w:val="14"/>
                <w:szCs w:val="14"/>
                <w:color w:val="auto"/>
              </w:rPr>
              <w:t>Provision (Credit)</w:t>
            </w:r>
          </w:p>
        </w:tc>
        <w:tc>
          <w:tcPr>
            <w:tcW w:w="1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Other Non-interest expense related to</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unfunded</w:t>
            </w:r>
          </w:p>
        </w:tc>
        <w:tc>
          <w:tcPr>
            <w:tcW w:w="1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272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248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613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3,117</w:t>
            </w:r>
          </w:p>
        </w:tc>
        <w:tc>
          <w:tcPr>
            <w:tcW w:w="3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60"/>
              <w:spacing w:after="0" w:line="155" w:lineRule="exact"/>
              <w:rPr>
                <w:sz w:val="20"/>
                <w:szCs w:val="20"/>
                <w:color w:val="auto"/>
              </w:rPr>
            </w:pPr>
            <w:r>
              <w:rPr>
                <w:rFonts w:ascii="Arial" w:cs="Arial" w:eastAsia="Arial" w:hAnsi="Arial"/>
                <w:sz w:val="14"/>
                <w:szCs w:val="14"/>
                <w:color w:val="auto"/>
                <w:w w:val="85"/>
              </w:rPr>
              <w:t>228</w:t>
            </w:r>
          </w:p>
        </w:tc>
        <w:tc>
          <w:tcPr>
            <w:tcW w:w="2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color w:val="auto"/>
                <w:w w:val="85"/>
              </w:rPr>
              <w:t>801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individually evaluated for</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Ending balance: collectively evaluated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251</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248</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613</w:t>
            </w:r>
          </w:p>
        </w:tc>
        <w:tc>
          <w:tcPr>
            <w:tcW w:w="14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3,050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1,361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228</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ind w:left="220"/>
              <w:spacing w:after="0"/>
              <w:rPr>
                <w:sz w:val="20"/>
                <w:szCs w:val="20"/>
                <w:color w:val="auto"/>
              </w:rPr>
            </w:pPr>
            <w:r>
              <w:rPr>
                <w:rFonts w:ascii="Arial" w:cs="Arial" w:eastAsia="Arial" w:hAnsi="Arial"/>
                <w:sz w:val="14"/>
                <w:szCs w:val="14"/>
                <w:color w:val="auto"/>
                <w:w w:val="85"/>
              </w:rPr>
              <w:t>801</w:t>
            </w: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6,975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loans acquired with</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FINANCING RECEIVABLES: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83,875</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63,571</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87,239</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393,913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130,720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35,887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795,205</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Ending balance: individually evaluated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1,012</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205</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161</w:t>
            </w:r>
          </w:p>
        </w:tc>
        <w:tc>
          <w:tcPr>
            <w:tcW w:w="14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488</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collectively evaluated for</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82,863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63,366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87,078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393,425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130,607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35,887</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0"/>
              </w:rPr>
              <w:t>793,226</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color w:val="auto"/>
              </w:rPr>
              <w:t>Ending balance: loans acquired with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c>
          <w:tcPr>
            <w:tcW w:w="2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Unfunded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Loan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Commitment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9"/>
              </w:rPr>
              <w:t>Consumer</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Commercial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&amp; Letters of</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9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Credit</w:t>
            </w:r>
          </w:p>
        </w:tc>
        <w:tc>
          <w:tcPr>
            <w:tcW w:w="82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26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Three Months Ended September 30,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Arial" w:cs="Arial" w:eastAsia="Arial" w:hAnsi="Arial"/>
                <w:sz w:val="14"/>
                <w:szCs w:val="14"/>
                <w:b w:val="1"/>
                <w:bCs w:val="1"/>
                <w:color w:val="auto"/>
              </w:rPr>
              <w:t>ALLOWANCE FOR CREDIT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6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5"/>
              </w:rPr>
              <w:t>229</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591</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2,717</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1,215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219</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963</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6,712</w:t>
            </w:r>
          </w:p>
        </w:tc>
        <w:tc>
          <w:tcPr>
            <w:tcW w:w="0" w:type="dxa"/>
            <w:vAlign w:val="bottom"/>
          </w:tcPr>
          <w:p>
            <w:pPr>
              <w:spacing w:after="0"/>
              <w:rPr>
                <w:sz w:val="1"/>
                <w:szCs w:val="1"/>
                <w:color w:val="auto"/>
              </w:rPr>
            </w:pPr>
          </w:p>
        </w:tc>
      </w:tr>
      <w:tr>
        <w:trPr>
          <w:trHeight w:val="149"/>
        </w:trPr>
        <w:tc>
          <w:tcPr>
            <w:tcW w:w="2680" w:type="dxa"/>
            <w:vAlign w:val="bottom"/>
          </w:tcPr>
          <w:p>
            <w:pPr>
              <w:ind w:left="300"/>
              <w:spacing w:after="0" w:line="149" w:lineRule="exact"/>
              <w:rPr>
                <w:sz w:val="20"/>
                <w:szCs w:val="20"/>
                <w:color w:val="auto"/>
              </w:rPr>
            </w:pPr>
            <w:r>
              <w:rPr>
                <w:rFonts w:ascii="Arial" w:cs="Arial" w:eastAsia="Arial" w:hAnsi="Arial"/>
                <w:sz w:val="14"/>
                <w:szCs w:val="14"/>
                <w:color w:val="auto"/>
              </w:rPr>
              <w:t>Charge Offs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460"/>
              <w:spacing w:after="0"/>
              <w:rPr>
                <w:sz w:val="20"/>
                <w:szCs w:val="20"/>
                <w:color w:val="auto"/>
              </w:rPr>
            </w:pPr>
            <w:r>
              <w:rPr>
                <w:rFonts w:ascii="Arial" w:cs="Arial" w:eastAsia="Arial" w:hAnsi="Arial"/>
                <w:sz w:val="10"/>
                <w:szCs w:val="10"/>
                <w:color w:val="auto"/>
                <w:w w:val="71"/>
              </w:rPr>
              <w:t>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680" w:type="dxa"/>
            <w:vAlign w:val="bottom"/>
          </w:tcPr>
          <w:p>
            <w:pPr>
              <w:ind w:left="300"/>
              <w:spacing w:after="0" w:line="149" w:lineRule="exact"/>
              <w:rPr>
                <w:sz w:val="20"/>
                <w:szCs w:val="20"/>
                <w:color w:val="auto"/>
              </w:rPr>
            </w:pPr>
            <w:r>
              <w:rPr>
                <w:rFonts w:ascii="Arial" w:cs="Arial" w:eastAsia="Arial" w:hAnsi="Arial"/>
                <w:sz w:val="14"/>
                <w:szCs w:val="14"/>
                <w:color w:val="auto"/>
              </w:rPr>
              <w:t>Provision (Credit)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Other Non-interest expense related</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 unfunded</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268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234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w w:val="76"/>
              </w:rPr>
              <w:t>580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1,195</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60"/>
              <w:spacing w:after="0" w:line="155" w:lineRule="exact"/>
              <w:rPr>
                <w:sz w:val="20"/>
                <w:szCs w:val="20"/>
                <w:color w:val="auto"/>
              </w:rPr>
            </w:pPr>
            <w:r>
              <w:rPr>
                <w:rFonts w:ascii="Arial" w:cs="Arial" w:eastAsia="Arial" w:hAnsi="Arial"/>
                <w:sz w:val="14"/>
                <w:szCs w:val="14"/>
                <w:color w:val="auto"/>
                <w:w w:val="85"/>
              </w:rPr>
              <w:t>227</w:t>
            </w:r>
          </w:p>
        </w:tc>
        <w:tc>
          <w:tcPr>
            <w:tcW w:w="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952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individually evaluated</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 impairment</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collectively evaluated for</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251</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234</w:t>
            </w:r>
          </w:p>
        </w:tc>
        <w:tc>
          <w:tcPr>
            <w:tcW w:w="14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w w:val="76"/>
              </w:rPr>
              <w:t>580</w:t>
            </w:r>
          </w:p>
        </w:tc>
        <w:tc>
          <w:tcPr>
            <w:tcW w:w="18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2,937</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1,173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227</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w w:val="85"/>
              </w:rPr>
              <w:t>952</w:t>
            </w: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6,714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loans acquired with</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FINANCING RECEIVABLES: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85,977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59,458</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79,332</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369,721</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111,953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30,616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737,057</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individually evaluated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for impairment</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712</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132</w:t>
            </w:r>
          </w:p>
        </w:tc>
        <w:tc>
          <w:tcPr>
            <w:tcW w:w="14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118</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collectively evaluated for</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85,265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59,326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79,332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369,277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111,835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30,616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0"/>
              </w:rPr>
              <w:t>735,651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loans acquired with</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nine months ended September 30, 2017 and September 30, 2016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Unfunded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Loan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Commitment</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89"/>
              </w:rPr>
              <w:t>Consumer</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7"/>
              </w:rPr>
              <w:t>&amp; Letters of</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90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0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9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Credit</w:t>
            </w:r>
          </w:p>
        </w:tc>
        <w:tc>
          <w:tcPr>
            <w:tcW w:w="700" w:type="dxa"/>
            <w:vAlign w:val="bottom"/>
            <w:gridSpan w:val="2"/>
          </w:tcPr>
          <w:p>
            <w:pPr>
              <w:spacing w:after="0"/>
              <w:rPr>
                <w:sz w:val="20"/>
                <w:szCs w:val="20"/>
                <w:color w:val="auto"/>
              </w:rPr>
            </w:pPr>
            <w:r>
              <w:rPr>
                <w:rFonts w:ascii="Arial" w:cs="Arial" w:eastAsia="Arial" w:hAnsi="Arial"/>
                <w:sz w:val="14"/>
                <w:szCs w:val="14"/>
                <w:color w:val="auto"/>
                <w:w w:val="91"/>
              </w:rPr>
              <w:t>Unallocated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9"/>
        </w:trPr>
        <w:tc>
          <w:tcPr>
            <w:tcW w:w="2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Nine Months Ended September 30, 2017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Arial" w:cs="Arial" w:eastAsia="Arial" w:hAnsi="Arial"/>
                <w:sz w:val="14"/>
                <w:szCs w:val="14"/>
                <w:b w:val="1"/>
                <w:bCs w:val="1"/>
                <w:color w:val="auto"/>
              </w:rPr>
              <w:t>ALLOWANCE FOR CREDIT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16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241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616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3,250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1,318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5"/>
              </w:rPr>
              <w:t>394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217</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85"/>
              </w:rPr>
              <w:t>649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149"/>
        </w:trPr>
        <w:tc>
          <w:tcPr>
            <w:tcW w:w="2740" w:type="dxa"/>
            <w:vAlign w:val="bottom"/>
          </w:tcPr>
          <w:p>
            <w:pPr>
              <w:ind w:left="300"/>
              <w:spacing w:after="0" w:line="149" w:lineRule="exact"/>
              <w:rPr>
                <w:sz w:val="20"/>
                <w:szCs w:val="20"/>
                <w:color w:val="auto"/>
              </w:rPr>
            </w:pPr>
            <w:r>
              <w:rPr>
                <w:rFonts w:ascii="Arial" w:cs="Arial" w:eastAsia="Arial" w:hAnsi="Arial"/>
                <w:sz w:val="14"/>
                <w:szCs w:val="14"/>
                <w:color w:val="auto"/>
              </w:rPr>
              <w:t>Charge Offs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8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(189)</w:t>
            </w:r>
          </w:p>
        </w:tc>
        <w:tc>
          <w:tcPr>
            <w:tcW w:w="8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740" w:type="dxa"/>
            <w:vAlign w:val="bottom"/>
          </w:tcPr>
          <w:p>
            <w:pPr>
              <w:ind w:left="300"/>
              <w:spacing w:after="0" w:line="149" w:lineRule="exact"/>
              <w:rPr>
                <w:sz w:val="20"/>
                <w:szCs w:val="20"/>
                <w:color w:val="auto"/>
              </w:rPr>
            </w:pPr>
            <w:r>
              <w:rPr>
                <w:rFonts w:ascii="Arial" w:cs="Arial" w:eastAsia="Arial" w:hAnsi="Arial"/>
                <w:sz w:val="14"/>
                <w:szCs w:val="14"/>
                <w:color w:val="auto"/>
              </w:rPr>
              <w:t>Provision (Credit)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w:t>
            </w:r>
          </w:p>
        </w:tc>
        <w:tc>
          <w:tcPr>
            <w:tcW w:w="20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w:t>
            </w:r>
          </w:p>
        </w:tc>
        <w:tc>
          <w:tcPr>
            <w:tcW w:w="2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w w:val="85"/>
              </w:rPr>
              <w:t>155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tcPr>
          <w:p>
            <w:pPr>
              <w:ind w:left="200"/>
              <w:spacing w:after="0" w:line="149" w:lineRule="exact"/>
              <w:rPr>
                <w:sz w:val="20"/>
                <w:szCs w:val="20"/>
                <w:color w:val="auto"/>
              </w:rPr>
            </w:pPr>
            <w:r>
              <w:rPr>
                <w:rFonts w:ascii="Arial" w:cs="Arial" w:eastAsia="Arial" w:hAnsi="Arial"/>
                <w:sz w:val="14"/>
                <w:szCs w:val="14"/>
                <w:color w:val="auto"/>
                <w:w w:val="85"/>
              </w:rPr>
              <w:t>152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Other Non-interest expense related to</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unfunded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11</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274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3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248</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613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3,117</w:t>
            </w:r>
          </w:p>
        </w:tc>
        <w:tc>
          <w:tcPr>
            <w:tcW w:w="3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1,392</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423</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76"/>
              </w:rPr>
              <w:t>228</w:t>
            </w:r>
          </w:p>
        </w:tc>
        <w:tc>
          <w:tcPr>
            <w:tcW w:w="3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5"/>
              </w:rPr>
              <w:t>801</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individually evaluated for</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color w:val="auto"/>
              </w:rPr>
              <w:t>Ending balance: collectively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251</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248</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613</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3,050</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1,361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ind w:left="240"/>
              <w:spacing w:after="0"/>
              <w:rPr>
                <w:sz w:val="20"/>
                <w:szCs w:val="20"/>
                <w:color w:val="auto"/>
              </w:rPr>
            </w:pPr>
            <w:r>
              <w:rPr>
                <w:rFonts w:ascii="Arial" w:cs="Arial" w:eastAsia="Arial" w:hAnsi="Arial"/>
                <w:sz w:val="14"/>
                <w:szCs w:val="14"/>
                <w:color w:val="auto"/>
                <w:w w:val="85"/>
              </w:rPr>
              <w:t>423</w:t>
            </w:r>
          </w:p>
        </w:tc>
        <w:tc>
          <w:tcPr>
            <w:tcW w:w="3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228</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w w:val="85"/>
              </w:rPr>
              <w:t>801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6,975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loans acquired with</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deteriorated credit quality</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rPr>
              <w:t>FINANCING RECEIVABLES: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83,875</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63,571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87,239</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393,913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130,720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35,887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795,205</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color w:val="auto"/>
              </w:rPr>
              <w:t>Ending balance: individually evaluated for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1,012</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205</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161</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488</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collectively evaluated for</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82,863</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63,366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87,078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393,425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130,607</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35,887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0"/>
              </w:rPr>
              <w:t>793,226</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4"/>
                <w:szCs w:val="14"/>
                <w:color w:val="auto"/>
              </w:rPr>
              <w:t>Ending balance: loans acquired with</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740" w:type="dxa"/>
            <w:vAlign w:val="bottom"/>
          </w:tcPr>
          <w:p>
            <w:pPr>
              <w:ind w:left="160"/>
              <w:spacing w:after="0"/>
              <w:rPr>
                <w:sz w:val="20"/>
                <w:szCs w:val="20"/>
                <w:color w:val="auto"/>
              </w:rPr>
            </w:pPr>
            <w:r>
              <w:rPr>
                <w:rFonts w:ascii="Arial" w:cs="Arial" w:eastAsia="Arial" w:hAnsi="Arial"/>
                <w:sz w:val="14"/>
                <w:szCs w:val="14"/>
                <w:color w:val="auto"/>
              </w:rPr>
              <w:t>deteriorated credit quality</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194</w:t>
            </w:r>
          </w:p>
        </w:tc>
        <w:tc>
          <w:tcPr>
            <w:tcW w:w="3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4 LOANS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color w:val="auto"/>
                <w:w w:val="95"/>
              </w:rPr>
              <w:t>Unfunded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Loan</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Commitment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9"/>
              </w:rPr>
              <w:t>Consumer</w:t>
            </w:r>
          </w:p>
        </w:tc>
        <w:tc>
          <w:tcPr>
            <w:tcW w:w="1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99"/>
              </w:rPr>
              <w:t>Commercial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7"/>
              </w:rPr>
              <w:t>&amp; Letters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and Industrial</w:t>
            </w:r>
          </w:p>
        </w:tc>
        <w:tc>
          <w:tcPr>
            <w:tcW w:w="1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8"/>
              <w:spacing w:after="0"/>
              <w:rPr>
                <w:sz w:val="20"/>
                <w:szCs w:val="20"/>
                <w:color w:val="auto"/>
              </w:rPr>
            </w:pPr>
            <w:r>
              <w:rPr>
                <w:rFonts w:ascii="Arial" w:cs="Arial" w:eastAsia="Arial" w:hAnsi="Arial"/>
                <w:sz w:val="14"/>
                <w:szCs w:val="14"/>
                <w:color w:val="auto"/>
                <w:w w:val="96"/>
              </w:rPr>
              <w:t>Credit</w:t>
            </w: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Unallocated</w:t>
            </w: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26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Nine Months Ended September 30,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Arial" w:cs="Arial" w:eastAsia="Arial" w:hAnsi="Arial"/>
                <w:sz w:val="14"/>
                <w:szCs w:val="14"/>
                <w:b w:val="1"/>
                <w:bCs w:val="1"/>
                <w:color w:val="auto"/>
              </w:rPr>
              <w:t>ALLOWANCE FOR CREDIT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6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211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582</w:t>
            </w: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2,516</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1,229</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337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208</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844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49"/>
        </w:trPr>
        <w:tc>
          <w:tcPr>
            <w:tcW w:w="2680" w:type="dxa"/>
            <w:vAlign w:val="bottom"/>
          </w:tcPr>
          <w:p>
            <w:pPr>
              <w:ind w:left="300"/>
              <w:spacing w:after="0" w:line="149" w:lineRule="exact"/>
              <w:rPr>
                <w:sz w:val="20"/>
                <w:szCs w:val="20"/>
                <w:color w:val="auto"/>
              </w:rPr>
            </w:pPr>
            <w:r>
              <w:rPr>
                <w:rFonts w:ascii="Arial" w:cs="Arial" w:eastAsia="Arial" w:hAnsi="Arial"/>
                <w:sz w:val="14"/>
                <w:szCs w:val="14"/>
                <w:color w:val="auto"/>
              </w:rPr>
              <w:t>Charge Offs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300"/>
              <w:spacing w:after="0" w:line="149" w:lineRule="exact"/>
              <w:rPr>
                <w:sz w:val="20"/>
                <w:szCs w:val="20"/>
                <w:color w:val="auto"/>
              </w:rPr>
            </w:pPr>
            <w:r>
              <w:rPr>
                <w:rFonts w:ascii="Arial" w:cs="Arial" w:eastAsia="Arial" w:hAnsi="Arial"/>
                <w:sz w:val="14"/>
                <w:szCs w:val="14"/>
                <w:color w:val="auto"/>
              </w:rPr>
              <w:t>Provision (Credit)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Other Non-interest expense related</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 unfunded</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4"/>
                <w:szCs w:val="14"/>
                <w:color w:val="auto"/>
                <w:w w:val="76"/>
              </w:rPr>
              <w:t>19</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w w:val="85"/>
              </w:rPr>
              <w:t>234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w w:val="76"/>
              </w:rPr>
              <w:t>580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color w:val="auto"/>
                <w:w w:val="76"/>
              </w:rPr>
              <w:t>360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ind w:left="460"/>
              <w:spacing w:after="0" w:line="155" w:lineRule="exact"/>
              <w:rPr>
                <w:sz w:val="20"/>
                <w:szCs w:val="20"/>
                <w:color w:val="auto"/>
              </w:rPr>
            </w:pPr>
            <w:r>
              <w:rPr>
                <w:rFonts w:ascii="Arial" w:cs="Arial" w:eastAsia="Arial" w:hAnsi="Arial"/>
                <w:sz w:val="14"/>
                <w:szCs w:val="14"/>
                <w:color w:val="auto"/>
                <w:w w:val="85"/>
              </w:rPr>
              <w:t>227</w:t>
            </w:r>
          </w:p>
        </w:tc>
        <w:tc>
          <w:tcPr>
            <w:tcW w:w="2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color w:val="auto"/>
                <w:w w:val="76"/>
              </w:rPr>
              <w:t>952</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individually evaluated</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 impairment</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collectively evaluated for</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251</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234</w:t>
            </w:r>
          </w:p>
        </w:tc>
        <w:tc>
          <w:tcPr>
            <w:tcW w:w="14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w w:val="76"/>
              </w:rPr>
              <w:t>580</w:t>
            </w:r>
          </w:p>
        </w:tc>
        <w:tc>
          <w:tcPr>
            <w:tcW w:w="180" w:type="dxa"/>
            <w:vAlign w:val="bottom"/>
          </w:tcPr>
          <w:p>
            <w:pPr>
              <w:spacing w:after="0"/>
              <w:rPr>
                <w:sz w:val="14"/>
                <w:szCs w:val="14"/>
                <w:color w:val="auto"/>
              </w:rPr>
            </w:pP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2,937</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1,173</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360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w w:val="85"/>
              </w:rPr>
              <w:t>227</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220"/>
              <w:spacing w:after="0"/>
              <w:rPr>
                <w:sz w:val="20"/>
                <w:szCs w:val="20"/>
                <w:color w:val="auto"/>
              </w:rPr>
            </w:pPr>
            <w:r>
              <w:rPr>
                <w:rFonts w:ascii="Arial" w:cs="Arial" w:eastAsia="Arial" w:hAnsi="Arial"/>
                <w:sz w:val="14"/>
                <w:szCs w:val="14"/>
                <w:color w:val="auto"/>
              </w:rPr>
              <w:t>952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6,714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loans acquired with</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FINANCING RECEIVABLES: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85,977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59,458</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79,332</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369,721</w:t>
            </w: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111,953</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30,616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737,057</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individually evaluated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for impairment</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712</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w w:val="85"/>
              </w:rPr>
              <w:t>132</w:t>
            </w:r>
          </w:p>
        </w:tc>
        <w:tc>
          <w:tcPr>
            <w:tcW w:w="140" w:type="dxa"/>
            <w:vAlign w:val="bottom"/>
          </w:tcPr>
          <w:p>
            <w:pPr>
              <w:spacing w:after="0"/>
              <w:rPr>
                <w:sz w:val="14"/>
                <w:szCs w:val="14"/>
                <w:color w:val="auto"/>
              </w:rPr>
            </w:pP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118</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Ending balance: collectively evaluated for</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w:t>
            </w:r>
          </w:p>
        </w:tc>
        <w:tc>
          <w:tcPr>
            <w:tcW w:w="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85,265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59,326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79,332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369,277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111,835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30,616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735,651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4"/>
                <w:szCs w:val="14"/>
                <w:color w:val="auto"/>
              </w:rPr>
              <w:t>Ending balance: loans acquired with</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tcPr>
          <w:p>
            <w:pPr>
              <w:ind w:left="160"/>
              <w:spacing w:after="0"/>
              <w:rPr>
                <w:sz w:val="20"/>
                <w:szCs w:val="20"/>
                <w:color w:val="auto"/>
              </w:rPr>
            </w:pPr>
            <w:r>
              <w:rPr>
                <w:rFonts w:ascii="Arial" w:cs="Arial" w:eastAsia="Arial" w:hAnsi="Arial"/>
                <w:sz w:val="14"/>
                <w:szCs w:val="14"/>
                <w:color w:val="auto"/>
              </w:rPr>
              <w:t>deteriorated credit quality</w:t>
            </w:r>
          </w:p>
        </w:tc>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265</w:t>
            </w:r>
          </w:p>
        </w:tc>
        <w:tc>
          <w:tcPr>
            <w:tcW w:w="180" w:type="dxa"/>
            <w:vAlign w:val="bottom"/>
          </w:tcPr>
          <w:p>
            <w:pPr>
              <w:spacing w:after="0"/>
              <w:rPr>
                <w:sz w:val="14"/>
                <w:szCs w:val="14"/>
                <w:color w:val="auto"/>
              </w:rPr>
            </w:pP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5 EARNINGS PER SHARE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5"/>
          </w:tcPr>
          <w:p>
            <w:pPr>
              <w:jc w:val="right"/>
              <w:ind w:right="800"/>
              <w:spacing w:after="0" w:line="142" w:lineRule="exact"/>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right"/>
              <w:ind w:right="452"/>
              <w:spacing w:after="0" w:line="142" w:lineRule="exact"/>
              <w:rPr>
                <w:sz w:val="20"/>
                <w:szCs w:val="20"/>
                <w:color w:val="auto"/>
              </w:rPr>
            </w:pPr>
            <w:r>
              <w:rPr>
                <w:rFonts w:ascii="Arial" w:cs="Arial" w:eastAsia="Arial" w:hAnsi="Arial"/>
                <w:sz w:val="14"/>
                <w:szCs w:val="14"/>
                <w:color w:val="auto"/>
              </w:rPr>
              <w:t>Year to Date Ended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8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September 30,</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September 30,</w:t>
            </w: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September 30,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ind w:left="1680"/>
              <w:spacing w:after="0" w:line="196" w:lineRule="exact"/>
              <w:rPr>
                <w:sz w:val="20"/>
                <w:szCs w:val="20"/>
                <w:color w:val="auto"/>
              </w:rPr>
            </w:pPr>
            <w:r>
              <w:rPr>
                <w:rFonts w:ascii="Arial" w:cs="Arial" w:eastAsia="Arial" w:hAnsi="Arial"/>
                <w:sz w:val="18"/>
                <w:szCs w:val="18"/>
                <w:color w:val="auto"/>
              </w:rPr>
              <w:t>Earnings per share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3,015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9,284</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distributed earnings allocated to</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participating securities</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Less: undistributed earnings allocated to</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participating securities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 xml:space="preserve">including participating securities </w:t>
            </w:r>
            <w:r>
              <w:rPr>
                <w:rFonts w:ascii="Arial" w:cs="Arial" w:eastAsia="Arial" w:hAnsi="Arial"/>
                <w:sz w:val="15"/>
                <w:szCs w:val="15"/>
                <w:color w:val="auto"/>
              </w:rPr>
              <w:t>(1)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9,252,919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9,225,532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9,245,514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9,218,376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average unvested restricted shares </w:t>
            </w:r>
            <w:r>
              <w:rPr>
                <w:rFonts w:ascii="Arial" w:cs="Arial" w:eastAsia="Arial" w:hAnsi="Arial"/>
                <w:sz w:val="15"/>
                <w:szCs w:val="15"/>
                <w:color w:val="auto"/>
              </w:rPr>
              <w:t>(1)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(88,596)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(80,422)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(77,866)</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5"/>
                <w:szCs w:val="15"/>
                <w:color w:val="auto"/>
              </w:rPr>
              <w:t>(1)</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9,164,323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9,145,110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9,158,440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9,140,510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Basic earnings and diluted per share </w:t>
            </w:r>
            <w:r>
              <w:rPr>
                <w:rFonts w:ascii="Arial" w:cs="Arial" w:eastAsia="Arial" w:hAnsi="Arial"/>
                <w:sz w:val="15"/>
                <w:szCs w:val="15"/>
                <w:color w:val="auto"/>
              </w:rPr>
              <w:t>(1)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60" w:hanging="493"/>
        <w:spacing w:after="0"/>
        <w:tabs>
          <w:tab w:leader="none" w:pos="9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25"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8"/>
          <w:szCs w:val="18"/>
          <w:color w:val="auto"/>
        </w:rPr>
        <w:t>NOTE 6 FAIR VALUE OF INSTRUMENTS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1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 Time Deposits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Securities – Available-for-sale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Securities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Receivable and Payable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Off Balance Sheet Financial Instruments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2017 and December 31, 2016 are reflected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center"/>
              <w:ind w:left="393"/>
              <w:spacing w:after="0" w:line="142" w:lineRule="exact"/>
              <w:rPr>
                <w:sz w:val="20"/>
                <w:szCs w:val="20"/>
                <w:color w:val="auto"/>
              </w:rPr>
            </w:pPr>
            <w:r>
              <w:rPr>
                <w:rFonts w:ascii="Arial" w:cs="Arial" w:eastAsia="Arial" w:hAnsi="Arial"/>
                <w:sz w:val="14"/>
                <w:szCs w:val="14"/>
                <w:color w:val="auto"/>
                <w:w w:val="89"/>
              </w:rPr>
              <w:t>September 30, 2017</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Fair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49,104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49,104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49,104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192,811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192,811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15,676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175,693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1,442</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788,335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790,893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790,893</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5,106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519,822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519,865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519,865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189,963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189,963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189,963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193,581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194,342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194,342</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903,366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904,170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189,963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714,207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w w:val="95"/>
              </w:rPr>
              <w:t>Federal Funds Purchased and Securities Sold Under Agreement to Repurchase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35,550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35,550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35,550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2"/>
              </w:rPr>
              <w:t>December 31, 2016</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4"/>
              </w:rPr>
              <w:t>Carrying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2"/>
              <w:spacing w:after="0" w:line="123" w:lineRule="exact"/>
              <w:rPr>
                <w:sz w:val="20"/>
                <w:szCs w:val="20"/>
                <w:color w:val="auto"/>
              </w:rPr>
            </w:pPr>
            <w:r>
              <w:rPr>
                <w:rFonts w:ascii="Arial" w:cs="Arial" w:eastAsia="Arial" w:hAnsi="Arial"/>
                <w:sz w:val="14"/>
                <w:szCs w:val="14"/>
                <w:color w:val="auto"/>
              </w:rPr>
              <w:t>Fair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7"/>
        </w:trPr>
        <w:tc>
          <w:tcPr>
            <w:tcW w:w="6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color w:val="auto"/>
              </w:rPr>
              <w:t>Value</w:t>
            </w:r>
          </w:p>
        </w:tc>
        <w:tc>
          <w:tcPr>
            <w:tcW w:w="2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r>
      <w:tr>
        <w:trPr>
          <w:trHeight w:val="196"/>
        </w:trPr>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28,322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28,322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28,322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time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Securities - available-for-sale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218,527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24,775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192,334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751,310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753,357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753,357</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3,880</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Interest bearing Deposits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456,983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456,983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456,983</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 bearing Deposits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186,390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198,830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199,658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199,658</w:t>
            </w:r>
          </w:p>
        </w:tc>
      </w:tr>
      <w:tr>
        <w:trPr>
          <w:trHeight w:val="27"/>
        </w:trPr>
        <w:tc>
          <w:tcPr>
            <w:tcW w:w="6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842,203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656,641</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w w:val="95"/>
              </w:rPr>
              <w:t>Federal Funds Purchased and Securities Sold Under Agreement to Repurchase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70,324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70,324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70,324</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Home Loan Bank advances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Interest payable</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when quoted prices are available in an active market, securities are valued using the quoted price and are classified as Level 1.</w:t>
      </w:r>
    </w:p>
    <w:p>
      <w:pPr>
        <w:spacing w:after="0" w:line="2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2017 and December 31, 2016, segregated by level or the valuation inputs within the fair value hierarchy utilized to measure fair value: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40" w:type="dxa"/>
            <w:vAlign w:val="bottom"/>
            <w:gridSpan w:val="11"/>
          </w:tcPr>
          <w:p>
            <w:pPr>
              <w:ind w:left="20"/>
              <w:spacing w:after="0"/>
              <w:rPr>
                <w:sz w:val="20"/>
                <w:szCs w:val="20"/>
                <w:color w:val="auto"/>
              </w:rPr>
            </w:pPr>
            <w:r>
              <w:rPr>
                <w:rFonts w:ascii="Arial" w:cs="Arial" w:eastAsia="Arial" w:hAnsi="Arial"/>
                <w:sz w:val="14"/>
                <w:szCs w:val="14"/>
                <w:color w:val="auto"/>
                <w:w w:val="93"/>
              </w:rPr>
              <w:t>Assets and Liabilities Measured at Fair Value on a Recurring Basis (In Thousands)</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Quoted Prices in</w:t>
            </w:r>
          </w:p>
        </w:tc>
        <w:tc>
          <w:tcPr>
            <w:tcW w:w="2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jc w:val="center"/>
              <w:ind w:right="280"/>
              <w:spacing w:after="0" w:line="110" w:lineRule="exact"/>
              <w:rPr>
                <w:sz w:val="20"/>
                <w:szCs w:val="20"/>
                <w:color w:val="auto"/>
              </w:rPr>
            </w:pPr>
            <w:r>
              <w:rPr>
                <w:rFonts w:ascii="Arial" w:cs="Arial" w:eastAsia="Arial" w:hAnsi="Arial"/>
                <w:sz w:val="12"/>
                <w:szCs w:val="12"/>
                <w:color w:val="auto"/>
              </w:rPr>
              <w:t>Significant</w:t>
            </w:r>
          </w:p>
        </w:tc>
        <w:tc>
          <w:tcPr>
            <w:tcW w:w="2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20"/>
              <w:spacing w:after="0" w:line="110" w:lineRule="exact"/>
              <w:rPr>
                <w:sz w:val="20"/>
                <w:szCs w:val="20"/>
                <w:color w:val="auto"/>
              </w:rPr>
            </w:pPr>
            <w:r>
              <w:rPr>
                <w:rFonts w:ascii="Arial" w:cs="Arial" w:eastAsia="Arial" w:hAnsi="Arial"/>
                <w:sz w:val="12"/>
                <w:szCs w:val="12"/>
                <w:color w:val="auto"/>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Active Markets</w:t>
            </w: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Observable</w:t>
            </w:r>
          </w:p>
        </w:tc>
        <w:tc>
          <w:tcPr>
            <w:tcW w:w="2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4"/>
              </w:rPr>
              <w:t>Observable</w:t>
            </w:r>
          </w:p>
        </w:tc>
        <w:tc>
          <w:tcPr>
            <w:tcW w:w="0" w:type="dxa"/>
            <w:vAlign w:val="bottom"/>
          </w:tcPr>
          <w:p>
            <w:pPr>
              <w:spacing w:after="0"/>
              <w:rPr>
                <w:sz w:val="1"/>
                <w:szCs w:val="1"/>
                <w:color w:val="auto"/>
              </w:rPr>
            </w:pPr>
          </w:p>
        </w:tc>
      </w:tr>
      <w:tr>
        <w:trPr>
          <w:trHeight w:val="162"/>
        </w:trPr>
        <w:tc>
          <w:tcPr>
            <w:tcW w:w="3780" w:type="dxa"/>
            <w:vAlign w:val="bottom"/>
            <w:gridSpan w:val="2"/>
            <w:vMerge w:val="restart"/>
          </w:tcPr>
          <w:p>
            <w:pPr>
              <w:spacing w:after="0"/>
              <w:rPr>
                <w:sz w:val="20"/>
                <w:szCs w:val="20"/>
                <w:color w:val="auto"/>
              </w:rPr>
            </w:pPr>
            <w:r>
              <w:rPr>
                <w:rFonts w:ascii="Arial" w:cs="Arial" w:eastAsia="Arial" w:hAnsi="Arial"/>
                <w:sz w:val="14"/>
                <w:szCs w:val="14"/>
                <w:color w:val="auto"/>
              </w:rPr>
              <w:t>September 30, 2017</w:t>
            </w: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for Identical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3"/>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378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Assets (Level 1)</w:t>
            </w:r>
          </w:p>
        </w:tc>
        <w:tc>
          <w:tcPr>
            <w:tcW w:w="2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(Level 2)</w:t>
            </w:r>
          </w:p>
        </w:tc>
        <w:tc>
          <w:tcPr>
            <w:tcW w:w="2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 - (Securities Available-for-Sale)</w:t>
            </w: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2460" w:type="dxa"/>
            <w:vAlign w:val="bottom"/>
            <w:gridSpan w:val="3"/>
          </w:tcPr>
          <w:p>
            <w:pPr>
              <w:ind w:left="23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15,676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78,160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41,990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55,543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1,442</w:t>
            </w:r>
          </w:p>
        </w:tc>
        <w:tc>
          <w:tcPr>
            <w:tcW w:w="0" w:type="dxa"/>
            <w:vAlign w:val="bottom"/>
          </w:tcPr>
          <w:p>
            <w:pPr>
              <w:spacing w:after="0"/>
              <w:rPr>
                <w:sz w:val="1"/>
                <w:szCs w:val="1"/>
                <w:color w:val="auto"/>
              </w:rPr>
            </w:pPr>
          </w:p>
        </w:tc>
      </w:tr>
      <w:tr>
        <w:trPr>
          <w:trHeight w:val="22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Total Securities Available-for-Sale</w:t>
            </w:r>
          </w:p>
        </w:tc>
        <w:tc>
          <w:tcPr>
            <w:tcW w:w="23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15,676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175,693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3"/>
              </w:rPr>
              <w:t>1,442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Quoted Prices in</w:t>
            </w:r>
          </w:p>
        </w:tc>
        <w:tc>
          <w:tcPr>
            <w:tcW w:w="28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color w:val="auto"/>
                <w:w w:val="99"/>
              </w:rPr>
              <w:t>Significant</w:t>
            </w:r>
          </w:p>
        </w:tc>
        <w:tc>
          <w:tcPr>
            <w:tcW w:w="2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Active Markets</w:t>
            </w: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Observable</w:t>
            </w:r>
          </w:p>
        </w:tc>
        <w:tc>
          <w:tcPr>
            <w:tcW w:w="2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color w:val="auto"/>
                <w:w w:val="94"/>
              </w:rPr>
              <w:t>Observable</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Arial" w:cs="Arial" w:eastAsia="Arial" w:hAnsi="Arial"/>
                <w:sz w:val="14"/>
                <w:szCs w:val="14"/>
                <w:color w:val="auto"/>
                <w:w w:val="91"/>
              </w:rPr>
              <w:t>December 31, 2016</w:t>
            </w:r>
          </w:p>
        </w:tc>
        <w:tc>
          <w:tcPr>
            <w:tcW w:w="26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for Identical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Inputs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73"/>
              <w:spacing w:after="0"/>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vMerge w:val="continue"/>
          </w:tcPr>
          <w:p>
            <w:pPr>
              <w:spacing w:after="0"/>
              <w:rPr>
                <w:sz w:val="14"/>
                <w:szCs w:val="14"/>
                <w:color w:val="auto"/>
              </w:rPr>
            </w:pPr>
          </w:p>
        </w:tc>
        <w:tc>
          <w:tcPr>
            <w:tcW w:w="262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Assets (Level 1)</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 - (Securities Available-for-Sale)</w:t>
            </w:r>
          </w:p>
        </w:tc>
        <w:tc>
          <w:tcPr>
            <w:tcW w:w="9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2460" w:type="dxa"/>
            <w:vAlign w:val="bottom"/>
            <w:gridSpan w:val="3"/>
          </w:tcPr>
          <w:p>
            <w:pPr>
              <w:ind w:left="23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24,775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82,474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48,461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61,399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3"/>
              </w:rPr>
              <w:t>1,418</w:t>
            </w:r>
          </w:p>
        </w:tc>
        <w:tc>
          <w:tcPr>
            <w:tcW w:w="0" w:type="dxa"/>
            <w:vAlign w:val="bottom"/>
          </w:tcPr>
          <w:p>
            <w:pPr>
              <w:spacing w:after="0"/>
              <w:rPr>
                <w:sz w:val="1"/>
                <w:szCs w:val="1"/>
                <w:color w:val="auto"/>
              </w:rPr>
            </w:pPr>
          </w:p>
        </w:tc>
      </w:tr>
      <w:tr>
        <w:trPr>
          <w:trHeight w:val="223"/>
        </w:trPr>
        <w:tc>
          <w:tcPr>
            <w:tcW w:w="3780" w:type="dxa"/>
            <w:vAlign w:val="bottom"/>
            <w:gridSpan w:val="2"/>
          </w:tcPr>
          <w:p>
            <w:pPr>
              <w:ind w:left="360"/>
              <w:spacing w:after="0"/>
              <w:rPr>
                <w:sz w:val="20"/>
                <w:szCs w:val="20"/>
                <w:color w:val="auto"/>
              </w:rPr>
            </w:pPr>
            <w:r>
              <w:rPr>
                <w:rFonts w:ascii="Arial" w:cs="Arial" w:eastAsia="Arial" w:hAnsi="Arial"/>
                <w:sz w:val="18"/>
                <w:szCs w:val="18"/>
                <w:color w:val="auto"/>
              </w:rPr>
              <w:t>Total Securities Available-for-Sale</w:t>
            </w:r>
          </w:p>
        </w:tc>
        <w:tc>
          <w:tcPr>
            <w:tcW w:w="23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7"/>
              </w:rPr>
              <w:t>24,775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192,334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3"/>
              </w:rPr>
              <w:t>1,418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340" w:type="dxa"/>
            <w:vAlign w:val="bottom"/>
            <w:gridSpan w:val="2"/>
            <w:vMerge w:val="restart"/>
          </w:tcPr>
          <w:p>
            <w:pPr>
              <w:jc w:val="right"/>
              <w:ind w:right="116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September 30, 2017 and September 30, 2016.</w:t>
      </w:r>
    </w:p>
    <w:p>
      <w:pPr>
        <w:spacing w:after="0" w:line="193" w:lineRule="exact"/>
        <w:rPr>
          <w:sz w:val="20"/>
          <w:szCs w:val="20"/>
          <w:color w:val="auto"/>
        </w:rPr>
      </w:pPr>
    </w:p>
    <w:p>
      <w:pPr>
        <w:jc w:val="center"/>
        <w:ind w:left="5280"/>
        <w:spacing w:after="0"/>
        <w:rPr>
          <w:sz w:val="20"/>
          <w:szCs w:val="20"/>
          <w:color w:val="auto"/>
        </w:rPr>
      </w:pPr>
      <w:r>
        <w:rPr>
          <w:rFonts w:ascii="Arial" w:cs="Arial" w:eastAsia="Arial" w:hAnsi="Arial"/>
          <w:sz w:val="14"/>
          <w:szCs w:val="14"/>
          <w:color w:val="auto"/>
        </w:rPr>
        <w:t>(In Thousands)</w:t>
      </w:r>
    </w:p>
    <w:p>
      <w:pPr>
        <w:jc w:val="center"/>
        <w:ind w:left="5280"/>
        <w:spacing w:after="0"/>
        <w:rPr>
          <w:sz w:val="20"/>
          <w:szCs w:val="20"/>
          <w:color w:val="auto"/>
        </w:rPr>
      </w:pPr>
      <w:r>
        <w:rPr>
          <w:rFonts w:ascii="Arial" w:cs="Arial" w:eastAsia="Arial" w:hAnsi="Arial"/>
          <w:sz w:val="14"/>
          <w:szCs w:val="14"/>
          <w:color w:val="auto"/>
        </w:rPr>
        <w:t>Fair Value Measurements Using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wp:posOffset>
            </wp:positionV>
            <wp:extent cx="2598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color w:val="auto"/>
        </w:rPr>
        <w:t>Unobservable Inputs (Level 3)</w:t>
      </w:r>
    </w:p>
    <w:tbl>
      <w:tblPr>
        <w:tblLayout w:type="fixed"/>
        <w:tblInd w:w="920" w:type="dxa"/>
        <w:tblCellMar>
          <w:top w:w="0" w:type="dxa"/>
          <w:left w:w="0" w:type="dxa"/>
          <w:bottom w:w="0" w:type="dxa"/>
          <w:right w:w="0" w:type="dxa"/>
        </w:tblCellMar>
      </w:tblPr>
      <w:tr>
        <w:trPr>
          <w:trHeight w:val="123"/>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9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6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Tax-Exempt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Market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4"/>
          </w:tcPr>
          <w:p>
            <w:pPr>
              <w:ind w:left="54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color w:val="auto"/>
                <w:w w:val="96"/>
              </w:rPr>
              <w:t>Fair Value Measurements Using Significant</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color w:val="auto"/>
                <w:w w:val="98"/>
              </w:rPr>
              <w:t>Unobservable Inputs (Level 3)</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560" w:type="dxa"/>
            <w:vAlign w:val="bottom"/>
          </w:tcPr>
          <w:p>
            <w:pPr>
              <w:spacing w:after="0"/>
              <w:rPr>
                <w:sz w:val="10"/>
                <w:szCs w:val="10"/>
                <w:color w:val="auto"/>
              </w:rPr>
            </w:pPr>
          </w:p>
        </w:tc>
        <w:tc>
          <w:tcPr>
            <w:tcW w:w="1560" w:type="dxa"/>
            <w:vAlign w:val="bottom"/>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Governments</w:t>
            </w:r>
          </w:p>
        </w:tc>
        <w:tc>
          <w:tcPr>
            <w:tcW w:w="56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2"/>
              </w:rPr>
              <w:t>Governments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Governments</w:t>
            </w:r>
          </w:p>
        </w:tc>
      </w:tr>
      <w:tr>
        <w:trPr>
          <w:trHeight w:val="167"/>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Tax-Exempt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color w:val="auto"/>
                <w:w w:val="92"/>
              </w:rPr>
              <w:t>Taxable</w:t>
            </w:r>
          </w:p>
        </w:tc>
        <w:tc>
          <w:tcPr>
            <w:tcW w:w="2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Total</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Change in Market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(5,904)</w:t>
            </w: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Balance at September 30 , 2016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has assets that, under certain conditions, are subject to measurement at fair value on a non-recurring basis. At September 30, 2017 and December 31, 2016,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September 30, 2017 and December 31, 2016, fair value of collateral dependent impaired loans categorized as Level 3 was $562 and $576 thousand, respectively. The specific allocation for impaired loans was $123 and $135 thousand as of September 30, 2017 and December 31, 2016, respectively, which are accounted for in the allowance for loan losses (see Note 4).</w:t>
      </w:r>
    </w:p>
    <w:p>
      <w:pPr>
        <w:spacing w:after="0" w:line="18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quantitative information about unobservable inputs used in recurring and nonrecurring Level 3 fair value measurements: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Fair Value at</w:t>
            </w: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gridSpan w:val="2"/>
            <w:vMerge w:val="restart"/>
          </w:tcPr>
          <w:p>
            <w:pPr>
              <w:ind w:left="460"/>
              <w:spacing w:after="0"/>
              <w:rPr>
                <w:sz w:val="20"/>
                <w:szCs w:val="20"/>
                <w:color w:val="auto"/>
              </w:rPr>
            </w:pPr>
            <w:r>
              <w:rPr>
                <w:rFonts w:ascii="Arial" w:cs="Arial" w:eastAsia="Arial" w:hAnsi="Arial"/>
                <w:sz w:val="14"/>
                <w:szCs w:val="14"/>
                <w:color w:val="auto"/>
              </w:rPr>
              <w:t>Valuation Technique</w:t>
            </w:r>
          </w:p>
        </w:tc>
        <w:tc>
          <w:tcPr>
            <w:tcW w:w="2780" w:type="dxa"/>
            <w:vAlign w:val="bottom"/>
            <w:gridSpan w:val="2"/>
            <w:vMerge w:val="restart"/>
          </w:tcPr>
          <w:p>
            <w:pPr>
              <w:ind w:left="460"/>
              <w:spacing w:after="0"/>
              <w:rPr>
                <w:sz w:val="20"/>
                <w:szCs w:val="20"/>
                <w:color w:val="auto"/>
              </w:rPr>
            </w:pPr>
            <w:r>
              <w:rPr>
                <w:rFonts w:ascii="Arial" w:cs="Arial" w:eastAsia="Arial" w:hAnsi="Arial"/>
                <w:sz w:val="14"/>
                <w:szCs w:val="14"/>
                <w:color w:val="auto"/>
              </w:rPr>
              <w:t>Unobservable Inputs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September 30, 2017</w:t>
            </w:r>
          </w:p>
        </w:tc>
        <w:tc>
          <w:tcPr>
            <w:tcW w:w="278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color w:val="auto"/>
                <w:w w:val="93"/>
              </w:rPr>
              <w:t>(In Thousands)</w:t>
            </w:r>
          </w:p>
        </w:tc>
        <w:tc>
          <w:tcPr>
            <w:tcW w:w="72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and local government</w:t>
            </w:r>
          </w:p>
        </w:tc>
        <w:tc>
          <w:tcPr>
            <w:tcW w:w="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rPr>
              <w:t>1,442</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Discounted Cash Flow</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Credit strength of underlying</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or</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entity / Discount rate</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dependent Impaired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 based</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562</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measurements</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(18.00%)</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conditions and ultimate</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collectability</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Appraisals</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Other real estate owned -</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266</w:t>
            </w:r>
          </w:p>
        </w:tc>
        <w:tc>
          <w:tcPr>
            <w:tcW w:w="2780" w:type="dxa"/>
            <w:vAlign w:val="bottom"/>
            <w:gridSpan w:val="2"/>
          </w:tcPr>
          <w:p>
            <w:pPr>
              <w:spacing w:after="0"/>
              <w:rPr>
                <w:sz w:val="20"/>
                <w:szCs w:val="20"/>
                <w:color w:val="auto"/>
              </w:rPr>
            </w:pPr>
            <w:r>
              <w:rPr>
                <w:rFonts w:ascii="Arial" w:cs="Arial" w:eastAsia="Arial" w:hAnsi="Arial"/>
                <w:sz w:val="18"/>
                <w:szCs w:val="18"/>
                <w:color w:val="auto"/>
              </w:rPr>
              <w:t>Appraisals</w:t>
            </w:r>
          </w:p>
        </w:tc>
        <w:tc>
          <w:tcPr>
            <w:tcW w:w="2780" w:type="dxa"/>
            <w:vAlign w:val="bottom"/>
            <w:gridSpan w:val="2"/>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346"/>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Fair Value at</w:t>
            </w:r>
          </w:p>
        </w:tc>
        <w:tc>
          <w:tcPr>
            <w:tcW w:w="2780" w:type="dxa"/>
            <w:vAlign w:val="bottom"/>
            <w:gridSpan w:val="2"/>
            <w:vMerge w:val="restart"/>
          </w:tcPr>
          <w:p>
            <w:pPr>
              <w:ind w:left="460"/>
              <w:spacing w:after="0"/>
              <w:rPr>
                <w:sz w:val="20"/>
                <w:szCs w:val="20"/>
                <w:color w:val="auto"/>
              </w:rPr>
            </w:pPr>
            <w:r>
              <w:rPr>
                <w:rFonts w:ascii="Arial" w:cs="Arial" w:eastAsia="Arial" w:hAnsi="Arial"/>
                <w:sz w:val="14"/>
                <w:szCs w:val="14"/>
                <w:color w:val="auto"/>
              </w:rPr>
              <w:t>Valuation Technique</w:t>
            </w:r>
          </w:p>
        </w:tc>
        <w:tc>
          <w:tcPr>
            <w:tcW w:w="2780" w:type="dxa"/>
            <w:vAlign w:val="bottom"/>
            <w:gridSpan w:val="2"/>
            <w:vMerge w:val="restart"/>
          </w:tcPr>
          <w:p>
            <w:pPr>
              <w:ind w:left="460"/>
              <w:spacing w:after="0"/>
              <w:rPr>
                <w:sz w:val="20"/>
                <w:szCs w:val="20"/>
                <w:color w:val="auto"/>
              </w:rPr>
            </w:pPr>
            <w:r>
              <w:rPr>
                <w:rFonts w:ascii="Arial" w:cs="Arial" w:eastAsia="Arial" w:hAnsi="Arial"/>
                <w:sz w:val="14"/>
                <w:szCs w:val="14"/>
                <w:color w:val="auto"/>
              </w:rPr>
              <w:t>Unobservable Inputs</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color w:val="auto"/>
                <w:w w:val="91"/>
              </w:rPr>
              <w:t>December 31, 2016</w:t>
            </w:r>
          </w:p>
        </w:tc>
        <w:tc>
          <w:tcPr>
            <w:tcW w:w="2780" w:type="dxa"/>
            <w:vAlign w:val="bottom"/>
            <w:gridSpan w:val="2"/>
            <w:vMerge w:val="continue"/>
          </w:tcPr>
          <w:p>
            <w:pPr>
              <w:spacing w:after="0"/>
              <w:rPr>
                <w:sz w:val="14"/>
                <w:szCs w:val="14"/>
                <w:color w:val="auto"/>
              </w:rPr>
            </w:pPr>
          </w:p>
        </w:tc>
        <w:tc>
          <w:tcPr>
            <w:tcW w:w="2780" w:type="dxa"/>
            <w:vAlign w:val="bottom"/>
            <w:gridSpan w:val="2"/>
            <w:vMerge w:val="continue"/>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color w:val="auto"/>
                <w:w w:val="93"/>
              </w:rPr>
              <w:t>(In Thousands)</w:t>
            </w:r>
          </w:p>
        </w:tc>
        <w:tc>
          <w:tcPr>
            <w:tcW w:w="72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State and local government</w:t>
            </w:r>
          </w:p>
        </w:tc>
        <w:tc>
          <w:tcPr>
            <w:tcW w:w="6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line="201" w:lineRule="exact"/>
              <w:rPr>
                <w:sz w:val="20"/>
                <w:szCs w:val="20"/>
                <w:color w:val="auto"/>
              </w:rPr>
            </w:pPr>
            <w:r>
              <w:rPr>
                <w:rFonts w:ascii="Arial" w:cs="Arial" w:eastAsia="Arial" w:hAnsi="Arial"/>
                <w:sz w:val="18"/>
                <w:szCs w:val="18"/>
                <w:color w:val="auto"/>
              </w:rPr>
              <w:t>1,418</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Discounted Cash Flow</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Credit strength of underlying</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or</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entity / Discount rate</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dependent Impaired</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Collateral based</w:t>
            </w: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576</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measurements</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(18.92%)</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conditions and ultimate</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collectability</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144</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Appraisals</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Other real estate owned -</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Discount to reflect current</w:t>
            </w:r>
          </w:p>
        </w:tc>
        <w:tc>
          <w:tcPr>
            <w:tcW w:w="7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780" w:type="dxa"/>
            <w:vAlign w:val="bottom"/>
            <w:gridSpan w:val="2"/>
          </w:tcPr>
          <w:p>
            <w:pPr>
              <w:spacing w:after="0"/>
              <w:rPr>
                <w:sz w:val="20"/>
                <w:szCs w:val="20"/>
                <w:color w:val="auto"/>
              </w:rPr>
            </w:pPr>
            <w:r>
              <w:rPr>
                <w:rFonts w:ascii="Arial" w:cs="Arial" w:eastAsia="Arial" w:hAnsi="Arial"/>
                <w:sz w:val="18"/>
                <w:szCs w:val="18"/>
                <w:color w:val="auto"/>
              </w:rPr>
              <w:t>Appraisals</w:t>
            </w:r>
          </w:p>
        </w:tc>
        <w:tc>
          <w:tcPr>
            <w:tcW w:w="2780" w:type="dxa"/>
            <w:vAlign w:val="bottom"/>
            <w:gridSpan w:val="2"/>
          </w:tcPr>
          <w:p>
            <w:pPr>
              <w:spacing w:after="0"/>
              <w:rPr>
                <w:sz w:val="20"/>
                <w:szCs w:val="20"/>
                <w:color w:val="auto"/>
              </w:rPr>
            </w:pPr>
            <w:r>
              <w:rPr>
                <w:rFonts w:ascii="Arial" w:cs="Arial" w:eastAsia="Arial" w:hAnsi="Arial"/>
                <w:sz w:val="18"/>
                <w:szCs w:val="18"/>
                <w:color w:val="auto"/>
              </w:rPr>
              <w:t>market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ind w:left="54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6 FAIR VALUE OF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September 30, 2017 and December 31, 2016: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Collateral dependent impaired loans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real estate owned - residential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real estate owned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commercial</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fair value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Assets Measured at Fair Value on a Nonrecurring Basis at September 30, 2017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80"/>
              <w:spacing w:after="0" w:line="123" w:lineRule="exact"/>
              <w:rPr>
                <w:sz w:val="20"/>
                <w:szCs w:val="20"/>
                <w:color w:val="auto"/>
              </w:rPr>
            </w:pPr>
            <w:r>
              <w:rPr>
                <w:rFonts w:ascii="Arial" w:cs="Arial" w:eastAsia="Arial" w:hAnsi="Arial"/>
                <w:sz w:val="14"/>
                <w:szCs w:val="14"/>
                <w:color w:val="auto"/>
                <w:w w:val="91"/>
              </w:rPr>
              <w:t>(In Thousands)</w:t>
            </w: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 in Active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4"/>
              </w:rPr>
              <w:t>Markets for</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9"/>
              </w:rPr>
              <w:t>Significant</w:t>
            </w:r>
          </w:p>
        </w:tc>
        <w:tc>
          <w:tcPr>
            <w:tcW w:w="2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Significant</w:t>
            </w:r>
          </w:p>
        </w:tc>
      </w:tr>
      <w:tr>
        <w:trPr>
          <w:trHeight w:val="149"/>
        </w:trPr>
        <w:tc>
          <w:tcPr>
            <w:tcW w:w="180" w:type="dxa"/>
            <w:vAlign w:val="bottom"/>
          </w:tcPr>
          <w:p>
            <w:pPr>
              <w:spacing w:after="0"/>
              <w:rPr>
                <w:sz w:val="12"/>
                <w:szCs w:val="12"/>
                <w:color w:val="auto"/>
              </w:rPr>
            </w:pP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Balance at</w:t>
            </w:r>
          </w:p>
        </w:tc>
        <w:tc>
          <w:tcPr>
            <w:tcW w:w="16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5"/>
              </w:rPr>
              <w:t>Identical</w:t>
            </w:r>
          </w:p>
        </w:tc>
        <w:tc>
          <w:tcPr>
            <w:tcW w:w="760" w:type="dxa"/>
            <w:vAlign w:val="bottom"/>
          </w:tcPr>
          <w:p>
            <w:pPr>
              <w:spacing w:after="0"/>
              <w:rPr>
                <w:sz w:val="12"/>
                <w:szCs w:val="12"/>
                <w:color w:val="auto"/>
              </w:rPr>
            </w:pP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1"/>
              </w:rPr>
              <w:t>Observable Inputs</w:t>
            </w: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w w:val="93"/>
              </w:rPr>
              <w:t>Unobservable Inputs</w:t>
            </w:r>
          </w:p>
        </w:tc>
      </w:tr>
      <w:tr>
        <w:trPr>
          <w:trHeight w:val="167"/>
        </w:trPr>
        <w:tc>
          <w:tcPr>
            <w:tcW w:w="1920" w:type="dxa"/>
            <w:vAlign w:val="bottom"/>
            <w:gridSpan w:val="3"/>
          </w:tcPr>
          <w:p>
            <w:pPr>
              <w:spacing w:after="0"/>
              <w:rPr>
                <w:sz w:val="20"/>
                <w:szCs w:val="20"/>
                <w:color w:val="auto"/>
              </w:rPr>
            </w:pPr>
            <w:r>
              <w:rPr>
                <w:rFonts w:ascii="Arial" w:cs="Arial" w:eastAsia="Arial" w:hAnsi="Arial"/>
                <w:sz w:val="14"/>
                <w:szCs w:val="14"/>
                <w:color w:val="auto"/>
              </w:rPr>
              <w:t>September 30, 2017</w:t>
            </w:r>
          </w:p>
        </w:tc>
        <w:tc>
          <w:tcPr>
            <w:tcW w:w="16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color w:val="auto"/>
                <w:w w:val="93"/>
              </w:rPr>
              <w:t>Assets (Level 1)</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(Level 2)</w:t>
            </w: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(Level 3)</w:t>
            </w:r>
          </w:p>
        </w:tc>
      </w:tr>
      <w:tr>
        <w:trPr>
          <w:trHeight w:val="195"/>
        </w:trPr>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ind w:left="720"/>
              <w:spacing w:after="0" w:line="195" w:lineRule="exact"/>
              <w:rPr>
                <w:sz w:val="20"/>
                <w:szCs w:val="20"/>
                <w:color w:val="auto"/>
              </w:rPr>
            </w:pPr>
            <w:r>
              <w:rPr>
                <w:rFonts w:ascii="Arial" w:cs="Arial" w:eastAsia="Arial" w:hAnsi="Arial"/>
                <w:sz w:val="18"/>
                <w:szCs w:val="18"/>
                <w:color w:val="auto"/>
                <w:w w:val="79"/>
              </w:rPr>
              <w:t>562</w:t>
            </w:r>
          </w:p>
        </w:tc>
        <w:tc>
          <w:tcPr>
            <w:tcW w:w="76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4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w w:val="79"/>
              </w:rPr>
              <w:t>562</w:t>
            </w:r>
          </w:p>
        </w:tc>
        <w:tc>
          <w:tcPr>
            <w:tcW w:w="20" w:type="dxa"/>
            <w:vAlign w:val="bottom"/>
          </w:tcPr>
          <w:p>
            <w:pPr>
              <w:spacing w:after="0"/>
              <w:rPr>
                <w:sz w:val="16"/>
                <w:szCs w:val="16"/>
                <w:color w:val="auto"/>
              </w:rPr>
            </w:pPr>
          </w:p>
        </w:tc>
      </w:tr>
      <w:tr>
        <w:trPr>
          <w:trHeight w:val="230"/>
        </w:trPr>
        <w:tc>
          <w:tcPr>
            <w:tcW w:w="180" w:type="dxa"/>
            <w:vAlign w:val="bottom"/>
          </w:tcPr>
          <w:p>
            <w:pPr>
              <w:spacing w:after="0"/>
              <w:rPr>
                <w:sz w:val="20"/>
                <w:szCs w:val="20"/>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432"/>
        </w:trPr>
        <w:tc>
          <w:tcPr>
            <w:tcW w:w="180" w:type="dxa"/>
            <w:vAlign w:val="bottom"/>
          </w:tcPr>
          <w:p>
            <w:pPr>
              <w:spacing w:after="0"/>
              <w:rPr>
                <w:sz w:val="24"/>
                <w:szCs w:val="24"/>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86"/>
              </w:rPr>
              <w:t>266</w:t>
            </w:r>
          </w:p>
        </w:tc>
      </w:tr>
      <w:tr>
        <w:trPr>
          <w:trHeight w:val="223"/>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86"/>
              </w:rPr>
              <w:t>828</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-736600</wp:posOffset>
            </wp:positionV>
            <wp:extent cx="666369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-454025</wp:posOffset>
            </wp:positionV>
            <wp:extent cx="666369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5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Collateral dependent impaired loans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real estate owned - residential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real estate owned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commercial</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fair value</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4"/>
          <w:szCs w:val="14"/>
          <w:color w:val="auto"/>
        </w:rPr>
        <w:t>Assets Measured at Fair Value on a Nonrecurring Basis at December 31, 2016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80"/>
              <w:spacing w:after="0" w:line="123" w:lineRule="exact"/>
              <w:rPr>
                <w:sz w:val="20"/>
                <w:szCs w:val="20"/>
                <w:color w:val="auto"/>
              </w:rPr>
            </w:pPr>
            <w:r>
              <w:rPr>
                <w:rFonts w:ascii="Arial" w:cs="Arial" w:eastAsia="Arial" w:hAnsi="Arial"/>
                <w:sz w:val="14"/>
                <w:szCs w:val="14"/>
                <w:color w:val="auto"/>
                <w:w w:val="91"/>
              </w:rPr>
              <w:t>(In Thousands)</w:t>
            </w: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 in Active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4"/>
              </w:rPr>
              <w:t>Markets for</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9"/>
              </w:rPr>
              <w:t>Significant</w:t>
            </w:r>
          </w:p>
        </w:tc>
        <w:tc>
          <w:tcPr>
            <w:tcW w:w="200" w:type="dxa"/>
            <w:vAlign w:val="bottom"/>
          </w:tcPr>
          <w:p>
            <w:pPr>
              <w:spacing w:after="0"/>
              <w:rPr>
                <w:sz w:val="12"/>
                <w:szCs w:val="12"/>
                <w:color w:val="auto"/>
              </w:rPr>
            </w:pPr>
          </w:p>
        </w:tc>
        <w:tc>
          <w:tcPr>
            <w:tcW w:w="10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Significant</w:t>
            </w:r>
          </w:p>
        </w:tc>
      </w:tr>
      <w:tr>
        <w:trPr>
          <w:trHeight w:val="149"/>
        </w:trPr>
        <w:tc>
          <w:tcPr>
            <w:tcW w:w="180" w:type="dxa"/>
            <w:vAlign w:val="bottom"/>
          </w:tcPr>
          <w:p>
            <w:pPr>
              <w:spacing w:after="0"/>
              <w:rPr>
                <w:sz w:val="12"/>
                <w:szCs w:val="12"/>
                <w:color w:val="auto"/>
              </w:rPr>
            </w:pPr>
          </w:p>
        </w:tc>
        <w:tc>
          <w:tcPr>
            <w:tcW w:w="17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Balance at</w:t>
            </w:r>
          </w:p>
        </w:tc>
        <w:tc>
          <w:tcPr>
            <w:tcW w:w="160" w:type="dxa"/>
            <w:vAlign w:val="bottom"/>
          </w:tcPr>
          <w:p>
            <w:pPr>
              <w:spacing w:after="0"/>
              <w:rPr>
                <w:sz w:val="12"/>
                <w:szCs w:val="12"/>
                <w:color w:val="auto"/>
              </w:rPr>
            </w:pPr>
          </w:p>
        </w:tc>
        <w:tc>
          <w:tcPr>
            <w:tcW w:w="1220" w:type="dxa"/>
            <w:vAlign w:val="bottom"/>
          </w:tcPr>
          <w:p>
            <w:pPr>
              <w:jc w:val="center"/>
              <w:ind w:right="80"/>
              <w:spacing w:after="0" w:line="149" w:lineRule="exact"/>
              <w:rPr>
                <w:sz w:val="20"/>
                <w:szCs w:val="20"/>
                <w:color w:val="auto"/>
              </w:rPr>
            </w:pPr>
            <w:r>
              <w:rPr>
                <w:rFonts w:ascii="Arial" w:cs="Arial" w:eastAsia="Arial" w:hAnsi="Arial"/>
                <w:sz w:val="14"/>
                <w:szCs w:val="14"/>
                <w:color w:val="auto"/>
                <w:w w:val="95"/>
              </w:rPr>
              <w:t>Identical</w:t>
            </w:r>
          </w:p>
        </w:tc>
        <w:tc>
          <w:tcPr>
            <w:tcW w:w="760" w:type="dxa"/>
            <w:vAlign w:val="bottom"/>
          </w:tcPr>
          <w:p>
            <w:pPr>
              <w:spacing w:after="0"/>
              <w:rPr>
                <w:sz w:val="12"/>
                <w:szCs w:val="12"/>
                <w:color w:val="auto"/>
              </w:rPr>
            </w:pP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1"/>
              </w:rPr>
              <w:t>Observable Inputs</w:t>
            </w:r>
          </w:p>
        </w:tc>
        <w:tc>
          <w:tcPr>
            <w:tcW w:w="1220" w:type="dxa"/>
            <w:vAlign w:val="bottom"/>
            <w:gridSpan w:val="3"/>
          </w:tcPr>
          <w:p>
            <w:pPr>
              <w:spacing w:after="0" w:line="149" w:lineRule="exact"/>
              <w:rPr>
                <w:sz w:val="20"/>
                <w:szCs w:val="20"/>
                <w:color w:val="auto"/>
              </w:rPr>
            </w:pPr>
            <w:r>
              <w:rPr>
                <w:rFonts w:ascii="Arial" w:cs="Arial" w:eastAsia="Arial" w:hAnsi="Arial"/>
                <w:sz w:val="14"/>
                <w:szCs w:val="14"/>
                <w:color w:val="auto"/>
                <w:w w:val="93"/>
              </w:rPr>
              <w:t>Unobservable Inputs</w:t>
            </w:r>
          </w:p>
        </w:tc>
      </w:tr>
      <w:tr>
        <w:trPr>
          <w:trHeight w:val="167"/>
        </w:trPr>
        <w:tc>
          <w:tcPr>
            <w:tcW w:w="1920" w:type="dxa"/>
            <w:vAlign w:val="bottom"/>
            <w:gridSpan w:val="3"/>
          </w:tcPr>
          <w:p>
            <w:pPr>
              <w:ind w:left="20"/>
              <w:spacing w:after="0"/>
              <w:rPr>
                <w:sz w:val="20"/>
                <w:szCs w:val="20"/>
                <w:color w:val="auto"/>
              </w:rPr>
            </w:pPr>
            <w:r>
              <w:rPr>
                <w:rFonts w:ascii="Arial" w:cs="Arial" w:eastAsia="Arial" w:hAnsi="Arial"/>
                <w:sz w:val="14"/>
                <w:szCs w:val="14"/>
                <w:color w:val="auto"/>
              </w:rPr>
              <w:t>December 31, 2016</w:t>
            </w:r>
          </w:p>
        </w:tc>
        <w:tc>
          <w:tcPr>
            <w:tcW w:w="16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color w:val="auto"/>
                <w:w w:val="93"/>
              </w:rPr>
              <w:t>Assets (Level 1)</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color w:val="auto"/>
                <w:w w:val="95"/>
              </w:rPr>
              <w:t>(Level 2)</w:t>
            </w:r>
          </w:p>
        </w:tc>
        <w:tc>
          <w:tcPr>
            <w:tcW w:w="20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color w:val="auto"/>
              </w:rPr>
              <w:t>(Level 3)</w:t>
            </w:r>
          </w:p>
        </w:tc>
      </w:tr>
      <w:tr>
        <w:trPr>
          <w:trHeight w:val="195"/>
        </w:trPr>
        <w:tc>
          <w:tcPr>
            <w:tcW w:w="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ind w:left="720"/>
              <w:spacing w:after="0" w:line="195" w:lineRule="exact"/>
              <w:rPr>
                <w:sz w:val="20"/>
                <w:szCs w:val="20"/>
                <w:color w:val="auto"/>
              </w:rPr>
            </w:pPr>
            <w:r>
              <w:rPr>
                <w:rFonts w:ascii="Arial" w:cs="Arial" w:eastAsia="Arial" w:hAnsi="Arial"/>
                <w:sz w:val="18"/>
                <w:szCs w:val="18"/>
                <w:color w:val="auto"/>
                <w:w w:val="79"/>
              </w:rPr>
              <w:t>576</w:t>
            </w:r>
          </w:p>
        </w:tc>
        <w:tc>
          <w:tcPr>
            <w:tcW w:w="76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ind w:left="94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ind w:left="640"/>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w w:val="79"/>
              </w:rPr>
              <w:t>576</w:t>
            </w:r>
          </w:p>
        </w:tc>
        <w:tc>
          <w:tcPr>
            <w:tcW w:w="20" w:type="dxa"/>
            <w:vAlign w:val="bottom"/>
          </w:tcPr>
          <w:p>
            <w:pPr>
              <w:spacing w:after="0"/>
              <w:rPr>
                <w:sz w:val="16"/>
                <w:szCs w:val="16"/>
                <w:color w:val="auto"/>
              </w:rPr>
            </w:pPr>
          </w:p>
        </w:tc>
      </w:tr>
      <w:tr>
        <w:trPr>
          <w:trHeight w:val="230"/>
        </w:trPr>
        <w:tc>
          <w:tcPr>
            <w:tcW w:w="180" w:type="dxa"/>
            <w:vAlign w:val="bottom"/>
          </w:tcPr>
          <w:p>
            <w:pPr>
              <w:spacing w:after="0"/>
              <w:rPr>
                <w:sz w:val="20"/>
                <w:szCs w:val="20"/>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0"/>
                <w:szCs w:val="20"/>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w w:val="86"/>
              </w:rPr>
              <w:t>144</w:t>
            </w:r>
          </w:p>
        </w:tc>
      </w:tr>
      <w:tr>
        <w:trPr>
          <w:trHeight w:val="432"/>
        </w:trPr>
        <w:tc>
          <w:tcPr>
            <w:tcW w:w="180" w:type="dxa"/>
            <w:vAlign w:val="bottom"/>
          </w:tcPr>
          <w:p>
            <w:pPr>
              <w:spacing w:after="0"/>
              <w:rPr>
                <w:sz w:val="24"/>
                <w:szCs w:val="24"/>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720</w:t>
            </w:r>
          </w:p>
        </w:tc>
        <w:tc>
          <w:tcPr>
            <w:tcW w:w="20" w:type="dxa"/>
            <w:vAlign w:val="bottom"/>
            <w:tcBorders>
              <w:bottom w:val="single" w:sz="8" w:color="auto"/>
            </w:tcBorders>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-2141220</wp:posOffset>
            </wp:positionH>
            <wp:positionV relativeFrom="paragraph">
              <wp:posOffset>-736600</wp:posOffset>
            </wp:positionV>
            <wp:extent cx="666369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-2141220</wp:posOffset>
            </wp:positionH>
            <wp:positionV relativeFrom="paragraph">
              <wp:posOffset>-454025</wp:posOffset>
            </wp:positionV>
            <wp:extent cx="666369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580"/>
          </w:cols>
          <w:pgMar w:left="240" w:top="459" w:right="239" w:bottom="1440" w:gutter="0" w:footer="0" w:header="0"/>
          <w:type w:val="continuous"/>
        </w:sectPr>
      </w:pP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did not have any Federal Funds Purchased as of September 30, 2017 and had $17 million as of December 31, 2016. During the same time periods the company also had $35.5 million and $53.3 million in securities sold under agreement to repurchase.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1"/>
              </w:rPr>
              <w:t>September 30, 2017</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gridSpan w:val="12"/>
          </w:tcPr>
          <w:p>
            <w:pPr>
              <w:jc w:val="center"/>
              <w:ind w:left="334"/>
              <w:spacing w:after="0" w:line="142" w:lineRule="exact"/>
              <w:rPr>
                <w:sz w:val="20"/>
                <w:szCs w:val="20"/>
                <w:color w:val="auto"/>
              </w:rPr>
            </w:pPr>
            <w:r>
              <w:rPr>
                <w:rFonts w:ascii="Arial" w:cs="Arial" w:eastAsia="Arial" w:hAnsi="Arial"/>
                <w:sz w:val="14"/>
                <w:szCs w:val="14"/>
                <w:color w:val="auto"/>
                <w:w w:val="93"/>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4"/>
              </w:rPr>
              <w:t>Overnight &amp;</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color w:val="auto"/>
              </w:rPr>
              <w:t>Continuous</w:t>
            </w:r>
          </w:p>
        </w:tc>
        <w:tc>
          <w:tcPr>
            <w:tcW w:w="2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30-90 days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20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14,737</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35,550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20,813</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1"/>
              </w:rPr>
              <w:t>December 31, 2016</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gridSpan w:val="12"/>
          </w:tcPr>
          <w:p>
            <w:pPr>
              <w:jc w:val="center"/>
              <w:ind w:left="334"/>
              <w:spacing w:after="0" w:line="142" w:lineRule="exact"/>
              <w:rPr>
                <w:sz w:val="20"/>
                <w:szCs w:val="20"/>
                <w:color w:val="auto"/>
              </w:rPr>
            </w:pPr>
            <w:r>
              <w:rPr>
                <w:rFonts w:ascii="Arial" w:cs="Arial" w:eastAsia="Arial" w:hAnsi="Arial"/>
                <w:sz w:val="14"/>
                <w:szCs w:val="14"/>
                <w:color w:val="auto"/>
                <w:w w:val="93"/>
              </w:rPr>
              <w:t>Remaining Contratual Maturity of the Agreements (In Thousands)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960" w:type="dxa"/>
            <w:vAlign w:val="bottom"/>
            <w:gridSpan w:val="3"/>
          </w:tcPr>
          <w:p>
            <w:pPr>
              <w:jc w:val="right"/>
              <w:ind w:right="240"/>
              <w:spacing w:after="0" w:line="123" w:lineRule="exact"/>
              <w:rPr>
                <w:sz w:val="20"/>
                <w:szCs w:val="20"/>
                <w:color w:val="auto"/>
              </w:rPr>
            </w:pPr>
            <w:r>
              <w:rPr>
                <w:rFonts w:ascii="Arial" w:cs="Arial" w:eastAsia="Arial" w:hAnsi="Arial"/>
                <w:sz w:val="14"/>
                <w:szCs w:val="14"/>
                <w:color w:val="auto"/>
                <w:w w:val="94"/>
              </w:rPr>
              <w:t>Overnight &amp;</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Greater Than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color w:val="auto"/>
              </w:rPr>
              <w:t>Continuous</w:t>
            </w:r>
          </w:p>
        </w:tc>
        <w:tc>
          <w:tcPr>
            <w:tcW w:w="2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90"/>
              </w:rPr>
              <w:t>Up to 30 days</w:t>
            </w:r>
          </w:p>
        </w:tc>
        <w:tc>
          <w:tcPr>
            <w:tcW w:w="4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30-90 days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&amp; agency securities</w:t>
            </w:r>
          </w:p>
        </w:tc>
        <w:tc>
          <w:tcPr>
            <w:tcW w:w="20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32,814</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53,324</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20,510</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70,324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vMerge w:val="restart"/>
          </w:tcPr>
          <w:p>
            <w:pPr>
              <w:jc w:val="right"/>
              <w:ind w:right="19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8 RECENT ACCOUNTING PRONOUNCEMENTS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January 2016, the Financial Accounting Standards Board (FASB) issued ASU No. 2016-01 “</w:t>
      </w:r>
      <w:r>
        <w:rPr>
          <w:rFonts w:ascii="Arial" w:cs="Arial" w:eastAsia="Arial" w:hAnsi="Arial"/>
          <w:sz w:val="16"/>
          <w:szCs w:val="16"/>
          <w:i w:val="1"/>
          <w:iCs w:val="1"/>
          <w:color w:val="auto"/>
        </w:rPr>
        <w:t>Financial Instruments—Overall (Subtopic 825-10)—</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ASU 2016-01 is intended to improve the recognition and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2016, FASB issued 2016-13, Financial Instruments—Credit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 At this time an additional external advisor has not been contracted with though the Bank has been reviewing the use of external software.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NOTES TO CONDENSED CONSOLIDATED UNAUDITED FINANCIAL STATEMENTS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 8 RECENT ACCOUNTING PRONOUNCEMENTS (Continued)</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2016, the FASB issued ASU No.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assessed ASU 2016-18 and does not expect a material impact on its accounting and disclosures as it currently does not have what would be considered “Restricted cash” at this time.</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2017, the FASB issued ASU No. 2017-01 “</w:t>
      </w:r>
      <w:r>
        <w:rPr>
          <w:rFonts w:ascii="Arial" w:cs="Arial" w:eastAsia="Arial" w:hAnsi="Arial"/>
          <w:sz w:val="18"/>
          <w:szCs w:val="18"/>
          <w:i w:val="1"/>
          <w:iCs w:val="1"/>
          <w:color w:val="auto"/>
        </w:rPr>
        <w:t>Business Combinations (Topic 805) – Clarifying the Definition of a Business.”</w:t>
      </w:r>
      <w:r>
        <w:rPr>
          <w:rFonts w:ascii="Arial" w:cs="Arial" w:eastAsia="Arial" w:hAnsi="Arial"/>
          <w:sz w:val="18"/>
          <w:szCs w:val="18"/>
          <w:color w:val="auto"/>
        </w:rPr>
        <w:t>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assessed ASU 2017-01 and does not expect it to have a material impact on its accounting and disclosures.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 Simplifying the Test for Goodwill Impairment”</w:t>
      </w:r>
      <w:r>
        <w:rPr>
          <w:rFonts w:ascii="Arial" w:cs="Arial" w:eastAsia="Arial" w:hAnsi="Arial"/>
          <w:sz w:val="18"/>
          <w:szCs w:val="18"/>
          <w:color w:val="auto"/>
        </w:rPr>
        <w:t xml:space="preserve">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March 2017, the FASB issued Accounting Standards Update (ASU) No. 2017-08 </w:t>
      </w:r>
      <w:r>
        <w:rPr>
          <w:rFonts w:ascii="Arial" w:cs="Arial" w:eastAsia="Arial" w:hAnsi="Arial"/>
          <w:sz w:val="17"/>
          <w:szCs w:val="17"/>
          <w:i w:val="1"/>
          <w:iCs w:val="1"/>
          <w:color w:val="auto"/>
        </w:rPr>
        <w:t>“Receivables – Nonrefundable Fees and Other Cost (Subtopic 310-20),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Premium Amortization on Purchased Callable Debit Securities.” </w:t>
      </w:r>
      <w:r>
        <w:rPr>
          <w:rFonts w:ascii="Arial" w:cs="Arial" w:eastAsia="Arial" w:hAnsi="Arial"/>
          <w:sz w:val="17"/>
          <w:szCs w:val="17"/>
          <w:color w:val="auto"/>
        </w:rPr>
        <w:t>These amendments shorten the amortization period for certain callable debit securities held</w:t>
      </w:r>
      <w:r>
        <w:rPr>
          <w:rFonts w:ascii="Arial" w:cs="Arial" w:eastAsia="Arial" w:hAnsi="Arial"/>
          <w:sz w:val="17"/>
          <w:szCs w:val="17"/>
          <w:i w:val="1"/>
          <w:iCs w:val="1"/>
          <w:color w:val="auto"/>
        </w:rPr>
        <w:t xml:space="preserve"> </w:t>
      </w:r>
      <w:r>
        <w:rPr>
          <w:rFonts w:ascii="Arial" w:cs="Arial" w:eastAsia="Arial" w:hAnsi="Arial"/>
          <w:sz w:val="17"/>
          <w:szCs w:val="17"/>
          <w:color w:val="auto"/>
        </w:rPr>
        <w:t>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does have exposure and is assessing the impact of ASU 2017-08 and may choose early adoption. Overall, the Company does not expect it to have a material impact on its accounting.</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Scope of Modification Accounting.”</w:t>
      </w:r>
      <w:r>
        <w:rPr>
          <w:rFonts w:ascii="Arial" w:cs="Arial" w:eastAsia="Arial" w:hAnsi="Arial"/>
          <w:sz w:val="17"/>
          <w:szCs w:val="17"/>
          <w:color w:val="auto"/>
        </w:rPr>
        <w:t>These amendments provide guidance on determining which changes to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share-based payment awards require an entity to apply modification accounting under Topic 7l8. The guidance is effective for public business entities for fiscal years, and interim periods within those fiscal years, beginning after December 15, 2017. Early adoption is permitted, including adoption in an interim period. The amendments should be applied on a prospective basis to an award modified on or after the adoption date. The Company adopted ASU 2016-09 on January 1, 2017.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continued to obtain greater visibility with the investment community throughout the third quarter of 2017. On July 26, 2017, the Company rang the opening bell at the NASDAQ ceremony in New York City. The Company is listed under the symbol, FMAO. Being listed on the NASDAQ Capital Market and included in the Russell 3000 Index have caused the liquidity of the stock to improve as measured by the increased average daily volume and may have contributed to a higher market value than before these events took place. The stock price rose to an unprecedented $87.00 per share or $43.50 per share adjusted for the stock split. With the increased market value, the associated expense of the 2017 restricted stock awards will be higher than past years. On August 18, 2017, the Company’s Board of Director’s authorized a two-for-one stock split payable on September 20, 2017 for shareholders of record on September 5, 2017. The Company believes these steps will help with positioning for future strategic opportunities while benefiting shareholders with greater liquidity and enhanced ease of trading.</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continued to emphasize the importance of loan growth to overall profitability for the current year. Third quarter loan growth performance for 2017 was not as strong as the previous third quarter 2016. It did represent a continuation of 2016’s milestone year. The increases in rate by the Federal Reserve which began in December 2016 provided the stimulus for the prime lending rate to be increased by similar amounts. Many of the Bank’s variable loans have now had spread adjustments raising the base rates equivalent to their floors or above. This has resulted in improved asset yield and when coupled with loan growth has increased interest income.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After having a wet planting season throughout the Company’s market area, the weather changed to an erratic rainfall pattern. As we enter the harvest season, crop production will likely be quite variable area to area. The Bank is not overly concerned as our clients remain well capitalized and we have only seen slight decreases in land values.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Unemployment rates remain low throughout the market area and competition for employees is high. Originations of residential mortgage loans slowed for the third quarter 2017 as compared to third quarter 2016.</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Commercial activity remains similar to slightly better than a year ago. Businesses continue to look for additional labor to meet production requirements. The Company continues to see loan growth on the commercial side as clients continue to look for new opportunities as well as referring potential clients to the Company.</w:t>
      </w:r>
    </w:p>
    <w:p>
      <w:pPr>
        <w:spacing w:after="0" w:line="18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Loan growth drove the improvement in net interest income as compared to last year. Net income after taxes ended the third quarter 2017 6.9% above third quarter 2016. The 11.2% increase in net interest income after provision for loan losses was offset by a 9.6% decrease in noninterest income and a 6.3% increase in noninterest expenses which netted a 6.1% increase in earnings per share for the 2017 third quarter as compared to 2016’s third quarter.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twenty-five full service banking offices throughout Northwest Ohio and Northeast Indiana.</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Bank opened an additional office during April of 2016 in Fort Wayne, Indiana and the office is located within the corporation limits of Huntertown, with a Fort Wayne address. The Bank has continued its expansion strategy and the new office is expected to provide new growth opportunities.</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opened its twenty-fourth location in Bowling Green, Ohio in the fourth quarter 2016. It is the second leased office and was renovated to meet the Bank’s needs before opening.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2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NATURE OF ACTIVITIES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Loans above 100% are generally due to additional charges for extended warranties and/or insurance coverage periods for wage or death.</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Livestock and grain up to 80% LTV, crops (insured) up to 75% and Warehouse Receipts up to 87%.</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Maximum LTV of 50% on raw and finished goods.</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17" w:lineRule="exact"/>
        <w:rPr>
          <w:sz w:val="20"/>
          <w:szCs w:val="20"/>
          <w:color w:val="auto"/>
        </w:rPr>
      </w:pPr>
    </w:p>
    <w:p>
      <w:pPr>
        <w:ind w:left="1560" w:hanging="219"/>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New/used vehicles to 100% of wholesale.</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New/Used recreational vehicles and manufactured homes to 80% of wholesale.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Bank’s primary market includes communities located in the Ohio counties of Defiance, Fulton, Henry, Lucas, Williams, Wood and in the Indiana counties of Allen, DeKalb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At September 30, 2017, we had 272 full time equivalent employees. The employees are not represented by a collective bargaining unit. We provide our employees with a comprehensive benefit program, some of which are contributory. We consider our employee relations to be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DEVELOPMENTS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 remains attentive to the current regulatory environment in light of the risk-based approach regulatory agencies use to conduct examinations. The degree of regulatory changes and the complexity of the recent new rules, which lack clarity or guidance on various provisions, and have resulted in uncertainties regarding liability, pose an increased overall risk of noncompliance. Various significant mortgage rules require ongoing monitoring by means of testing, validation of results, additional training, and further research or consultation to assist with ensuring compliance.</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REGULATORY DEVELOPMENTS (Continued)</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Military Lending Act (MLA) requirements have been implemented. The MLA is intended to protect active duty military service members and their dependents from potentially abusive lending practices. These new requirements resulted in expanded coverage of more types of loans. Safe harbor methods to identify covered borrowers who are military service members or their dependents are utilized. Coverage of credit card accounts becomes effective on October 3, 2017.</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reals estate acquired through or in lieu of; loan foreclosures (“OREO Property”) as the accounting areas that require the most subjective or complex judgments, and as such could be the most subject to revision as new information becomes available.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CRITICAL ACCOUNTING POLICIES AND ESTIMATES (Continued)</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September 30, 2017 OREO property holdings were $615 thousand. OREO totaled $774 thousand and $1.4 million as of December 31, 2016 and September 30, 2016 respectively.</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CRITICAL ACCOUNTING POLICIES AND ESTIMATES (Continued)</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plans to continue in its growth mode in 2017 led by loan growth from within our newer markets. The Bank is focused on funding the loan growth with the least expensive source. Growing deposits will also be a focus especially in our newer business checking product lines. These products bundle services and enable customers to choose their desired levels services and offer pricing based on a full relationship and not on just the single account. The Bank was able to grow deposits in the last quarter of 2016 and continued to do so through the first nine months of 2017. The Bank also decreased the level of pledged securities by offering the Insured Cash Sweep, “ICS” product accessed through the Promontory network of financial institutions. This has provided more availability for sales of securities by the Bank if warranted to fund loan growth.</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Liquidity in terms of cash and cash equivalents ended almost $20.8 million higher as of September 30, 2017 than it was at yearend December 31, 2016. A decrease in securities held along with increased deposits funded the $37.0 million increase in net loans since yearend 2016. The largest loan growth occurred in commercial real estate and commercial and industrial portfolios. Agricultural, agricultural real estate and consumer portfolios also experienced increases. The largest decline was in consumer real estate which was due to sales into the secondary market outpacing new originations.</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comparing to the same prior year period, the September 30, 2017 (net of deferred fees and cost) loan balances of $795.2 million accounted for a $58.1 million or 7.9% increase when compared to 2016’s $737.1 million. The year over year improvement was made up of a 17.1% increase in commercial and industrial loans, a 6.5% increase in commercial real estate loans, a 17.2% increase in consumer loans and lastly a combined increase in agricultural related loans (comprised of a 6.9% increase in agricultural real estate loans and 10.0% increase in non-real estate agricultural loans). Consumer real estate loans decreased by 2.4% while Industrial Development Bonds (“IDB’s”) increased 11.3%. The Company credits the growth to a strong team of lenders focused on providing customers valuable localized services and thereby increasing our market share.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breakdown of the loan portfolio by category as of September 30 for the last three years, net of deferred fees and costs.</w:t>
      </w: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900" w:type="dxa"/>
            <w:vAlign w:val="bottom"/>
          </w:tcPr>
          <w:p>
            <w:pPr>
              <w:spacing w:after="0"/>
              <w:rPr>
                <w:sz w:val="10"/>
                <w:szCs w:val="10"/>
                <w:color w:val="auto"/>
              </w:rPr>
            </w:pPr>
          </w:p>
        </w:tc>
        <w:tc>
          <w:tcPr>
            <w:tcW w:w="82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w w:val="87"/>
              </w:rPr>
              <w:t>September-17</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2"/>
              </w:rPr>
              <w:t>September-16</w:t>
            </w:r>
          </w:p>
        </w:tc>
        <w:tc>
          <w:tcPr>
            <w:tcW w:w="56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7"/>
              </w:rPr>
              <w:t>September-15</w:t>
            </w:r>
          </w:p>
        </w:tc>
        <w:tc>
          <w:tcPr>
            <w:tcW w:w="60" w:type="dxa"/>
            <w:vAlign w:val="bottom"/>
          </w:tcPr>
          <w:p>
            <w:pPr>
              <w:spacing w:after="0"/>
              <w:rPr>
                <w:sz w:val="10"/>
                <w:szCs w:val="10"/>
                <w:color w:val="auto"/>
              </w:rPr>
            </w:pPr>
          </w:p>
        </w:tc>
      </w:tr>
      <w:tr>
        <w:trPr>
          <w:trHeight w:val="167"/>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Amount</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83,875</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85,977</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63,571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59,458</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54,950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87,239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79,332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73,310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393,913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369,721</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301,342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124,165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106,061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84,465</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35,887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30,616</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26,458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5,892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6,649</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Loans, net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795,205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737,057</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634,391</w:t>
            </w:r>
          </w:p>
        </w:tc>
        <w:tc>
          <w:tcPr>
            <w:tcW w:w="6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2016 and 2017. The security portfolio decreased $25.7 million in the first nine months 2017 from yearend 2016. The amount of pledged investment securities decreased significantly by $44.9 million as compared to yearend and $108.9 million as compared to September 30, 2016.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if needed to fund loan growth or other initiatives. As of September 30, 2017, pledged investment securities totaled $84.5 million. The current portfolio is in a net unrealized loss position of $1.1 million.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FINANCIAL CONDITION, LIQUIDITY AND CAPITAL RESOURCES (Continued)</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the exception of stock, which is shown as other securities, all of the Company’s security portfolio is categorized as “available for sale” and as such is recorded at fair value.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feels confident that liquidity needs for future growth can be met through additional maturities and/or sales from the security portfolio, increased deposits and additional borrowings. For short term needs, the Bank has $114.8 million of unsecured borrowing capacity through its correspondent banks.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Overall total assets grew 3.2% since yearend 2016 and 4.4% since September 30, 2016. The largest growth was in cash and cash equivalents followed by the loan portfolios.</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Deposits accounted for the largest growth within liabilities, up 7.3% or $61.2 million since yearend and 7.8% or $65.3 million over September 30, 2016 balances. Core deposits continue to drive the increase which provided the greatest benefit for both lower cost of funds and the opportunity to generate additional noninterest income. Compared to previous year and last quarter, a movement of funds from securities sold under agreement to repurchase into interest bearing NOW accounts occurred due to utilization of the ICS product previously mentioned. This growth aided the increased liquidity position and funded the loan growth for the periods along with usage of purchased Federal Funds for daily borrowings.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Shareholders’ equity increased by $7.3 million as of the third quarter of 2017 compared to yearend 2016, as earnings exceeded dividend declarations. Accumulated other comprehensive loss decreased in loss position $1.3 million which encompassed the shift of $47 thousand from unrealized gain to realized gain with the sale of securities since yearend 2016. Dividends paid for the quarter increased from the previous quarter and dividends declared also increased 4.0%. Compared to September 30, 2016, shareholders’ equity increased 4.7% or $5.9 million. Record profits during 2016 were offset by a change in accumulated other comprehensive income related to the available for sale securities portfolio from a gain of $1.6 million to a loss position of $693 thousand as of September 30, 2016 and 2017, respectively. Profits are also higher in 2017 than 2016 by $814 thousand.</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2017, the applicable required capital conservation buffer percentage is 1.25%. The total buffer requirement will increase to 2.5% for calendar year 2019. As of September 30, 2017, the Company and the Bank are both positioned well above the 2019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be well-capitalized in accordance with Federal regulatory capital requirements as the capital ratios below show:</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464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464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365"/>
        </w:trPr>
        <w:tc>
          <w:tcPr>
            <w:tcW w:w="3120" w:type="dxa"/>
            <w:vAlign w:val="bottom"/>
          </w:tcPr>
          <w:p>
            <w:pPr>
              <w:spacing w:after="0"/>
              <w:rPr>
                <w:sz w:val="24"/>
                <w:szCs w:val="24"/>
                <w:color w:val="auto"/>
              </w:rPr>
            </w:pPr>
          </w:p>
        </w:tc>
        <w:tc>
          <w:tcPr>
            <w:tcW w:w="4640" w:type="dxa"/>
            <w:vAlign w:val="bottom"/>
          </w:tcPr>
          <w:p>
            <w:pPr>
              <w:jc w:val="right"/>
              <w:ind w:right="371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Results of Interest Earnings and Expenses for three month periods ended September 30, 2017, 2016 and June 30, 2017.</w:t>
      </w:r>
    </w:p>
    <w:p>
      <w:pPr>
        <w:spacing w:after="0" w:line="24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When comparing third quarter 2017 to third quarter 2016, average loan balances grew $53.5 million. This represented a strong 7.3% increase in a one year time period. Interest income on loan balances also experienced an increase of $918 thousand as compared to the same quarter ended September 30, 2016.</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terms of comparison to second quarter 2017, loan interest income was $427 thousand higher in third quarter 2017. The three months of third quarter 2017 had more days at 92 than second quarter had with 91.</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higher levels of loan interest income helped to offset the loss of interest income from the available-for-sale securities portfolio, which decreased in average balances, whether comparing to last quarter or the previous year. The decreased balances were expected as available for sale securities were used as a source of funds for loan growth. The income associated with the security portfolio decreased by $23 thousand in comparison to second quarter 2017 and increased $5 thousand in comparison to the same third quarter 2016. The benefit of the increase in interest income from loans was well above the loss of interest income from the smaller security portfolio.</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Overall, interest income for the quarter comparisons was higher for third quarter 2017 by 9.9% or $945 thousand as to third quarter 2016 and higher by 4.1% or $411 thousand as to second quarter 2017.</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terms of annualized yield, for the quarter ended September 30, 2017, it was 4.24% which compares to last quarter’s 4.11% and a year ago third quarter ended September 30, 2016 of 4.03%. The following chart demonstrates the value of increased loan balances in the balance sheet mix, even if offset by lower balances in the securities portfolio. The yields on tax-exempt securities and the portion of the tax-exempt IDB loans included in loans have been tax adjusted based on a 34% tax rate in the charts to follow.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559"/>
              <w:spacing w:after="0"/>
              <w:rPr>
                <w:sz w:val="20"/>
                <w:szCs w:val="20"/>
                <w:color w:val="auto"/>
              </w:rPr>
            </w:pPr>
            <w:r>
              <w:rPr>
                <w:rFonts w:ascii="Arial" w:cs="Arial" w:eastAsia="Arial" w:hAnsi="Arial"/>
                <w:sz w:val="14"/>
                <w:szCs w:val="14"/>
                <w:color w:val="auto"/>
                <w:w w:val="93"/>
              </w:rPr>
              <w:t>(In Thousands)</w:t>
            </w:r>
          </w:p>
        </w:tc>
        <w:tc>
          <w:tcPr>
            <w:tcW w:w="5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5"/>
              </w:rPr>
              <w:t>Yield/Rate</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center"/>
              <w:ind w:left="273"/>
              <w:spacing w:after="0" w:line="142" w:lineRule="exact"/>
              <w:rPr>
                <w:sz w:val="20"/>
                <w:szCs w:val="20"/>
                <w:color w:val="auto"/>
              </w:rPr>
            </w:pPr>
            <w:r>
              <w:rPr>
                <w:rFonts w:ascii="Arial" w:cs="Arial" w:eastAsia="Arial" w:hAnsi="Arial"/>
                <w:sz w:val="14"/>
                <w:szCs w:val="14"/>
                <w:color w:val="auto"/>
                <w:w w:val="91"/>
              </w:rPr>
              <w:t>Quarter to Date Ended September 30, 2017</w:t>
            </w:r>
          </w:p>
        </w:tc>
        <w:tc>
          <w:tcPr>
            <w:tcW w:w="5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Average Balance</w:t>
            </w:r>
          </w:p>
        </w:tc>
        <w:tc>
          <w:tcPr>
            <w:tcW w:w="1380" w:type="dxa"/>
            <w:vAlign w:val="bottom"/>
          </w:tcPr>
          <w:p>
            <w:pPr>
              <w:spacing w:after="0"/>
              <w:rPr>
                <w:sz w:val="17"/>
                <w:szCs w:val="17"/>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Interest/Dividends</w:t>
            </w:r>
          </w:p>
        </w:tc>
        <w:tc>
          <w:tcPr>
            <w:tcW w:w="1820" w:type="dxa"/>
            <w:vAlign w:val="bottom"/>
            <w:gridSpan w:val="2"/>
          </w:tcPr>
          <w:p>
            <w:pPr>
              <w:jc w:val="right"/>
              <w:ind w:right="588"/>
              <w:spacing w:after="0"/>
              <w:rPr>
                <w:sz w:val="20"/>
                <w:szCs w:val="20"/>
                <w:color w:val="auto"/>
              </w:rPr>
            </w:pPr>
            <w:r>
              <w:rPr>
                <w:rFonts w:ascii="Arial" w:cs="Arial" w:eastAsia="Arial" w:hAnsi="Arial"/>
                <w:sz w:val="14"/>
                <w:szCs w:val="14"/>
                <w:color w:val="auto"/>
                <w:w w:val="89"/>
              </w:rPr>
              <w:t>September 30, 2017</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3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790,397</w:t>
            </w:r>
          </w:p>
        </w:tc>
        <w:tc>
          <w:tcPr>
            <w:tcW w:w="1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58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4.83%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146,731</w:t>
            </w: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690</w:t>
            </w:r>
          </w:p>
        </w:tc>
        <w:tc>
          <w:tcPr>
            <w:tcW w:w="1820" w:type="dxa"/>
            <w:vAlign w:val="bottom"/>
            <w:gridSpan w:val="2"/>
          </w:tcPr>
          <w:p>
            <w:pPr>
              <w:jc w:val="right"/>
              <w:ind w:right="448"/>
              <w:spacing w:after="0"/>
              <w:rPr>
                <w:sz w:val="20"/>
                <w:szCs w:val="20"/>
                <w:color w:val="auto"/>
              </w:rPr>
            </w:pPr>
            <w:r>
              <w:rPr>
                <w:rFonts w:ascii="Arial" w:cs="Arial" w:eastAsia="Arial" w:hAnsi="Arial"/>
                <w:sz w:val="18"/>
                <w:szCs w:val="18"/>
                <w:color w:val="auto"/>
              </w:rPr>
              <w:t>1.88%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51,668</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254</w:t>
            </w:r>
          </w:p>
        </w:tc>
        <w:tc>
          <w:tcPr>
            <w:tcW w:w="18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2.98%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17,504</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820" w:type="dxa"/>
            <w:vAlign w:val="bottom"/>
            <w:gridSpan w:val="2"/>
          </w:tcPr>
          <w:p>
            <w:pPr>
              <w:jc w:val="right"/>
              <w:ind w:right="448"/>
              <w:spacing w:after="0"/>
              <w:rPr>
                <w:sz w:val="20"/>
                <w:szCs w:val="20"/>
                <w:color w:val="auto"/>
              </w:rPr>
            </w:pPr>
            <w:r>
              <w:rPr>
                <w:rFonts w:ascii="Arial" w:cs="Arial" w:eastAsia="Arial" w:hAnsi="Arial"/>
                <w:sz w:val="18"/>
                <w:szCs w:val="18"/>
                <w:color w:val="auto"/>
              </w:rPr>
              <w:t>1.01%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1,006,300</w:t>
            </w: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10,535</w:t>
            </w:r>
          </w:p>
        </w:tc>
        <w:tc>
          <w:tcPr>
            <w:tcW w:w="182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 in Quarter to Date September 30, 2017 Interest Income Compared to September 30, 2016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vMerge w:val="restart"/>
          </w:tcPr>
          <w:p>
            <w:pPr>
              <w:spacing w:after="0"/>
              <w:rPr>
                <w:sz w:val="20"/>
                <w:szCs w:val="20"/>
                <w:color w:val="auto"/>
              </w:rPr>
            </w:pPr>
            <w:r>
              <w:rPr>
                <w:rFonts w:ascii="Arial" w:cs="Arial" w:eastAsia="Arial" w:hAnsi="Arial"/>
                <w:sz w:val="18"/>
                <w:szCs w:val="18"/>
                <w:color w:val="auto"/>
              </w:rPr>
              <w:t>Interest Earning Assets: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w w:val="96"/>
              </w:rPr>
              <w:t>Due to</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7"/>
                <w:szCs w:val="17"/>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2"/>
              </w:rPr>
              <w:t>Volume</w:t>
            </w:r>
          </w:p>
        </w:tc>
        <w:tc>
          <w:tcPr>
            <w:tcW w:w="140" w:type="dxa"/>
            <w:vAlign w:val="bottom"/>
          </w:tcPr>
          <w:p>
            <w:pPr>
              <w:spacing w:after="0"/>
              <w:rPr>
                <w:sz w:val="17"/>
                <w:szCs w:val="17"/>
                <w:color w:val="auto"/>
              </w:rPr>
            </w:pPr>
          </w:p>
        </w:tc>
        <w:tc>
          <w:tcPr>
            <w:tcW w:w="4680" w:type="dxa"/>
            <w:vAlign w:val="bottom"/>
            <w:gridSpan w:val="2"/>
          </w:tcPr>
          <w:p>
            <w:pPr>
              <w:jc w:val="right"/>
              <w:ind w:right="3940"/>
              <w:spacing w:after="0"/>
              <w:rPr>
                <w:sz w:val="20"/>
                <w:szCs w:val="20"/>
                <w:color w:val="auto"/>
              </w:rPr>
            </w:pPr>
            <w:r>
              <w:rPr>
                <w:rFonts w:ascii="Arial" w:cs="Arial" w:eastAsia="Arial" w:hAnsi="Arial"/>
                <w:sz w:val="14"/>
                <w:szCs w:val="14"/>
                <w:color w:val="auto"/>
                <w:w w:val="96"/>
              </w:rPr>
              <w:t>Due to Rate</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$ 646</w:t>
            </w:r>
          </w:p>
        </w:tc>
        <w:tc>
          <w:tcPr>
            <w:tcW w:w="5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Taxable Investment Securities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Tax-exempt Investment Securities</w:t>
            </w:r>
          </w:p>
        </w:tc>
        <w:tc>
          <w:tcPr>
            <w:tcW w:w="1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4680" w:type="dxa"/>
            <w:vAlign w:val="bottom"/>
            <w:gridSpan w:val="2"/>
          </w:tcPr>
          <w:p>
            <w:pPr>
              <w:jc w:val="right"/>
              <w:ind w:right="37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Fed Funds Sold &amp; Interest Bearing Deposits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ind w:right="37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Interest Earning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$ 560</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Offsetting some of the increase in interest income for the quarter was the increase in cost of funds in 2017. Third quarter 2017 was higher by $234 thousand than third quarter 2016. Since 2016, average interest-bearing deposit balances have increased $39.3 million and resulted in $214 thousand more in interest expense for the most recent quarter. Additionally, interest expense on Fed Funds Purchased, Securities Sold Under Agreement to Repurchase and FHLB borrowings increased $20 thousand in the third quarter 2017 over the same time frame in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4"/>
                <w:szCs w:val="14"/>
                <w:color w:val="auto"/>
                <w:w w:val="93"/>
              </w:rPr>
              <w:t>(In Thousands)</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2"/>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74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color w:val="auto"/>
                <w:w w:val="91"/>
              </w:rPr>
              <w:t>Quarter to Date Ended September 30, 2017</w:t>
            </w:r>
          </w:p>
        </w:tc>
        <w:tc>
          <w:tcPr>
            <w:tcW w:w="4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Bearing Liabilities:</w:t>
            </w:r>
          </w:p>
        </w:tc>
        <w:tc>
          <w:tcPr>
            <w:tcW w:w="70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Average</w:t>
            </w:r>
          </w:p>
        </w:tc>
        <w:tc>
          <w:tcPr>
            <w:tcW w:w="14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0"/>
                <w:szCs w:val="10"/>
                <w:color w:val="auto"/>
              </w:rPr>
            </w:pPr>
          </w:p>
        </w:tc>
        <w:tc>
          <w:tcPr>
            <w:tcW w:w="1460" w:type="dxa"/>
            <w:vAlign w:val="bottom"/>
            <w:gridSpan w:val="2"/>
          </w:tcPr>
          <w:p>
            <w:pPr>
              <w:jc w:val="center"/>
              <w:ind w:right="548"/>
              <w:spacing w:after="0" w:line="123" w:lineRule="exact"/>
              <w:rPr>
                <w:sz w:val="20"/>
                <w:szCs w:val="20"/>
                <w:color w:val="auto"/>
              </w:rPr>
            </w:pPr>
            <w:r>
              <w:rPr>
                <w:rFonts w:ascii="Arial" w:cs="Arial" w:eastAsia="Arial" w:hAnsi="Arial"/>
                <w:sz w:val="14"/>
                <w:szCs w:val="14"/>
                <w:color w:val="auto"/>
                <w:w w:val="91"/>
              </w:rPr>
              <w:t>September 30,</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Balance</w:t>
            </w:r>
          </w:p>
        </w:tc>
        <w:tc>
          <w:tcPr>
            <w:tcW w:w="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Dividends</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$513,595</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0.47%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185,113</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552</w:t>
            </w:r>
          </w:p>
        </w:tc>
        <w:tc>
          <w:tcPr>
            <w:tcW w:w="1460" w:type="dxa"/>
            <w:vAlign w:val="bottom"/>
            <w:gridSpan w:val="2"/>
          </w:tcPr>
          <w:p>
            <w:pPr>
              <w:jc w:val="right"/>
              <w:ind w:right="408"/>
              <w:spacing w:after="0"/>
              <w:rPr>
                <w:sz w:val="20"/>
                <w:szCs w:val="20"/>
                <w:color w:val="auto"/>
              </w:rPr>
            </w:pPr>
            <w:r>
              <w:rPr>
                <w:rFonts w:ascii="Arial" w:cs="Arial" w:eastAsia="Arial" w:hAnsi="Arial"/>
                <w:sz w:val="18"/>
                <w:szCs w:val="18"/>
                <w:color w:val="auto"/>
              </w:rPr>
              <w:t>1.19%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 under Agreement to Repurch.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35,859</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744,567</w:t>
            </w:r>
          </w:p>
        </w:tc>
        <w:tc>
          <w:tcPr>
            <w:tcW w:w="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1,333</w:t>
            </w:r>
          </w:p>
        </w:tc>
        <w:tc>
          <w:tcPr>
            <w:tcW w:w="480" w:type="dxa"/>
            <w:vAlign w:val="bottom"/>
            <w:vMerge w:val="continue"/>
          </w:tcPr>
          <w:p>
            <w:pPr>
              <w:spacing w:after="0"/>
              <w:rPr>
                <w:sz w:val="19"/>
                <w:szCs w:val="19"/>
                <w:color w:val="auto"/>
              </w:rPr>
            </w:pPr>
          </w:p>
        </w:tc>
        <w:tc>
          <w:tcPr>
            <w:tcW w:w="1460" w:type="dxa"/>
            <w:vAlign w:val="bottom"/>
            <w:gridSpan w:val="2"/>
          </w:tcPr>
          <w:p>
            <w:pPr>
              <w:jc w:val="right"/>
              <w:ind w:right="408"/>
              <w:spacing w:after="0"/>
              <w:rPr>
                <w:sz w:val="20"/>
                <w:szCs w:val="20"/>
                <w:color w:val="auto"/>
              </w:rPr>
            </w:pPr>
            <w:r>
              <w:rPr>
                <w:rFonts w:ascii="Arial" w:cs="Arial" w:eastAsia="Arial" w:hAnsi="Arial"/>
                <w:sz w:val="18"/>
                <w:szCs w:val="18"/>
                <w:color w:val="auto"/>
              </w:rPr>
              <w:t>0.72%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Change in Quarter to Date September 30, 2017 Interest Expense Compared to September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Bearing Liabilities: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Due to</w:t>
            </w:r>
          </w:p>
        </w:tc>
        <w:tc>
          <w:tcPr>
            <w:tcW w:w="100" w:type="dxa"/>
            <w:vAlign w:val="bottom"/>
          </w:tcPr>
          <w:p>
            <w:pPr>
              <w:spacing w:after="0"/>
              <w:rPr>
                <w:sz w:val="14"/>
                <w:szCs w:val="14"/>
                <w:color w:val="auto"/>
              </w:rPr>
            </w:pPr>
          </w:p>
        </w:tc>
        <w:tc>
          <w:tcPr>
            <w:tcW w:w="3480" w:type="dxa"/>
            <w:vAlign w:val="bottom"/>
            <w:gridSpan w:val="2"/>
          </w:tcPr>
          <w:p>
            <w:pPr>
              <w:jc w:val="center"/>
              <w:ind w:right="3080"/>
              <w:spacing w:after="0"/>
              <w:rPr>
                <w:sz w:val="20"/>
                <w:szCs w:val="20"/>
                <w:color w:val="auto"/>
              </w:rPr>
            </w:pPr>
            <w:r>
              <w:rPr>
                <w:rFonts w:ascii="Arial" w:cs="Arial" w:eastAsia="Arial" w:hAnsi="Arial"/>
                <w:sz w:val="14"/>
                <w:szCs w:val="14"/>
                <w:color w:val="auto"/>
                <w:w w:val="96"/>
              </w:rPr>
              <w:t>Due to</w:t>
            </w:r>
          </w:p>
        </w:tc>
        <w:tc>
          <w:tcPr>
            <w:tcW w:w="0" w:type="dxa"/>
            <w:vAlign w:val="bottom"/>
          </w:tcPr>
          <w:p>
            <w:pPr>
              <w:spacing w:after="0"/>
              <w:rPr>
                <w:sz w:val="1"/>
                <w:szCs w:val="1"/>
                <w:color w:val="auto"/>
              </w:rPr>
            </w:pPr>
          </w:p>
        </w:tc>
      </w:tr>
      <w:tr>
        <w:trPr>
          <w:trHeight w:val="167"/>
        </w:trPr>
        <w:tc>
          <w:tcPr>
            <w:tcW w:w="5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Change</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Volume</w:t>
            </w:r>
          </w:p>
        </w:tc>
        <w:tc>
          <w:tcPr>
            <w:tcW w:w="100" w:type="dxa"/>
            <w:vAlign w:val="bottom"/>
          </w:tcPr>
          <w:p>
            <w:pPr>
              <w:spacing w:after="0"/>
              <w:rPr>
                <w:sz w:val="14"/>
                <w:szCs w:val="14"/>
                <w:color w:val="auto"/>
              </w:rPr>
            </w:pPr>
          </w:p>
        </w:tc>
        <w:tc>
          <w:tcPr>
            <w:tcW w:w="3480" w:type="dxa"/>
            <w:vAlign w:val="bottom"/>
            <w:gridSpan w:val="2"/>
          </w:tcPr>
          <w:p>
            <w:pPr>
              <w:jc w:val="center"/>
              <w:ind w:right="3080"/>
              <w:spacing w:after="0"/>
              <w:rPr>
                <w:sz w:val="20"/>
                <w:szCs w:val="20"/>
                <w:color w:val="auto"/>
              </w:rPr>
            </w:pPr>
            <w:r>
              <w:rPr>
                <w:rFonts w:ascii="Arial" w:cs="Arial" w:eastAsia="Arial" w:hAnsi="Arial"/>
                <w:sz w:val="14"/>
                <w:szCs w:val="14"/>
                <w:color w:val="auto"/>
                <w:w w:val="94"/>
              </w:rPr>
              <w:t>Rate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9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Time Deposits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3480" w:type="dxa"/>
            <w:vAlign w:val="bottom"/>
            <w:gridSpan w:val="2"/>
          </w:tcPr>
          <w:p>
            <w:pPr>
              <w:jc w:val="right"/>
              <w:ind w:right="29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 under Agreement to Repurch.</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9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Overall, net interest spread for the third quarter 2017 is higher than last year and up from last quarter. As the chart below illustrates, higher yields on interest and dividend income did offset the higher interest expense in the most recent quarter when comparing to the same period a year ago or to the previous quarter. Interest expense for the quarter as compared to last quarter increased by $80 thousand, some of which can be attributed to a higher number of days in the current quarter compared to the last quarter.</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Second quarter 2017 recorded an asset yield of 4.11% for the quarter with cost of funds at 0.68%. Net interest spread and margin for second quarter 2017 were lower at 3.43% and 3.61% respectively as compared to current quarter shown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6/30/2017</w:t>
            </w:r>
          </w:p>
        </w:tc>
        <w:tc>
          <w:tcPr>
            <w:tcW w:w="4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6/30/2016</w:t>
            </w:r>
          </w:p>
        </w:tc>
        <w:tc>
          <w:tcPr>
            <w:tcW w:w="3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6/30/2015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2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2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0.72%</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0.60%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interest income was up $711 thousand for the third quarter 2017 over the same time frame in 2016 due to the increase in loan interest income and partially offset by higher interest expense, as previously mentioned. There has also been a $331 thousand increase in net interest income over second quarter 2017. As the new loans added in 2016 and 2017 generate more income, management expects the benefits of the Company’s strategy of repositioning the balance sheet to continue to widen this margin as measured in dollars.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will now be separated into two distinct quarter discussions – third quarter comparisons and the two most recent quarter comparisons.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Noninterest Results of Operations – Third Quarter 2017 to Third Quarter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Expense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ALLL is attributed to each class of the loan portfolio, as well as the percent that each particular class of the loan portfolio represents to the entire loan portfolio in the aggregate. The consumer and consumer real estate loan portfolio accounted for the largest component of charge-offs and recoveries for third quarter of 2017 and 2016. As was mentioned in previous discussion, the commercial real estate portfolio is currently creating a large impact on the ALLL due to the loan growth.</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Total provision for loan losses was $209 thousand lower for the third quarter 2017 as compared to the same quarter 2016. Management continues to monitor asset quality, making adjustments to the provision as necessary. Loan charge-offs were $107 thousand higher in third quarter 2016 than the same quarter 2017, recoveries were higher by $5 thousand. Combined net charge-offs were $102 thousand lower in third quarter 2017 than same time period 2016. Past due loans increased $553 thousand from September 30, 2017 as compared to September 30, 2016. The majority of the change is attributed to the increase of past due balances in the consumer real estate, agricultural, and agricultural real estate portfolios while the commercial real estate portfolio decreased.</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2017, 2016, and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2"/>
              </w:rPr>
              <w:t>Three</w:t>
            </w:r>
          </w:p>
        </w:tc>
        <w:tc>
          <w:tcPr>
            <w:tcW w:w="140" w:type="dxa"/>
            <w:vAlign w:val="bottom"/>
          </w:tcPr>
          <w:p>
            <w:pPr>
              <w:spacing w:after="0"/>
              <w:rPr>
                <w:sz w:val="10"/>
                <w:szCs w:val="10"/>
                <w:color w:val="auto"/>
              </w:rPr>
            </w:pPr>
          </w:p>
        </w:tc>
        <w:tc>
          <w:tcPr>
            <w:tcW w:w="104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2"/>
              </w:rPr>
              <w:t>Three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52"/>
              <w:spacing w:after="0" w:line="123" w:lineRule="exact"/>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Months</w:t>
            </w:r>
          </w:p>
        </w:tc>
        <w:tc>
          <w:tcPr>
            <w:tcW w:w="14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Months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8"/>
              </w:rPr>
              <w:t>Ended</w:t>
            </w:r>
          </w:p>
        </w:tc>
        <w:tc>
          <w:tcPr>
            <w:tcW w:w="14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3"/>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color w:val="auto"/>
              </w:rPr>
              <w:t>September-17</w:t>
            </w:r>
          </w:p>
        </w:tc>
        <w:tc>
          <w:tcPr>
            <w:tcW w:w="1180" w:type="dxa"/>
            <w:vAlign w:val="bottom"/>
            <w:gridSpan w:val="3"/>
          </w:tcPr>
          <w:p>
            <w:pPr>
              <w:spacing w:after="0"/>
              <w:rPr>
                <w:sz w:val="20"/>
                <w:szCs w:val="20"/>
                <w:color w:val="auto"/>
              </w:rPr>
            </w:pPr>
            <w:r>
              <w:rPr>
                <w:rFonts w:ascii="Arial" w:cs="Arial" w:eastAsia="Arial" w:hAnsi="Arial"/>
                <w:sz w:val="14"/>
                <w:szCs w:val="14"/>
                <w:color w:val="auto"/>
              </w:rPr>
              <w:t>September-16</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September-15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795,205</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737,057</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634,391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790,397</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736,924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627,677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Losses-Jul 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Loans Charged off:</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Agriculture Real Estate</w:t>
            </w:r>
          </w:p>
        </w:tc>
        <w:tc>
          <w:tcPr>
            <w:tcW w:w="1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Loan Recoveries: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Agriculture Real Estate</w:t>
            </w:r>
          </w:p>
        </w:tc>
        <w:tc>
          <w:tcPr>
            <w:tcW w:w="1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Charge Offs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Acquisition provision for loan loss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Sept 30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6,870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Allowance for Unfunded Loan Commitments &amp; Letters of Credit - Sept 30</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 - Sept 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397.35%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charge-offs may be realized as further unsecured positions are recognized.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Loans classified as nonaccrual were higher as of September 30, 2017 at $1.7 million compared to $1.1 million as of September 30, 2016.</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balances for allowance of loan losses by loan type for nine months ended September 30, 2017 and September 30,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color w:val="auto"/>
                <w:w w:val="91"/>
              </w:rPr>
              <w:t>(In Thousands)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color w:val="auto"/>
                <w:w w:val="91"/>
              </w:rPr>
              <w:t>(In Thousands)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September-2017</w:t>
            </w:r>
          </w:p>
        </w:tc>
        <w:tc>
          <w:tcPr>
            <w:tcW w:w="52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1"/>
              </w:rPr>
              <w:t>% of Loan</w:t>
            </w:r>
          </w:p>
        </w:tc>
        <w:tc>
          <w:tcPr>
            <w:tcW w:w="28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September-2016</w:t>
            </w:r>
          </w:p>
        </w:tc>
        <w:tc>
          <w:tcPr>
            <w:tcW w:w="52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1"/>
              </w:rPr>
              <w:t>% of Loan</w:t>
            </w:r>
          </w:p>
        </w:tc>
        <w:tc>
          <w:tcPr>
            <w:tcW w:w="0" w:type="dxa"/>
            <w:vAlign w:val="bottom"/>
          </w:tcPr>
          <w:p>
            <w:pPr>
              <w:spacing w:after="0"/>
              <w:rPr>
                <w:sz w:val="1"/>
                <w:szCs w:val="1"/>
                <w:color w:val="auto"/>
              </w:rPr>
            </w:pPr>
          </w:p>
        </w:tc>
      </w:tr>
      <w:tr>
        <w:trPr>
          <w:trHeight w:val="110"/>
        </w:trPr>
        <w:tc>
          <w:tcPr>
            <w:tcW w:w="4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color w:val="auto"/>
                <w:w w:val="95"/>
              </w:rPr>
              <w:t>Amount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w w:val="94"/>
              </w:rPr>
              <w:t>Category</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color w:val="auto"/>
                <w:w w:val="95"/>
              </w:rPr>
              <w:t>Amount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Category</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1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276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10.64</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286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248</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Agricultural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613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580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1,392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1,195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Unallocated</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5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5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6,870</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6,612</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9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7,098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6,839</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Noninterest income was down $280 thousand for the third quarter 2017 over the same time frame in 2016. The Company has seen a decrease in its mortgage production volume and as a result the gain on the sale of these loans was $35 thousand lower for the third quarter 2017 over the same period in 2016. Loan originations on loans held for sale for the third quarter 2017 were $12.4 million with proceeds from sale at $12.9 million for 2017 which was less than 2016’s third quarter activity of $16.8 million in originations and $16.9 million in sales. The net result of the activity was 2017 had $35 thousand less revenue on gain of sale on the quarter. The Company was able to better take advantage of market fluctuations in its available-for-sale portfolio and sales on securities in third quarter 2016 than third quarter 2017. The gain was $47 thousand lower in the most recent quarter than the same quarter prior year. The next largest fluctuation in noninterest income was in the combined service fee lines, which was $198 thousand higher than the same quarter last year.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2017, mortgage servicing rights caused a net $34 thousand in income, in comparison to a breakeven for the third quarter of 2016. The higher capitalized additions for 2017 are attributed to a higher mortgage servicing rights value being applied to originations of 1-4 families in 2017 as compared to 2016. For loans of 15 years and less, the value was .927% in the third quarter 2017 versus .821% in third quarter 2016. For loans over 15 years, the value was 1.137% versus 1.029% for the same periods respectively. The carrying value is well below the market value of $3.1 million which indicates any large expense to fund the valuation allowance to be unlikely in 2017.</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(In Thousands)</w:t>
            </w: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4"/>
          </w:tcPr>
          <w:p>
            <w:pPr>
              <w:spacing w:after="0" w:line="142" w:lineRule="exact"/>
              <w:rPr>
                <w:sz w:val="20"/>
                <w:szCs w:val="20"/>
                <w:color w:val="auto"/>
              </w:rPr>
            </w:pPr>
            <w:r>
              <w:rPr>
                <w:rFonts w:ascii="Arial" w:cs="Arial" w:eastAsia="Arial" w:hAnsi="Arial"/>
                <w:sz w:val="14"/>
                <w:szCs w:val="14"/>
                <w:color w:val="auto"/>
              </w:rPr>
              <w:t>September 30, 2017</w:t>
            </w:r>
          </w:p>
        </w:tc>
        <w:tc>
          <w:tcPr>
            <w:tcW w:w="1160" w:type="dxa"/>
            <w:vAlign w:val="bottom"/>
            <w:gridSpan w:val="2"/>
          </w:tcPr>
          <w:p>
            <w:pPr>
              <w:spacing w:after="0" w:line="142" w:lineRule="exact"/>
              <w:rPr>
                <w:sz w:val="20"/>
                <w:szCs w:val="20"/>
                <w:color w:val="auto"/>
              </w:rPr>
            </w:pPr>
            <w:r>
              <w:rPr>
                <w:rFonts w:ascii="Arial" w:cs="Arial" w:eastAsia="Arial" w:hAnsi="Arial"/>
                <w:sz w:val="14"/>
                <w:szCs w:val="14"/>
                <w:color w:val="auto"/>
                <w:w w:val="89"/>
              </w:rPr>
              <w:t>September 30, 2016</w:t>
            </w:r>
          </w:p>
        </w:tc>
        <w:tc>
          <w:tcPr>
            <w:tcW w:w="100" w:type="dxa"/>
            <w:vAlign w:val="bottom"/>
          </w:tcPr>
          <w:p>
            <w:pPr>
              <w:spacing w:after="0"/>
              <w:rPr>
                <w:sz w:val="12"/>
                <w:szCs w:val="12"/>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Capitalized Additions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828"/>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Mortgage Servicing Rights, net September 30</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third quarter 2017, noninterest expenses were $435 thousand higher than for the same quarter in 2016. Salaries, wages, and employee benefits increased $349 thousand, with the addition of the Huntertown and Bowling Green offices, and normal merit increases. Data processing charges decreased $60 thousand for third quarter 2017 compared to the third quarter 2016. Two reasons for the improvement was the negotiation of an extended contract with our core processor and 2016 had the additional cost of upgrading Bank customer debit cards to incorporate EMV chip card technology. Both already better align with our future strategies while controlling costs. General and administrative expenses were up $72 thousand compared to third quarter 2016 with no one item noteworthy.</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Results overall, net income in the third quarter of 2017 was up $207 thousand as compared to the same quarter last year. The Company has done an exceptional job of growing loans while keeping past dues low. The Company remains strong, stable, and well capitalized and has the capacity to continue to cover the increased costs of expansion and doing business in a less than robust economy.</w:t>
      </w:r>
    </w:p>
    <w:p>
      <w:pPr>
        <w:spacing w:after="0" w:line="285" w:lineRule="exact"/>
        <w:rPr>
          <w:sz w:val="20"/>
          <w:szCs w:val="20"/>
          <w:color w:val="auto"/>
        </w:rPr>
      </w:pPr>
    </w:p>
    <w:p>
      <w:pPr>
        <w:ind w:right="4040"/>
        <w:spacing w:after="0" w:line="378" w:lineRule="auto"/>
        <w:rPr>
          <w:sz w:val="20"/>
          <w:szCs w:val="20"/>
          <w:color w:val="auto"/>
        </w:rPr>
      </w:pPr>
      <w:r>
        <w:rPr>
          <w:rFonts w:ascii="Arial" w:cs="Arial" w:eastAsia="Arial" w:hAnsi="Arial"/>
          <w:sz w:val="18"/>
          <w:szCs w:val="18"/>
          <w:b w:val="1"/>
          <w:bCs w:val="1"/>
          <w:color w:val="auto"/>
        </w:rPr>
        <w:t xml:space="preserve">Comparison of Noninterest Results of Operations – Third Quarter 2017 to Second Quarter 2017 </w:t>
      </w:r>
      <w:r>
        <w:rPr>
          <w:rFonts w:ascii="Arial" w:cs="Arial" w:eastAsia="Arial" w:hAnsi="Arial"/>
          <w:sz w:val="18"/>
          <w:szCs w:val="18"/>
          <w:color w:val="auto"/>
        </w:rPr>
        <w:t>Provision Expense</w:t>
      </w:r>
    </w:p>
    <w:p>
      <w:pPr>
        <w:ind w:right="300"/>
        <w:spacing w:after="0" w:line="259" w:lineRule="auto"/>
        <w:rPr>
          <w:sz w:val="20"/>
          <w:szCs w:val="20"/>
          <w:color w:val="auto"/>
        </w:rPr>
      </w:pPr>
      <w:r>
        <w:rPr>
          <w:rFonts w:ascii="Arial" w:cs="Arial" w:eastAsia="Arial" w:hAnsi="Arial"/>
          <w:sz w:val="18"/>
          <w:szCs w:val="18"/>
          <w:color w:val="auto"/>
        </w:rPr>
        <w:t>Total provision for loan losses was $74 thousand higher for third quarter 2017 than for second quarter 2017. Loan growth continued in the third quarter, in addition to strong asset quality. The strong asset quality and low net charge-offs offset any need for additional provision above the $99 thousand that was expensed. Since the second quarter 2017, past due loans have increased by $454 thousand. Though, net charge-offs were higher at $87 thousand for third quarter 2017 compared to second quarter 2017’s $17 thousand.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Noninterest income for the third quarter 2017 was lower than the second quarter by $138 thousand. The decrease is attributed to lower total service fees and charges of $85 thousand along with a decrease in net gain on sale of loans and net gain on sale of available for sale securities of $37 thousand and $16 thousand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the third quarter 2017, noninterest expenses were $259 thousand higher than in second quarter 2017. Mortgage servicing rights amortization was $12 thousand lower than last quarter. Salaries and wages increased by $99 thousand from the previous quarter. Employee benefits increased by $160 thousand over the previous quarter due to increased medical claims.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occupancy expenses increased from the previous quarter by $60 thousand. The increase is primarily attributed to the decrease in brokerage commission of $49 thousand over second quarter 2017.</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was down by $42 thousand over second quarter; however, the Company has seen increased cost resulting from Bancorp stock activity.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Overall, net income for the third quarter of 2017 was lower by $1 thousand as compared to the second quarter of 2017. The Company has done an exceptional job of growing loans while keeping past dues low. The growth in loans has spurred the large increase in net interest income that has flowed through to the bottom line. The opening of the new offices may create a slight drag in the short run; however, the Company remains focused on the long term.</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5" w:lineRule="exact"/>
        <w:rPr>
          <w:sz w:val="20"/>
          <w:szCs w:val="20"/>
          <w:color w:val="auto"/>
        </w:rPr>
      </w:pPr>
    </w:p>
    <w:p>
      <w:pPr>
        <w:ind w:right="4600"/>
        <w:spacing w:after="0" w:line="378" w:lineRule="auto"/>
        <w:rPr>
          <w:sz w:val="20"/>
          <w:szCs w:val="20"/>
          <w:color w:val="auto"/>
        </w:rPr>
      </w:pPr>
      <w:r>
        <w:rPr>
          <w:rFonts w:ascii="Arial" w:cs="Arial" w:eastAsia="Arial" w:hAnsi="Arial"/>
          <w:sz w:val="18"/>
          <w:szCs w:val="18"/>
          <w:b w:val="1"/>
          <w:bCs w:val="1"/>
          <w:color w:val="auto"/>
        </w:rPr>
        <w:t xml:space="preserve">Comparison of Results of Operation for year to date ended September 30, 2017 and 2016 </w:t>
      </w:r>
      <w:r>
        <w:rPr>
          <w:rFonts w:ascii="Arial" w:cs="Arial" w:eastAsia="Arial" w:hAnsi="Arial"/>
          <w:sz w:val="18"/>
          <w:szCs w:val="18"/>
          <w:color w:val="auto"/>
        </w:rPr>
        <w:t>Interest Income</w:t>
      </w:r>
    </w:p>
    <w:p>
      <w:pPr>
        <w:ind w:right="220"/>
        <w:spacing w:after="0" w:line="302" w:lineRule="auto"/>
        <w:rPr>
          <w:sz w:val="20"/>
          <w:szCs w:val="20"/>
          <w:color w:val="auto"/>
        </w:rPr>
      </w:pPr>
      <w:r>
        <w:rPr>
          <w:rFonts w:ascii="Arial" w:cs="Arial" w:eastAsia="Arial" w:hAnsi="Arial"/>
          <w:sz w:val="16"/>
          <w:szCs w:val="16"/>
          <w:color w:val="auto"/>
        </w:rPr>
        <w:t>Higher loan balances created the improvement in the interest income for the nine months ended September 30, 2017 as compared to the nine months ended September 30, 2016. Interest income rose 8.6% or $2.4 million while interest income from loans accounted for the majority of the increase. Offsetting the improvement from loans was a decrease in securities income of $28 thousand. The change in the balance sheet mix along with the loan growth caused the asset yield to improve by 12 basis points to 4.12% for the year to date 2017 compared to the same year to date 2016’s 4.0%.</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With each quarter of 2017, the loan growth contributes to the continued improvement in asset yield. The growth factor contribution is shown in the charts which follow. Improvement in loan interest income far outweighs the loss of investment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average interest earning asset base was $49.0 million higher in third quarter 2017 than for third quarter 2016, an increase of approximately 5.2%.</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in the charts to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3"/>
          </w:tcPr>
          <w:p>
            <w:pPr>
              <w:jc w:val="right"/>
              <w:ind w:right="1520"/>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5"/>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Borders>
              <w:top w:val="single" w:sz="8" w:color="auto"/>
              <w:bottom w:val="single" w:sz="8" w:color="auto"/>
            </w:tcBorders>
            <w:gridSpan w:val="4"/>
          </w:tcPr>
          <w:p>
            <w:pPr>
              <w:ind w:left="280"/>
              <w:spacing w:after="0" w:line="142" w:lineRule="exact"/>
              <w:rPr>
                <w:sz w:val="20"/>
                <w:szCs w:val="20"/>
                <w:color w:val="auto"/>
              </w:rPr>
            </w:pPr>
            <w:r>
              <w:rPr>
                <w:rFonts w:ascii="Arial" w:cs="Arial" w:eastAsia="Arial" w:hAnsi="Arial"/>
                <w:sz w:val="14"/>
                <w:szCs w:val="14"/>
                <w:color w:val="auto"/>
              </w:rPr>
              <w:t>Year to Date Ended September 30, 2017</w:t>
            </w:r>
          </w:p>
        </w:tc>
        <w:tc>
          <w:tcPr>
            <w:tcW w:w="5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Interest Earning Assets:</w:t>
            </w:r>
          </w:p>
        </w:tc>
        <w:tc>
          <w:tcPr>
            <w:tcW w:w="1140" w:type="dxa"/>
            <w:vAlign w:val="bottom"/>
          </w:tcPr>
          <w:p>
            <w:pPr>
              <w:spacing w:after="0"/>
              <w:rPr>
                <w:sz w:val="10"/>
                <w:szCs w:val="10"/>
                <w:color w:val="auto"/>
              </w:rPr>
            </w:pPr>
          </w:p>
        </w:tc>
        <w:tc>
          <w:tcPr>
            <w:tcW w:w="84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Average</w:t>
            </w:r>
          </w:p>
        </w:tc>
        <w:tc>
          <w:tcPr>
            <w:tcW w:w="144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Arial" w:cs="Arial" w:eastAsia="Arial" w:hAnsi="Arial"/>
                <w:sz w:val="14"/>
                <w:szCs w:val="14"/>
                <w:color w:val="auto"/>
                <w:w w:val="98"/>
              </w:rPr>
              <w:t>Interest/</w:t>
            </w:r>
          </w:p>
        </w:tc>
        <w:tc>
          <w:tcPr>
            <w:tcW w:w="540" w:type="dxa"/>
            <w:vAlign w:val="bottom"/>
          </w:tcPr>
          <w:p>
            <w:pPr>
              <w:spacing w:after="0"/>
              <w:rPr>
                <w:sz w:val="10"/>
                <w:szCs w:val="10"/>
                <w:color w:val="auto"/>
              </w:rPr>
            </w:pPr>
          </w:p>
        </w:tc>
        <w:tc>
          <w:tcPr>
            <w:tcW w:w="1480" w:type="dxa"/>
            <w:vAlign w:val="bottom"/>
            <w:gridSpan w:val="2"/>
          </w:tcPr>
          <w:p>
            <w:pPr>
              <w:jc w:val="center"/>
              <w:ind w:right="548"/>
              <w:spacing w:after="0" w:line="123" w:lineRule="exact"/>
              <w:rPr>
                <w:sz w:val="20"/>
                <w:szCs w:val="20"/>
                <w:color w:val="auto"/>
              </w:rPr>
            </w:pPr>
            <w:r>
              <w:rPr>
                <w:rFonts w:ascii="Arial" w:cs="Arial" w:eastAsia="Arial" w:hAnsi="Arial"/>
                <w:sz w:val="14"/>
                <w:szCs w:val="14"/>
                <w:color w:val="auto"/>
                <w:w w:val="89"/>
              </w:rPr>
              <w:t>September 30,</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3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Balance</w:t>
            </w:r>
          </w:p>
        </w:tc>
        <w:tc>
          <w:tcPr>
            <w:tcW w:w="1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w w:val="91"/>
              </w:rPr>
              <w:t>Dividends</w:t>
            </w:r>
          </w:p>
        </w:tc>
        <w:tc>
          <w:tcPr>
            <w:tcW w:w="840" w:type="dxa"/>
            <w:vAlign w:val="bottom"/>
          </w:tcPr>
          <w:p>
            <w:pPr>
              <w:jc w:val="right"/>
              <w:ind w:right="175"/>
              <w:spacing w:after="0"/>
              <w:rPr>
                <w:sz w:val="20"/>
                <w:szCs w:val="20"/>
                <w:color w:val="auto"/>
              </w:rPr>
            </w:pPr>
            <w:r>
              <w:rPr>
                <w:rFonts w:ascii="Arial" w:cs="Arial" w:eastAsia="Arial" w:hAnsi="Arial"/>
                <w:sz w:val="14"/>
                <w:szCs w:val="14"/>
                <w:color w:val="auto"/>
              </w:rPr>
              <w:t>2017</w:t>
            </w:r>
          </w:p>
        </w:tc>
        <w:tc>
          <w:tcPr>
            <w:tcW w:w="64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Loans</w:t>
            </w:r>
          </w:p>
        </w:tc>
        <w:tc>
          <w:tcPr>
            <w:tcW w:w="11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$776,828</w:t>
            </w:r>
          </w:p>
        </w:tc>
        <w:tc>
          <w:tcPr>
            <w:tcW w:w="14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$27,367</w:t>
            </w:r>
          </w:p>
        </w:tc>
        <w:tc>
          <w:tcPr>
            <w:tcW w:w="54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4.71%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155,546</w:t>
            </w:r>
          </w:p>
        </w:tc>
        <w:tc>
          <w:tcPr>
            <w:tcW w:w="2560" w:type="dxa"/>
            <w:vAlign w:val="bottom"/>
            <w:gridSpan w:val="3"/>
          </w:tcPr>
          <w:p>
            <w:pPr>
              <w:jc w:val="right"/>
              <w:ind w:right="540"/>
              <w:spacing w:after="0"/>
              <w:rPr>
                <w:sz w:val="20"/>
                <w:szCs w:val="20"/>
                <w:color w:val="auto"/>
              </w:rPr>
            </w:pPr>
            <w:r>
              <w:rPr>
                <w:rFonts w:ascii="Arial" w:cs="Arial" w:eastAsia="Arial" w:hAnsi="Arial"/>
                <w:sz w:val="18"/>
                <w:szCs w:val="18"/>
                <w:color w:val="auto"/>
              </w:rPr>
              <w:t>2,117</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1.81%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52,659</w:t>
            </w:r>
          </w:p>
        </w:tc>
        <w:tc>
          <w:tcPr>
            <w:tcW w:w="2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793</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3.04%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13,946</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103</w:t>
            </w:r>
          </w:p>
        </w:tc>
        <w:tc>
          <w:tcPr>
            <w:tcW w:w="1480" w:type="dxa"/>
            <w:vAlign w:val="bottom"/>
            <w:gridSpan w:val="2"/>
          </w:tcPr>
          <w:p>
            <w:pPr>
              <w:jc w:val="right"/>
              <w:ind w:right="408"/>
              <w:spacing w:after="0"/>
              <w:rPr>
                <w:sz w:val="20"/>
                <w:szCs w:val="20"/>
                <w:color w:val="auto"/>
              </w:rPr>
            </w:pPr>
            <w:r>
              <w:rPr>
                <w:rFonts w:ascii="Arial" w:cs="Arial" w:eastAsia="Arial" w:hAnsi="Arial"/>
                <w:sz w:val="18"/>
                <w:szCs w:val="18"/>
                <w:color w:val="auto"/>
              </w:rPr>
              <w:t>0.98%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998,979</w:t>
            </w:r>
          </w:p>
        </w:tc>
        <w:tc>
          <w:tcPr>
            <w:tcW w:w="140" w:type="dxa"/>
            <w:vAlign w:val="bottom"/>
            <w:shd w:val="clear" w:color="auto" w:fill="CCEEFF"/>
          </w:tcPr>
          <w:p>
            <w:pPr>
              <w:spacing w:after="0"/>
              <w:rPr>
                <w:sz w:val="18"/>
                <w:szCs w:val="18"/>
                <w:color w:val="auto"/>
              </w:rPr>
            </w:pPr>
          </w:p>
        </w:tc>
        <w:tc>
          <w:tcPr>
            <w:tcW w:w="2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30,380</w:t>
            </w:r>
          </w:p>
        </w:tc>
        <w:tc>
          <w:tcPr>
            <w:tcW w:w="14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4.12%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Change in Year to Date September 30, 2017 Interest Income Compared to September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Interest Earning Assets: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color w:val="auto"/>
              </w:rPr>
              <w:t>Due to</w:t>
            </w:r>
          </w:p>
        </w:tc>
        <w:tc>
          <w:tcPr>
            <w:tcW w:w="100" w:type="dxa"/>
            <w:vAlign w:val="bottom"/>
          </w:tcPr>
          <w:p>
            <w:pPr>
              <w:spacing w:after="0"/>
              <w:rPr>
                <w:sz w:val="14"/>
                <w:szCs w:val="14"/>
                <w:color w:val="auto"/>
              </w:rPr>
            </w:pPr>
          </w:p>
        </w:tc>
        <w:tc>
          <w:tcPr>
            <w:tcW w:w="3540" w:type="dxa"/>
            <w:vAlign w:val="bottom"/>
            <w:gridSpan w:val="2"/>
          </w:tcPr>
          <w:p>
            <w:pPr>
              <w:jc w:val="right"/>
              <w:ind w:right="3160"/>
              <w:spacing w:after="0"/>
              <w:rPr>
                <w:sz w:val="20"/>
                <w:szCs w:val="20"/>
                <w:color w:val="auto"/>
              </w:rPr>
            </w:pPr>
            <w:r>
              <w:rPr>
                <w:rFonts w:ascii="Arial" w:cs="Arial" w:eastAsia="Arial" w:hAnsi="Arial"/>
                <w:sz w:val="14"/>
                <w:szCs w:val="14"/>
                <w:color w:val="auto"/>
                <w:w w:val="87"/>
              </w:rPr>
              <w:t>Due to</w:t>
            </w:r>
          </w:p>
        </w:tc>
        <w:tc>
          <w:tcPr>
            <w:tcW w:w="0" w:type="dxa"/>
            <w:vAlign w:val="bottom"/>
          </w:tcPr>
          <w:p>
            <w:pPr>
              <w:spacing w:after="0"/>
              <w:rPr>
                <w:sz w:val="1"/>
                <w:szCs w:val="1"/>
                <w:color w:val="auto"/>
              </w:rPr>
            </w:pPr>
          </w:p>
        </w:tc>
      </w:tr>
      <w:tr>
        <w:trPr>
          <w:trHeight w:val="167"/>
        </w:trPr>
        <w:tc>
          <w:tcPr>
            <w:tcW w:w="43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Change</w:t>
            </w:r>
          </w:p>
        </w:tc>
        <w:tc>
          <w:tcPr>
            <w:tcW w:w="240" w:type="dxa"/>
            <w:vAlign w:val="bottom"/>
          </w:tcPr>
          <w:p>
            <w:pPr>
              <w:spacing w:after="0"/>
              <w:rPr>
                <w:sz w:val="14"/>
                <w:szCs w:val="1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color w:val="auto"/>
                <w:w w:val="92"/>
              </w:rPr>
              <w:t>Volume</w:t>
            </w:r>
          </w:p>
        </w:tc>
        <w:tc>
          <w:tcPr>
            <w:tcW w:w="100" w:type="dxa"/>
            <w:vAlign w:val="bottom"/>
          </w:tcPr>
          <w:p>
            <w:pPr>
              <w:spacing w:after="0"/>
              <w:rPr>
                <w:sz w:val="14"/>
                <w:szCs w:val="14"/>
                <w:color w:val="auto"/>
              </w:rPr>
            </w:pPr>
          </w:p>
        </w:tc>
        <w:tc>
          <w:tcPr>
            <w:tcW w:w="3540" w:type="dxa"/>
            <w:vAlign w:val="bottom"/>
            <w:gridSpan w:val="2"/>
          </w:tcPr>
          <w:p>
            <w:pPr>
              <w:jc w:val="right"/>
              <w:ind w:right="32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$2,121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540" w:type="dxa"/>
            <w:vAlign w:val="bottom"/>
            <w:gridSpan w:val="2"/>
          </w:tcPr>
          <w:p>
            <w:pPr>
              <w:jc w:val="right"/>
              <w:ind w:right="30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Securities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ind w:right="30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Fed Funds Sold &amp; Interest Bearing Deposits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2"/>
          </w:tcPr>
          <w:p>
            <w:pPr>
              <w:jc w:val="right"/>
              <w:ind w:right="30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540" w:type="dxa"/>
            <w:vAlign w:val="bottom"/>
            <w:gridSpan w:val="2"/>
            <w:shd w:val="clear" w:color="auto" w:fill="CCEEFF"/>
          </w:tcPr>
          <w:p>
            <w:pPr>
              <w:jc w:val="right"/>
              <w:ind w:right="30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was also higher for the nine months ended September 30, 2017 compared to the nine months ended September 30, 2016. At $3.8 million, third quarter 2017 was up $623 thousand as compared to same time period 2016 or 19.8%.</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average balance of interest-bearing liabilities was higher by $29.3 million in 2017 than third quarter 2016. Interest bearing deposits increased $62.7 million while Fed Funds sold and securities sold under agreement to repurchase decreased by $33.4 million. The higher balance coupled with the slight variation of the balance sheet mix, resulted in a 9 basis points increase in the cost of funds at 0.68% for the year to date 2017 as compared to the same year to date 2016’s 0.59%.</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Federal Funds and prime rate increases of 25 basis points in December 2015, December 2016, March and June 2017 has only had a marginal effect on the Bank’s pricing methodologies. Loans with variable rates and floors have had the rates begin to increase over the floors with the 100 basis points increase in prime rate over the last 21 months. This should be evident in the third quarter chart relating to the change report due to volume and rate. On the liability side, the slow pace of the rate increases has placed more pressure on the short term funds. Competition for public funds had caused those short term deposits to price higher. This is evidenced in the change chart as the increase cost is driven more by rate than volume.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4"/>
                <w:szCs w:val="14"/>
                <w:color w:val="auto"/>
                <w:w w:val="93"/>
              </w:rPr>
              <w:t>(In Thousands)</w:t>
            </w: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92"/>
              </w:rPr>
              <w:t>Yield/Rate</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74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color w:val="auto"/>
                <w:w w:val="91"/>
              </w:rPr>
              <w:t>Year to Date Ended September 30, 2017</w:t>
            </w:r>
          </w:p>
        </w:tc>
        <w:tc>
          <w:tcPr>
            <w:tcW w:w="4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Bearing Liabilities:</w:t>
            </w:r>
          </w:p>
        </w:tc>
        <w:tc>
          <w:tcPr>
            <w:tcW w:w="70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Average</w:t>
            </w:r>
          </w:p>
        </w:tc>
        <w:tc>
          <w:tcPr>
            <w:tcW w:w="1440" w:type="dxa"/>
            <w:vAlign w:val="bottom"/>
          </w:tcPr>
          <w:p>
            <w:pPr>
              <w:spacing w:after="0"/>
              <w:rPr>
                <w:sz w:val="10"/>
                <w:szCs w:val="10"/>
                <w:color w:val="auto"/>
              </w:rPr>
            </w:pPr>
          </w:p>
        </w:tc>
        <w:tc>
          <w:tcPr>
            <w:tcW w:w="6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0"/>
                <w:szCs w:val="10"/>
                <w:color w:val="auto"/>
              </w:rPr>
            </w:pPr>
          </w:p>
        </w:tc>
        <w:tc>
          <w:tcPr>
            <w:tcW w:w="1460" w:type="dxa"/>
            <w:vAlign w:val="bottom"/>
            <w:gridSpan w:val="2"/>
          </w:tcPr>
          <w:p>
            <w:pPr>
              <w:jc w:val="center"/>
              <w:ind w:right="548"/>
              <w:spacing w:after="0" w:line="123" w:lineRule="exact"/>
              <w:rPr>
                <w:sz w:val="20"/>
                <w:szCs w:val="20"/>
                <w:color w:val="auto"/>
              </w:rPr>
            </w:pPr>
            <w:r>
              <w:rPr>
                <w:rFonts w:ascii="Arial" w:cs="Arial" w:eastAsia="Arial" w:hAnsi="Arial"/>
                <w:sz w:val="14"/>
                <w:szCs w:val="14"/>
                <w:color w:val="auto"/>
                <w:w w:val="91"/>
              </w:rPr>
              <w:t>September 30,</w:t>
            </w: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1"/>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Balance</w:t>
            </w:r>
          </w:p>
        </w:tc>
        <w:tc>
          <w:tcPr>
            <w:tcW w:w="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Dividends</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$507,327</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1,674</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0.44%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Time Deposits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188,064</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1,615</w:t>
            </w:r>
          </w:p>
        </w:tc>
        <w:tc>
          <w:tcPr>
            <w:tcW w:w="1460" w:type="dxa"/>
            <w:vAlign w:val="bottom"/>
            <w:gridSpan w:val="2"/>
          </w:tcPr>
          <w:p>
            <w:pPr>
              <w:jc w:val="right"/>
              <w:ind w:right="408"/>
              <w:spacing w:after="0"/>
              <w:rPr>
                <w:sz w:val="20"/>
                <w:szCs w:val="20"/>
                <w:color w:val="auto"/>
              </w:rPr>
            </w:pPr>
            <w:r>
              <w:rPr>
                <w:rFonts w:ascii="Arial" w:cs="Arial" w:eastAsia="Arial" w:hAnsi="Arial"/>
                <w:sz w:val="18"/>
                <w:szCs w:val="18"/>
                <w:color w:val="auto"/>
              </w:rPr>
              <w:t>1.15%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 under Agreement to Repurch.</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32,859</w:t>
            </w: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 Interest Bearing Liabilities</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738,250</w:t>
            </w:r>
          </w:p>
        </w:tc>
        <w:tc>
          <w:tcPr>
            <w:tcW w:w="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3,765</w:t>
            </w:r>
          </w:p>
        </w:tc>
        <w:tc>
          <w:tcPr>
            <w:tcW w:w="480" w:type="dxa"/>
            <w:vAlign w:val="bottom"/>
            <w:vMerge w:val="continue"/>
          </w:tcPr>
          <w:p>
            <w:pPr>
              <w:spacing w:after="0"/>
              <w:rPr>
                <w:sz w:val="19"/>
                <w:szCs w:val="19"/>
                <w:color w:val="auto"/>
              </w:rPr>
            </w:pPr>
          </w:p>
        </w:tc>
        <w:tc>
          <w:tcPr>
            <w:tcW w:w="1460" w:type="dxa"/>
            <w:vAlign w:val="bottom"/>
            <w:gridSpan w:val="2"/>
          </w:tcPr>
          <w:p>
            <w:pPr>
              <w:jc w:val="right"/>
              <w:ind w:right="408"/>
              <w:spacing w:after="0"/>
              <w:rPr>
                <w:sz w:val="20"/>
                <w:szCs w:val="20"/>
                <w:color w:val="auto"/>
              </w:rPr>
            </w:pPr>
            <w:r>
              <w:rPr>
                <w:rFonts w:ascii="Arial" w:cs="Arial" w:eastAsia="Arial" w:hAnsi="Arial"/>
                <w:sz w:val="18"/>
                <w:szCs w:val="18"/>
                <w:color w:val="auto"/>
              </w:rPr>
              <w:t>0.68%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Change in Year to Date September 30, 2017 Interest Expense Compared to September 30, 2016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8"/>
                <w:szCs w:val="18"/>
                <w:color w:val="auto"/>
              </w:rPr>
              <w:t>Interest Bearing Liabilities: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Due to</w:t>
            </w:r>
          </w:p>
        </w:tc>
        <w:tc>
          <w:tcPr>
            <w:tcW w:w="100" w:type="dxa"/>
            <w:vAlign w:val="bottom"/>
          </w:tcPr>
          <w:p>
            <w:pPr>
              <w:spacing w:after="0"/>
              <w:rPr>
                <w:sz w:val="14"/>
                <w:szCs w:val="14"/>
                <w:color w:val="auto"/>
              </w:rPr>
            </w:pPr>
          </w:p>
        </w:tc>
        <w:tc>
          <w:tcPr>
            <w:tcW w:w="3480" w:type="dxa"/>
            <w:vAlign w:val="bottom"/>
            <w:gridSpan w:val="2"/>
          </w:tcPr>
          <w:p>
            <w:pPr>
              <w:spacing w:after="0"/>
              <w:rPr>
                <w:sz w:val="20"/>
                <w:szCs w:val="20"/>
                <w:color w:val="auto"/>
              </w:rPr>
            </w:pPr>
            <w:r>
              <w:rPr>
                <w:rFonts w:ascii="Arial" w:cs="Arial" w:eastAsia="Arial" w:hAnsi="Arial"/>
                <w:sz w:val="14"/>
                <w:szCs w:val="14"/>
                <w:color w:val="auto"/>
              </w:rPr>
              <w:t>Due to</w:t>
            </w:r>
          </w:p>
        </w:tc>
        <w:tc>
          <w:tcPr>
            <w:tcW w:w="0" w:type="dxa"/>
            <w:vAlign w:val="bottom"/>
          </w:tcPr>
          <w:p>
            <w:pPr>
              <w:spacing w:after="0"/>
              <w:rPr>
                <w:sz w:val="1"/>
                <w:szCs w:val="1"/>
                <w:color w:val="auto"/>
              </w:rPr>
            </w:pPr>
          </w:p>
        </w:tc>
      </w:tr>
      <w:tr>
        <w:trPr>
          <w:trHeight w:val="167"/>
        </w:trPr>
        <w:tc>
          <w:tcPr>
            <w:tcW w:w="5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Change</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Volume</w:t>
            </w:r>
          </w:p>
        </w:tc>
        <w:tc>
          <w:tcPr>
            <w:tcW w:w="100" w:type="dxa"/>
            <w:vAlign w:val="bottom"/>
          </w:tcPr>
          <w:p>
            <w:pPr>
              <w:spacing w:after="0"/>
              <w:rPr>
                <w:sz w:val="14"/>
                <w:szCs w:val="14"/>
                <w:color w:val="auto"/>
              </w:rPr>
            </w:pPr>
          </w:p>
        </w:tc>
        <w:tc>
          <w:tcPr>
            <w:tcW w:w="3480" w:type="dxa"/>
            <w:vAlign w:val="bottom"/>
            <w:gridSpan w:val="2"/>
          </w:tcPr>
          <w:p>
            <w:pPr>
              <w:ind w:left="6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160</w:t>
            </w:r>
          </w:p>
        </w:tc>
        <w:tc>
          <w:tcPr>
            <w:tcW w:w="29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Time Deposits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480" w:type="dxa"/>
            <w:vAlign w:val="bottom"/>
            <w:gridSpan w:val="2"/>
          </w:tcPr>
          <w:p>
            <w:pPr>
              <w:ind w:left="2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Sold under Agreement to Repurch.</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(372)</w:t>
            </w:r>
          </w:p>
        </w:tc>
        <w:tc>
          <w:tcPr>
            <w:tcW w:w="1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812</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net interest spread figures through the third quarter 2017 are up from 2016 by 3 basis points and up 6 basis points from 2015. Net interest margin through the third quarter of 2017 is higher than the same period 2016 and 2015. As the chart below illustrates, both higher yields on interest and dividend income, were offset by higher interest expense resulting in total net interest margin up 5 basis points since the year to date 2016 and over the year to date 2015 by 8 basis points.</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9/30/2017</w:t>
            </w:r>
          </w:p>
        </w:tc>
        <w:tc>
          <w:tcPr>
            <w:tcW w:w="4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9/30/2016</w:t>
            </w:r>
          </w:p>
        </w:tc>
        <w:tc>
          <w:tcPr>
            <w:tcW w:w="3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9/30/2015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11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w:t>
            </w:r>
          </w:p>
        </w:tc>
        <w:tc>
          <w:tcPr>
            <w:tcW w:w="2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6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0.68%</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0.59%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interest income was up $1.8 million through third quarter 2017 over the same time frame in 2016 due to the increase in loan income even with higher interest expense, as previously mentioned. New loans added in 2016 and 2017 will continue to generate more income; the benefits of the Company’s strategy of repositioning the balance sheet will continue to grow.</w:t>
      </w:r>
    </w:p>
    <w:p>
      <w:pPr>
        <w:spacing w:after="0" w:line="285"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 xml:space="preserve">Comparison of Noninterest Results of Operations – Year to Date September 30, 2017 to Year to Date September 30, 2016. </w:t>
      </w:r>
      <w:r>
        <w:rPr>
          <w:rFonts w:ascii="Arial" w:cs="Arial" w:eastAsia="Arial" w:hAnsi="Arial"/>
          <w:sz w:val="18"/>
          <w:szCs w:val="18"/>
          <w:color w:val="auto"/>
        </w:rPr>
        <w:t>Provision Expense</w:t>
      </w:r>
    </w:p>
    <w:p>
      <w:pPr>
        <w:ind w:right="80"/>
        <w:spacing w:after="0" w:line="279" w:lineRule="auto"/>
        <w:rPr>
          <w:sz w:val="20"/>
          <w:szCs w:val="20"/>
          <w:color w:val="auto"/>
        </w:rPr>
      </w:pPr>
      <w:r>
        <w:rPr>
          <w:rFonts w:ascii="Arial" w:cs="Arial" w:eastAsia="Arial" w:hAnsi="Arial"/>
          <w:sz w:val="17"/>
          <w:szCs w:val="17"/>
          <w:color w:val="auto"/>
        </w:rPr>
        <w:t>Total provision for loan losses was $727 thousand lower for nine months 2017 than for the first nine months 2016. While loan growth continued in the third quarter, strong asset quality continued also. The strong asset quality and lower net charge-offs offset any need for additional provision above the $197 thousand that was expensed. In comparing past due balances of loans 30+ days, September 30, 2017 balances were $553 thousand higher than September 30, 2016 balances. Net charge-offs were lower at $111 thousand for third quarter 2017 compared to third quarter 2016’s $369 thousand.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5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60" w:type="dxa"/>
            <w:vAlign w:val="bottom"/>
            <w:gridSpan w:val="3"/>
          </w:tcPr>
          <w:p>
            <w:pPr>
              <w:jc w:val="right"/>
              <w:ind w:right="380"/>
              <w:spacing w:after="0" w:line="123" w:lineRule="exact"/>
              <w:rPr>
                <w:sz w:val="20"/>
                <w:szCs w:val="20"/>
                <w:color w:val="auto"/>
              </w:rPr>
            </w:pPr>
            <w:r>
              <w:rPr>
                <w:rFonts w:ascii="Arial" w:cs="Arial" w:eastAsia="Arial" w:hAnsi="Arial"/>
                <w:sz w:val="14"/>
                <w:szCs w:val="14"/>
                <w:color w:val="auto"/>
                <w:w w:val="96"/>
              </w:rPr>
              <w:t>Nine Months</w:t>
            </w:r>
          </w:p>
        </w:tc>
        <w:tc>
          <w:tcPr>
            <w:tcW w:w="240" w:type="dxa"/>
            <w:vAlign w:val="bottom"/>
          </w:tcPr>
          <w:p>
            <w:pPr>
              <w:spacing w:after="0"/>
              <w:rPr>
                <w:sz w:val="10"/>
                <w:szCs w:val="10"/>
                <w:color w:val="auto"/>
              </w:rPr>
            </w:pPr>
          </w:p>
        </w:tc>
        <w:tc>
          <w:tcPr>
            <w:tcW w:w="1180" w:type="dxa"/>
            <w:vAlign w:val="bottom"/>
            <w:gridSpan w:val="3"/>
          </w:tcPr>
          <w:p>
            <w:pPr>
              <w:jc w:val="center"/>
              <w:ind w:right="360"/>
              <w:spacing w:after="0" w:line="123" w:lineRule="exact"/>
              <w:rPr>
                <w:sz w:val="20"/>
                <w:szCs w:val="20"/>
                <w:color w:val="auto"/>
              </w:rPr>
            </w:pPr>
            <w:r>
              <w:rPr>
                <w:rFonts w:ascii="Arial" w:cs="Arial" w:eastAsia="Arial" w:hAnsi="Arial"/>
                <w:sz w:val="14"/>
                <w:szCs w:val="14"/>
                <w:color w:val="auto"/>
                <w:w w:val="94"/>
              </w:rPr>
              <w:t>Nine Months</w:t>
            </w:r>
          </w:p>
        </w:tc>
        <w:tc>
          <w:tcPr>
            <w:tcW w:w="220" w:type="dxa"/>
            <w:vAlign w:val="bottom"/>
          </w:tcPr>
          <w:p>
            <w:pPr>
              <w:spacing w:after="0"/>
              <w:rPr>
                <w:sz w:val="10"/>
                <w:szCs w:val="10"/>
                <w:color w:val="auto"/>
              </w:rPr>
            </w:pPr>
          </w:p>
        </w:tc>
        <w:tc>
          <w:tcPr>
            <w:tcW w:w="82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9"/>
              </w:rPr>
              <w:t>Nine Months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8"/>
              </w:rPr>
              <w:t>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67"/>
        </w:trPr>
        <w:tc>
          <w:tcPr>
            <w:tcW w:w="5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September-17</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September-16</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September-15</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795,205</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737,057</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634,391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2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776,828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716,731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618,552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 - January 1</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Loan Recoveries</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Consumer Real Estate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Agricultural Real Estate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Agricultural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Commercial Real Estate</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and Industrial</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520" w:type="dxa"/>
            <w:vAlign w:val="bottom"/>
          </w:tcPr>
          <w:p>
            <w:pPr>
              <w:ind w:left="720"/>
              <w:spacing w:after="0"/>
              <w:rPr>
                <w:sz w:val="20"/>
                <w:szCs w:val="20"/>
                <w:color w:val="auto"/>
              </w:rPr>
            </w:pPr>
            <w:r>
              <w:rPr>
                <w:rFonts w:ascii="Arial" w:cs="Arial" w:eastAsia="Arial" w:hAnsi="Arial"/>
                <w:sz w:val="18"/>
                <w:szCs w:val="18"/>
                <w:color w:val="auto"/>
              </w:rPr>
              <w:t>Consumer</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5520" w:type="dxa"/>
            <w:vAlign w:val="bottom"/>
          </w:tcPr>
          <w:p>
            <w:pPr>
              <w:ind w:left="720"/>
              <w:spacing w:after="0"/>
              <w:rPr>
                <w:sz w:val="20"/>
                <w:szCs w:val="20"/>
                <w:color w:val="auto"/>
              </w:rPr>
            </w:pPr>
            <w:r>
              <w:rPr>
                <w:rFonts w:ascii="Arial" w:cs="Arial" w:eastAsia="Arial" w:hAnsi="Arial"/>
                <w:sz w:val="18"/>
                <w:szCs w:val="18"/>
                <w:color w:val="auto"/>
              </w:rPr>
              <w:t>Net Charge Offs</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loan loss</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Allowance for Loan &amp; Lease Losses - Sept 30</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4"/>
              </w:rPr>
              <w:t>Allowance for Unfunded Loan Commitments &amp; Letters of Credit - Sept 30</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 Allowance for Credit Losses - Sept 30</w:t>
            </w:r>
          </w:p>
        </w:tc>
        <w:tc>
          <w:tcPr>
            <w:tcW w:w="2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Ratio of Allowance for Loan Loss to Nonperforming Loans</w:t>
            </w: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397.35%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584.18%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266.69%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80" w:type="dxa"/>
            <w:vAlign w:val="bottom"/>
            <w:vMerge w:val="restart"/>
          </w:tcPr>
          <w:p>
            <w:pPr>
              <w:jc w:val="right"/>
              <w:ind w:right="1710"/>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 (Continued)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MATERIAL CHANGES IN RESULTS OF OPERATIONS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Noninterest income for the first nine months 2017 was below the first nine months of 2016 by $477 thousand. The increased number of business days in 2016 as compared to 2017, provided more opportunity to transact business and generate noninterest income. Gain on available for sale securities by decreased by $456 thousand over the prior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Noninterest Expense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Through the third quarter 2017, noninterest expenses were $961 thousand higher than through the third quarter 2016. The effect of an increase of $713 thousand in salaries and wages was combined with an increase of $222 thousand in employee benefits. Two offices were added in 2016 whose expenses only partially impacted 2016, but which fully impacted 2017 expenses related to salaries, wages and employee benefits. Higher profit levels are driving higher incentive accruals for 2017. The other portion of 2017’s increase in employee benefits was derived from higher costs related to medical claims for the period.</w:t>
      </w:r>
    </w:p>
    <w:p>
      <w:pPr>
        <w:spacing w:after="0" w:line="15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Data processing fees were $213 thousand lower than last year due to a seven year contract extension signed in the third quarter of 2016. It has helped reduce the expense while adding new products and services to better align with our customers’ expectations in the coming years. We have already added additional products in 2017, mainly focused on mobile services and business deposit accounts.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next largest decrease for 2017 was in the FDIC assessment. This line item on the income statement was down by $121 thousand over third quarter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Improved FDIC funding and asset quality of the Bank aided to keep this expense below 2016 levels.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Overall, net income through the third quarter of 2017 was up $814 thousand as compared to the third quarter of 2016. 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QUALITATIVE AND QUANTITATIVE DISCLOSURES ABOUT MARKET RISK</w:t>
      </w:r>
    </w:p>
    <w:p>
      <w:pPr>
        <w:spacing w:after="0" w:line="15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 covering a twelve month period:</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w w:val="88"/>
              </w:rPr>
              <w:t>% Change</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 Change</w:t>
            </w: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Net Interest</w:t>
            </w: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85"/>
              </w:rPr>
              <w:t>to</w:t>
            </w: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Rate</w:t>
            </w:r>
          </w:p>
        </w:tc>
        <w:tc>
          <w:tcPr>
            <w:tcW w:w="12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Rate</w:t>
            </w: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Cumulative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to</w:t>
            </w:r>
          </w:p>
        </w:tc>
      </w:tr>
      <w:tr>
        <w:trPr>
          <w:trHeight w:val="18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Margin (Ratio)</w:t>
            </w:r>
          </w:p>
        </w:tc>
        <w:tc>
          <w:tcPr>
            <w:tcW w:w="33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Flat Rate</w:t>
            </w:r>
          </w:p>
        </w:tc>
        <w:tc>
          <w:tcPr>
            <w:tcW w:w="5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Direction</w:t>
            </w:r>
          </w:p>
        </w:tc>
        <w:tc>
          <w:tcPr>
            <w:tcW w:w="4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Changes by</w:t>
            </w:r>
          </w:p>
        </w:tc>
        <w:tc>
          <w:tcPr>
            <w:tcW w:w="5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 xml:space="preserve">Total </w:t>
            </w:r>
            <w:r>
              <w:rPr>
                <w:rFonts w:ascii="Arial" w:cs="Arial" w:eastAsia="Arial" w:hAnsi="Arial"/>
                <w:sz w:val="14"/>
                <w:szCs w:val="14"/>
                <w:u w:val="single" w:color="auto"/>
                <w:color w:val="auto"/>
                <w:w w:val="92"/>
              </w:rPr>
              <w:t>($</w:t>
            </w:r>
            <w:r>
              <w:rPr>
                <w:rFonts w:ascii="Arial" w:cs="Arial" w:eastAsia="Arial" w:hAnsi="Arial"/>
                <w:sz w:val="14"/>
                <w:szCs w:val="14"/>
                <w:color w:val="auto"/>
                <w:w w:val="92"/>
              </w:rPr>
              <w:t>000)</w:t>
            </w:r>
          </w:p>
        </w:tc>
        <w:tc>
          <w:tcPr>
            <w:tcW w:w="4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Flat Rate</w:t>
            </w:r>
          </w:p>
        </w:tc>
        <w:tc>
          <w:tcPr>
            <w:tcW w:w="200" w:type="dxa"/>
            <w:vAlign w:val="bottom"/>
            <w:tcBorders>
              <w:bottom w:val="single" w:sz="8" w:color="CCEEFF"/>
            </w:tcBorders>
          </w:tcPr>
          <w:p>
            <w:pPr>
              <w:spacing w:after="0"/>
              <w:rPr>
                <w:sz w:val="15"/>
                <w:szCs w:val="15"/>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2.90%</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Rising</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30,651</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2.92%</w:t>
            </w:r>
          </w:p>
        </w:tc>
        <w:tc>
          <w:tcPr>
            <w:tcW w:w="33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-3.96%</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Rising</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30,460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2.99%</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Rising</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3.04%</w:t>
            </w:r>
          </w:p>
        </w:tc>
        <w:tc>
          <w:tcPr>
            <w:tcW w:w="33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Flat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30,915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3.35%</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Falling</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32,987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33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5.82%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Falling</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31,892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3.16%</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3.06%</w:t>
            </w:r>
          </w:p>
        </w:tc>
        <w:tc>
          <w:tcPr>
            <w:tcW w:w="3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Falling</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30,617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Currently, the majority of customers look for terms of twelve months and under while the Bank would prefer 24 months and longer. Some movement into the longer term time deposits has occurred. Over the past five year period, the Bank has experienced a decrease in the time balances of our deposit portfolio, and therefore, a loss of term funding.</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shock chart currently shows a slight tightening in net interest margin over the next twelve months in an increasing rate environment with no tightening in a falling rate environment. With the Federal Reserve having raised its rates, the Company has room for widening should rates fall. Cost of funds are below</w:t>
      </w:r>
    </w:p>
    <w:p>
      <w:pPr>
        <w:ind w:right="120"/>
        <w:spacing w:after="0" w:line="290" w:lineRule="auto"/>
        <w:rPr>
          <w:sz w:val="20"/>
          <w:szCs w:val="20"/>
          <w:color w:val="auto"/>
        </w:rPr>
      </w:pPr>
      <w:r>
        <w:rPr>
          <w:rFonts w:ascii="Arial" w:cs="Arial" w:eastAsia="Arial" w:hAnsi="Arial"/>
          <w:sz w:val="16"/>
          <w:szCs w:val="16"/>
          <w:color w:val="auto"/>
        </w:rPr>
        <w:t>0.75%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enhanced its use of the software model during 2012 by including decay rates and key rate ties on certain deposit accounts and continues to review and modify those rates as changes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6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Overall, what the chart shows is that the Company must concentrate on increasing loan spreads on variable loans and extend the duration on cost of funds where possible. Changes in portfolio and/or balance sheet composition are needed for the margin to improve regardless of any rate shock.</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September 30, 2017,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September 30, 2017. There have been no changes in the Company’s internal control over financial reporting that occurred during the quarter ended September 30, 2017 that have materially affected, or are reasonably likely to materially affect, the registrant’s internal control over financial reporting.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disclosed by Registrant in its Report on Form 10-K for the fiscal year ended December 31, 2016.</w:t>
      </w:r>
    </w:p>
    <w:p>
      <w:pPr>
        <w:spacing w:after="0" w:line="397" w:lineRule="exact"/>
        <w:rPr>
          <w:sz w:val="20"/>
          <w:szCs w:val="20"/>
          <w:color w:val="auto"/>
        </w:rPr>
      </w:pPr>
    </w:p>
    <w:p>
      <w:pPr>
        <w:ind w:right="4440"/>
        <w:spacing w:after="0" w:line="402" w:lineRule="auto"/>
        <w:rPr>
          <w:sz w:val="20"/>
          <w:szCs w:val="20"/>
          <w:color w:val="auto"/>
        </w:rPr>
      </w:pPr>
      <w:r>
        <w:rPr>
          <w:rFonts w:ascii="Arial" w:cs="Arial" w:eastAsia="Arial" w:hAnsi="Arial"/>
          <w:sz w:val="18"/>
          <w:szCs w:val="18"/>
          <w:color w:val="auto"/>
        </w:rPr>
        <w:t xml:space="preserve">ITEM 2 UNREGISTERED SALES OF EQUITY SECURITIES AND USE OF PROCEEDS Treasury stock repurchased the quarter ended September 30, 2017 </w:t>
      </w:r>
      <w:r>
        <w:rPr>
          <w:rFonts w:ascii="Arial" w:cs="Arial" w:eastAsia="Arial" w:hAnsi="Arial"/>
          <w:sz w:val="15"/>
          <w:szCs w:val="15"/>
          <w:color w:val="auto"/>
        </w:rPr>
        <w:t>(1)</w:t>
      </w:r>
      <w:r>
        <w:rPr>
          <w:rFonts w:ascii="Arial" w:cs="Arial" w:eastAsia="Arial" w:hAnsi="Arial"/>
          <w:sz w:val="18"/>
          <w:szCs w:val="18"/>
          <w:color w:val="auto"/>
        </w:rPr>
        <w: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(c) Total Number of</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70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(d) Maximum Number</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700" w:type="dxa"/>
            <w:vAlign w:val="bottom"/>
          </w:tcPr>
          <w:p>
            <w:pPr>
              <w:spacing w:after="0"/>
              <w:rPr>
                <w:sz w:val="12"/>
                <w:szCs w:val="12"/>
                <w:color w:val="auto"/>
              </w:rPr>
            </w:pPr>
          </w:p>
        </w:tc>
        <w:tc>
          <w:tcPr>
            <w:tcW w:w="1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of Shares that may yet</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4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(a) Total Number</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(b) 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Announced Plan or</w:t>
            </w:r>
          </w:p>
        </w:tc>
        <w:tc>
          <w:tcPr>
            <w:tcW w:w="70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be purchased under</w:t>
            </w:r>
          </w:p>
        </w:tc>
      </w:tr>
      <w:tr>
        <w:trPr>
          <w:trHeight w:val="167"/>
        </w:trPr>
        <w:tc>
          <w:tcPr>
            <w:tcW w:w="42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040" w:type="dxa"/>
            <w:vAlign w:val="bottom"/>
            <w:gridSpan w:val="2"/>
          </w:tcPr>
          <w:p>
            <w:pPr>
              <w:ind w:left="20"/>
              <w:spacing w:after="0"/>
              <w:rPr>
                <w:sz w:val="20"/>
                <w:szCs w:val="20"/>
                <w:color w:val="auto"/>
              </w:rPr>
            </w:pPr>
            <w:r>
              <w:rPr>
                <w:rFonts w:ascii="Arial" w:cs="Arial" w:eastAsia="Arial" w:hAnsi="Arial"/>
                <w:sz w:val="14"/>
                <w:szCs w:val="14"/>
                <w:color w:val="auto"/>
              </w:rPr>
              <w:t>of Shares Purchased</w:t>
            </w:r>
          </w:p>
        </w:tc>
        <w:tc>
          <w:tcPr>
            <w:tcW w:w="1860" w:type="dxa"/>
            <w:vAlign w:val="bottom"/>
            <w:gridSpan w:val="2"/>
          </w:tcPr>
          <w:p>
            <w:pPr>
              <w:jc w:val="right"/>
              <w:ind w:right="940"/>
              <w:spacing w:after="0"/>
              <w:rPr>
                <w:sz w:val="20"/>
                <w:szCs w:val="20"/>
                <w:color w:val="auto"/>
              </w:rPr>
            </w:pPr>
            <w:r>
              <w:rPr>
                <w:rFonts w:ascii="Arial" w:cs="Arial" w:eastAsia="Arial" w:hAnsi="Arial"/>
                <w:sz w:val="14"/>
                <w:szCs w:val="14"/>
                <w:color w:val="auto"/>
                <w:w w:val="96"/>
              </w:rPr>
              <w:t>Paid per Share</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7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the Plans or Programs</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7/1/2017 to</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7/31/2017</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8/1/2017 to</w:t>
            </w:r>
          </w:p>
        </w:tc>
        <w:tc>
          <w:tcPr>
            <w:tcW w:w="2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6,484</w:t>
            </w:r>
            <w:r>
              <w:rPr>
                <w:rFonts w:ascii="Arial" w:cs="Arial" w:eastAsia="Arial" w:hAnsi="Arial"/>
                <w:sz w:val="15"/>
                <w:szCs w:val="15"/>
                <w:color w:val="auto"/>
              </w:rPr>
              <w:t>(2)</w:t>
            </w:r>
          </w:p>
        </w:tc>
        <w:tc>
          <w:tcPr>
            <w:tcW w:w="1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28.28</w:t>
            </w:r>
            <w:r>
              <w:rPr>
                <w:rFonts w:ascii="Arial" w:cs="Arial" w:eastAsia="Arial" w:hAnsi="Arial"/>
                <w:sz w:val="15"/>
                <w:szCs w:val="15"/>
                <w:color w:val="auto"/>
              </w:rPr>
              <w:t>(2)</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8/31/2017</w:t>
            </w: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9/1/2017 to</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9/30/2017</w:t>
            </w:r>
          </w:p>
        </w:tc>
        <w:tc>
          <w:tcPr>
            <w:tcW w:w="118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6,484</w:t>
            </w:r>
          </w:p>
        </w:tc>
        <w:tc>
          <w:tcPr>
            <w:tcW w:w="1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28.28</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00" w:hanging="452"/>
        <w:spacing w:after="0" w:line="28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From time to time, the Company purchases shares in the market pursuant to a stock repurchase program publicly announced on January 20, 2017. On that date, the Board of Directors authorized the repurchase of 200,000 common shares between January 20, 2017 and December 31, 2017. The number of shares authorized to repurchase has been adjusted to reflect a two-for-one split on September 20, 2017.</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 (Continued)</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DEFAULTS UPON SENIOR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58"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60">
        <w:r>
          <w:rPr>
            <w:rFonts w:ascii="Arial" w:cs="Arial" w:eastAsia="Arial" w:hAnsi="Arial"/>
            <w:sz w:val="16"/>
            <w:szCs w:val="16"/>
            <w:u w:val="single" w:color="auto"/>
            <w:color w:val="0000EE"/>
          </w:rPr>
          <w:t>Amended Articles of Incorporation of the Registrant</w:t>
        </w:r>
      </w:hyperlink>
    </w:p>
    <w:p>
      <w:pPr>
        <w:spacing w:after="0" w:line="117" w:lineRule="exact"/>
        <w:rPr>
          <w:sz w:val="20"/>
          <w:szCs w:val="20"/>
          <w:color w:val="auto"/>
        </w:rPr>
      </w:pPr>
    </w:p>
    <w:p>
      <w:pPr>
        <w:ind w:left="700" w:hanging="688"/>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8">
        <w:r>
          <w:rPr>
            <w:rFonts w:ascii="Arial" w:cs="Arial" w:eastAsia="Arial" w:hAnsi="Arial"/>
            <w:sz w:val="18"/>
            <w:szCs w:val="18"/>
            <w:u w:val="single" w:color="auto"/>
            <w:color w:val="0000EE"/>
          </w:rPr>
          <w:t>Amended and Restated Code of Regulations of the Registrant (incorporated by reference to Registrant’s Quarterly Report on Form 10-Q filed with</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the Commission on July 26, 2017)</w:t>
        </w:r>
      </w:hyperlink>
    </w:p>
    <w:p>
      <w:pPr>
        <w:spacing w:after="0" w:line="62"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2">
        <w:r>
          <w:rPr>
            <w:rFonts w:ascii="Arial" w:cs="Arial" w:eastAsia="Arial" w:hAnsi="Arial"/>
            <w:sz w:val="16"/>
            <w:szCs w:val="16"/>
            <w:u w:val="single" w:color="auto"/>
            <w:color w:val="0000EE"/>
          </w:rPr>
          <w:t>Rule 13-a-14(a) Certification - CEO</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3">
        <w:r>
          <w:rPr>
            <w:rFonts w:ascii="Arial" w:cs="Arial" w:eastAsia="Arial" w:hAnsi="Arial"/>
            <w:sz w:val="16"/>
            <w:szCs w:val="16"/>
            <w:u w:val="single" w:color="auto"/>
            <w:color w:val="0000EE"/>
          </w:rPr>
          <w:t>Rule 13-a-14(a) Certification - CFO</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64">
        <w:r>
          <w:rPr>
            <w:rFonts w:ascii="Arial" w:cs="Arial" w:eastAsia="Arial" w:hAnsi="Arial"/>
            <w:sz w:val="16"/>
            <w:szCs w:val="16"/>
            <w:u w:val="single" w:color="auto"/>
            <w:color w:val="0000EE"/>
          </w:rPr>
          <w:t>Section 1350 Certification - CEO</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65">
        <w:r>
          <w:rPr>
            <w:rFonts w:ascii="Arial" w:cs="Arial" w:eastAsia="Arial" w:hAnsi="Arial"/>
            <w:sz w:val="16"/>
            <w:szCs w:val="16"/>
            <w:u w:val="single" w:color="auto"/>
            <w:color w:val="0000EE"/>
          </w:rPr>
          <w:t>Section 1350 Certification - CFO</w:t>
        </w:r>
      </w:hyperlink>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160" w:type="dxa"/>
            <w:vAlign w:val="bottom"/>
          </w:tcPr>
          <w:p>
            <w:pPr>
              <w:ind w:left="480"/>
              <w:spacing w:after="0"/>
              <w:rPr>
                <w:sz w:val="20"/>
                <w:szCs w:val="20"/>
                <w:color w:val="auto"/>
              </w:rPr>
            </w:pPr>
            <w:r>
              <w:rPr>
                <w:rFonts w:ascii="Arial" w:cs="Arial" w:eastAsia="Arial" w:hAnsi="Arial"/>
                <w:sz w:val="18"/>
                <w:szCs w:val="18"/>
                <w:color w:val="auto"/>
              </w:rPr>
              <w:t>XBRL Instance Document (1)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160" w:type="dxa"/>
            <w:vAlign w:val="bottom"/>
          </w:tcPr>
          <w:p>
            <w:pPr>
              <w:ind w:left="480"/>
              <w:spacing w:after="0"/>
              <w:rPr>
                <w:sz w:val="20"/>
                <w:szCs w:val="20"/>
                <w:color w:val="auto"/>
              </w:rPr>
            </w:pPr>
            <w:r>
              <w:rPr>
                <w:rFonts w:ascii="Arial" w:cs="Arial" w:eastAsia="Arial" w:hAnsi="Arial"/>
                <w:sz w:val="18"/>
                <w:szCs w:val="18"/>
                <w:color w:val="auto"/>
              </w:rPr>
              <w:t>XBRLTaxonomy Extension Schem Document (1)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tcPr>
          <w:p>
            <w:pPr>
              <w:ind w:left="480"/>
              <w:spacing w:after="0"/>
              <w:rPr>
                <w:sz w:val="20"/>
                <w:szCs w:val="20"/>
                <w:color w:val="auto"/>
              </w:rPr>
            </w:pPr>
            <w:r>
              <w:rPr>
                <w:rFonts w:ascii="Arial" w:cs="Arial" w:eastAsia="Arial" w:hAnsi="Arial"/>
                <w:sz w:val="18"/>
                <w:szCs w:val="18"/>
                <w:color w:val="auto"/>
                <w:w w:val="92"/>
              </w:rPr>
              <w:t>XBRL Taxonomy Extension Calculation Linkbase Document (1)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tcPr>
          <w:p>
            <w:pPr>
              <w:ind w:left="480"/>
              <w:spacing w:after="0"/>
              <w:rPr>
                <w:sz w:val="20"/>
                <w:szCs w:val="20"/>
                <w:color w:val="auto"/>
              </w:rPr>
            </w:pPr>
            <w:r>
              <w:rPr>
                <w:rFonts w:ascii="Arial" w:cs="Arial" w:eastAsia="Arial" w:hAnsi="Arial"/>
                <w:sz w:val="18"/>
                <w:szCs w:val="18"/>
                <w:color w:val="auto"/>
                <w:w w:val="95"/>
              </w:rPr>
              <w:t>XBRLTaxonomy Extension Definition Linkbase Document (1)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tcPr>
          <w:p>
            <w:pPr>
              <w:ind w:left="480"/>
              <w:spacing w:after="0"/>
              <w:rPr>
                <w:sz w:val="20"/>
                <w:szCs w:val="20"/>
                <w:color w:val="auto"/>
              </w:rPr>
            </w:pPr>
            <w:r>
              <w:rPr>
                <w:rFonts w:ascii="Arial" w:cs="Arial" w:eastAsia="Arial" w:hAnsi="Arial"/>
                <w:sz w:val="18"/>
                <w:szCs w:val="18"/>
                <w:color w:val="auto"/>
              </w:rPr>
              <w:t>XBRLTaxonomy Extension Label Linkbase Document (1)</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160" w:type="dxa"/>
            <w:vAlign w:val="bottom"/>
          </w:tcPr>
          <w:p>
            <w:pPr>
              <w:ind w:left="480"/>
              <w:spacing w:after="0"/>
              <w:rPr>
                <w:sz w:val="20"/>
                <w:szCs w:val="20"/>
                <w:color w:val="auto"/>
              </w:rPr>
            </w:pPr>
            <w:r>
              <w:rPr>
                <w:rFonts w:ascii="Arial" w:cs="Arial" w:eastAsia="Arial" w:hAnsi="Arial"/>
                <w:sz w:val="18"/>
                <w:szCs w:val="18"/>
                <w:color w:val="auto"/>
                <w:w w:val="90"/>
              </w:rPr>
              <w:t>XBRLTaxonomy Extension Presentation Linkbase Document (1)</w:t>
            </w:r>
          </w:p>
        </w:tc>
      </w:tr>
      <w:tr>
        <w:trPr>
          <w:trHeight w:val="365"/>
        </w:trPr>
        <w:tc>
          <w:tcPr>
            <w:tcW w:w="1140" w:type="dxa"/>
            <w:vAlign w:val="bottom"/>
          </w:tcPr>
          <w:p>
            <w:pPr>
              <w:spacing w:after="0"/>
              <w:rPr>
                <w:sz w:val="24"/>
                <w:szCs w:val="24"/>
                <w:color w:val="auto"/>
              </w:rPr>
            </w:pPr>
          </w:p>
        </w:tc>
        <w:tc>
          <w:tcPr>
            <w:tcW w:w="5160" w:type="dxa"/>
            <w:vAlign w:val="bottom"/>
          </w:tcPr>
          <w:p>
            <w:pPr>
              <w:ind w:left="448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Farmers &amp; Merchants Bancorp,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25, 2017</w:t>
            </w: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By:  /s/ Paul S. Siebenmorgen</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Paul S. Siebenmorgen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President and CEO</w:t>
            </w:r>
          </w:p>
        </w:tc>
      </w:tr>
      <w:tr>
        <w:trPr>
          <w:trHeight w:val="581"/>
        </w:trPr>
        <w:tc>
          <w:tcPr>
            <w:tcW w:w="3660" w:type="dxa"/>
            <w:vAlign w:val="bottom"/>
          </w:tcPr>
          <w:p>
            <w:pPr>
              <w:spacing w:after="0"/>
              <w:rPr>
                <w:sz w:val="20"/>
                <w:szCs w:val="20"/>
                <w:color w:val="auto"/>
              </w:rPr>
            </w:pPr>
            <w:r>
              <w:rPr>
                <w:rFonts w:ascii="Arial" w:cs="Arial" w:eastAsia="Arial" w:hAnsi="Arial"/>
                <w:sz w:val="18"/>
                <w:szCs w:val="18"/>
                <w:color w:val="auto"/>
              </w:rPr>
              <w:t>Date: October 25, 2017</w:t>
            </w: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By:  /s/ Barbara J. Britenriker</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Barbara J. Britenriker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 Vice-President and CFO</w:t>
            </w:r>
          </w:p>
        </w:tc>
      </w:tr>
      <w:tr>
        <w:trPr>
          <w:trHeight w:val="365"/>
        </w:trPr>
        <w:tc>
          <w:tcPr>
            <w:tcW w:w="3660" w:type="dxa"/>
            <w:vAlign w:val="bottom"/>
          </w:tcPr>
          <w:p>
            <w:pPr>
              <w:spacing w:after="0"/>
              <w:rPr>
                <w:sz w:val="24"/>
                <w:szCs w:val="24"/>
                <w:color w:val="auto"/>
              </w:rPr>
            </w:pP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59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Exhibit 3.1</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ARTICLES OF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FARMERS &amp; MERCHANTS BANCORP, INC.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Effective August 25,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desiring to form a corporation for profit, under the General Corporation Law of Ohio, does hereby certify: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this Corporation shall be FARMERS &amp; MERCHANTS BANCORP,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place in Ohio where its principal office is to be located is Archbold, Fulton County, Ohio.</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for which the Corporation is formed is to engage in any lawful act or activity for which corporations may be formed under Sections</w:t>
      </w:r>
      <w:r>
        <w:rPr>
          <w:rFonts w:ascii="Arial" w:cs="Arial" w:eastAsia="Arial" w:hAnsi="Arial"/>
          <w:sz w:val="18"/>
          <w:szCs w:val="18"/>
          <w:b w:val="1"/>
          <w:bCs w:val="1"/>
          <w:color w:val="auto"/>
        </w:rPr>
        <w:t xml:space="preserve"> </w:t>
      </w:r>
      <w:r>
        <w:rPr>
          <w:rFonts w:ascii="Arial" w:cs="Arial" w:eastAsia="Arial" w:hAnsi="Arial"/>
          <w:sz w:val="18"/>
          <w:szCs w:val="18"/>
          <w:color w:val="auto"/>
        </w:rPr>
        <w:t>1701.01 to 1701.98, inclusive, of the Ohio Revised Code.</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 number of shares which the Corporation is authorized to have outstanding is 20,000,000 shares all of which shall be common shares,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par value (the “Shares”). The holders of the Shares are entitled at all times, except in the election of directors where the Shares may be voted cumulatively, to one (1) vote for each Share and to such dividends as the Board of Directors (herein called the “Board”) may in its discretion periodically declare. In the event of any liquidation, dissolution or winding up of the Corporation, the remaining assets of the Corporation after the payment of all debts and necessary expenses shall be distributed among the holders of the Shares pro rata in accordance with their respective Share holdings.</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The number of Directors of the Corporation shall be fixed from time to time by its Code of Regulations and may be increased or decreased as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but the number thereof shall in no event be less than nine.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w:t>
      </w:r>
    </w:p>
    <w:p>
      <w:pPr>
        <w:spacing w:after="0" w:line="229" w:lineRule="exact"/>
        <w:rPr>
          <w:sz w:val="20"/>
          <w:szCs w:val="20"/>
          <w:color w:val="auto"/>
        </w:rPr>
      </w:pPr>
    </w:p>
    <w:p>
      <w:pPr>
        <w:ind w:left="1220" w:hanging="299"/>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provided in Clause (B) of this Article SIXTH:</w:t>
      </w:r>
    </w:p>
    <w:p>
      <w:pPr>
        <w:spacing w:after="0" w:line="225" w:lineRule="exact"/>
        <w:rPr>
          <w:rFonts w:ascii="Arial" w:cs="Arial" w:eastAsia="Arial" w:hAnsi="Arial"/>
          <w:sz w:val="18"/>
          <w:szCs w:val="18"/>
          <w:color w:val="auto"/>
        </w:rPr>
      </w:pPr>
    </w:p>
    <w:p>
      <w:pPr>
        <w:ind w:left="2160" w:hanging="212"/>
        <w:spacing w:after="0"/>
        <w:tabs>
          <w:tab w:leader="none" w:pos="2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merger or consolidation of the Corporation with or into any other corporation;</w:t>
      </w:r>
    </w:p>
    <w:p>
      <w:pPr>
        <w:spacing w:after="0" w:line="225" w:lineRule="exact"/>
        <w:rPr>
          <w:rFonts w:ascii="Arial" w:cs="Arial" w:eastAsia="Arial" w:hAnsi="Arial"/>
          <w:sz w:val="18"/>
          <w:szCs w:val="18"/>
          <w:color w:val="auto"/>
        </w:rPr>
      </w:pPr>
    </w:p>
    <w:p>
      <w:pPr>
        <w:ind w:right="140" w:firstLine="1948"/>
        <w:spacing w:after="0" w:line="277" w:lineRule="auto"/>
        <w:tabs>
          <w:tab w:leader="none" w:pos="22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sale, lease, exchange or other disposition of all or any substantial part of the assets of the Corporation to or with any other corporation, person or other entity;</w:t>
      </w:r>
    </w:p>
    <w:p>
      <w:pPr>
        <w:spacing w:after="0" w:line="170" w:lineRule="exact"/>
        <w:rPr>
          <w:rFonts w:ascii="Arial" w:cs="Arial" w:eastAsia="Arial" w:hAnsi="Arial"/>
          <w:sz w:val="18"/>
          <w:szCs w:val="18"/>
          <w:color w:val="auto"/>
        </w:rPr>
      </w:pPr>
    </w:p>
    <w:p>
      <w:pPr>
        <w:ind w:right="320" w:firstLine="1948"/>
        <w:spacing w:after="0" w:line="264" w:lineRule="auto"/>
        <w:tabs>
          <w:tab w:leader="none" w:pos="22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issuance or transfer of any securities of the Corporation to any other corporation, person or other entity in exchange for assets or securities or a combination thereof (except assets or securities or a combination thereof so acquired in a single transaction or a series of related transactions having an aggregate fair market value of less than $250,000); or</w:t>
      </w:r>
    </w:p>
    <w:p>
      <w:pPr>
        <w:spacing w:after="0" w:line="181" w:lineRule="exact"/>
        <w:rPr>
          <w:rFonts w:ascii="Arial" w:cs="Arial" w:eastAsia="Arial" w:hAnsi="Arial"/>
          <w:sz w:val="18"/>
          <w:szCs w:val="18"/>
          <w:color w:val="auto"/>
        </w:rPr>
      </w:pPr>
    </w:p>
    <w:p>
      <w:pPr>
        <w:ind w:left="2260" w:hanging="312"/>
        <w:spacing w:after="0"/>
        <w:tabs>
          <w:tab w:leader="none" w:pos="22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issuance or transfer of any securities of the Corporation to any other corporation, person or other entity for cash;</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shall require the affirmative vote of the holders of at least a majority of the outstanding shares of capital stock of the Corporation which are not beneficially owned by such other corporation, person or other entity as of the record date for the determination of shareholders entitled to notice thereof and to vote thereon, such other corporation, person or entity is the beneficial owner, directly or indirectly, of 10% or more of the outstanding shares of capital stock of the Corporation entitled to vote generally in the election of Directors, considered for the purposes of this Article SIXTH as one class. Such affirmative vote shall be required notwithstanding the fact that no vote may be required, or that some lesser percentage may be specified, by law or in any agreement with any national securities exchange.</w:t>
      </w:r>
    </w:p>
    <w:p>
      <w:pPr>
        <w:spacing w:after="0" w:line="193" w:lineRule="exact"/>
        <w:rPr>
          <w:sz w:val="20"/>
          <w:szCs w:val="20"/>
          <w:color w:val="auto"/>
        </w:rPr>
      </w:pPr>
    </w:p>
    <w:p>
      <w:pPr>
        <w:ind w:right="160" w:firstLine="921"/>
        <w:spacing w:after="0" w:line="288" w:lineRule="auto"/>
        <w:tabs>
          <w:tab w:leader="none" w:pos="119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provisions of this Article SIXTH shall not apply to any transaction described in clauses (i), (ii), (iii) or (iv) of Clause (A) of this Article SIXTH, (i) with another corporation if a majority, by vote, of the outstanding shares of all classes of capital stock of such other corporation entitled to vote generally in the election of Directors, considered for this purpose as one class, is owned of record or beneficially by the Corporation and/or its subsidiaries;</w:t>
      </w:r>
    </w:p>
    <w:p>
      <w:pPr>
        <w:ind w:right="20" w:firstLine="8"/>
        <w:spacing w:after="0" w:line="271" w:lineRule="auto"/>
        <w:tabs>
          <w:tab w:leader="none" w:pos="2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another corporation, person or other entity if the Board of Directors of the Corporation shall by resolution have approved a memorandum of understanding with such other corporation, person or other entity with respect to and substantially consistent with such transaction prior to the time such other corporation, person or other entity became the beneficial owner, directly or indirectly, of 10% or more of the outstanding shares of capital stock of the Corporation entitled to vote generally in the election of Directors; or (iii) approved by resolution adopted by the affirmative vote of at least three-fourths of the members of the whole Board of Directors of the Corporation at any time prior to the consummation thereof.</w:t>
      </w:r>
    </w:p>
    <w:p>
      <w:pPr>
        <w:sectPr>
          <w:pgSz w:w="11900" w:h="16838" w:orient="portrait"/>
          <w:cols w:equalWidth="0" w:num="1">
            <w:col w:w="11420"/>
          </w:cols>
          <w:pgMar w:left="240" w:top="125" w:right="239" w:bottom="1440" w:gutter="0" w:footer="0" w:header="0"/>
        </w:sectPr>
      </w:pPr>
    </w:p>
    <w:bookmarkStart w:id="60" w:name="page61"/>
    <w:bookmarkEnd w:id="60"/>
    <w:p>
      <w:pPr>
        <w:ind w:right="140" w:firstLine="921"/>
        <w:spacing w:after="0" w:line="284" w:lineRule="auto"/>
        <w:tabs>
          <w:tab w:leader="none" w:pos="1198"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Article SIXTH, a corporation, person or other entity shall be deemed to be the beneficial owner of any shares of capital stock of the corporation (i) which it has the right to acquire pursuant to any agreement, or upon exercise of conversion rights, warrants or options, or otherwise; or (ii) which are beneficially owned, directly or indirectly (including shares deemed owned through application or clause (i) above), by any other corporation, person or other entity with which it or its “affiliate” or “associate” (as defined below) has any agreement, arrangement or understanding for the purpose of acquiring, holding, voting or disposing of capital stock of the Corporation or which is its “affiliate” or “associate” as those terms were defined in Rule 12b-2 of the general rules and regulations under the Securities Exchange Act of 1934 as in effect on December 1, 1984. For the purposes of this Article SIXTH, the outstanding shares of any class of capital stock of the Corporation shall include shares deemed owned through the application of clauses (i) and</w:t>
      </w:r>
    </w:p>
    <w:p>
      <w:pPr>
        <w:spacing w:after="0" w:line="2" w:lineRule="exact"/>
        <w:rPr>
          <w:rFonts w:ascii="Arial" w:cs="Arial" w:eastAsia="Arial" w:hAnsi="Arial"/>
          <w:sz w:val="16"/>
          <w:szCs w:val="16"/>
          <w:color w:val="auto"/>
        </w:rPr>
      </w:pPr>
    </w:p>
    <w:p>
      <w:pPr>
        <w:ind w:right="4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this Clause (C) but shall not include any other shares which may be issuable pursuant to any agreement, or upon exercise of conversion rights, warrants or options, or otherwise.</w:t>
      </w:r>
    </w:p>
    <w:p>
      <w:pPr>
        <w:spacing w:after="0" w:line="183" w:lineRule="exact"/>
        <w:rPr>
          <w:rFonts w:ascii="Arial" w:cs="Arial" w:eastAsia="Arial" w:hAnsi="Arial"/>
          <w:sz w:val="18"/>
          <w:szCs w:val="18"/>
          <w:color w:val="auto"/>
        </w:rPr>
      </w:pPr>
    </w:p>
    <w:p>
      <w:pPr>
        <w:ind w:right="20" w:firstLine="921"/>
        <w:spacing w:after="0" w:line="271" w:lineRule="auto"/>
        <w:tabs>
          <w:tab w:leader="none" w:pos="1208"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Board of Directors of the Corporation shall have the power and duty to determine for the purposes of this Article SIXTH, on the basis of information that known to it, whether (i) any other corporation, person or other entity beneficially owns, directly or indirectly, 10% or more of the outstanding shares of capital stock of the Corporation entitled to vote generally in the election of Directors, or is an “affiliate” or an “associate” (as defined above) of another, (ii) any proposed sale, lease, exchange or other disposition of part of the assets of the Corporation involves a substantial part of the assets of the Corporation, (iii) assets or securities, or a combination thereof, to be acquired in exchange for securities of the Corporation, have an aggregate fair market value of less than $250,000 and whether the same are proposed to be acquired in a single transaction or a series of related transactions, and (iv) the memorandum of understanding referred to above is substantially consistent with the transaction to which it relates. Any such determination by the Board shall be conclusive and binding for all purposes of this Article SIXTH.</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SEVENTH</w:t>
      </w:r>
      <w:r>
        <w:rPr>
          <w:rFonts w:ascii="Arial" w:cs="Arial" w:eastAsia="Arial" w:hAnsi="Arial"/>
          <w:sz w:val="16"/>
          <w:szCs w:val="16"/>
          <w:color w:val="auto"/>
        </w:rPr>
        <w:t>: The Board of Directors of the Corporation, when evaluating any offer of another party to (i) purchase or exchange any securities or property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outstanding equity securities of the Corporation, (ii) merge or consolidate the Corporation with another corporation, or (iii) purchase or otherwise acquire all or substantially all of the properties and assets of the Corporation, shall, in connection with the exercise of its judgment in determining what is in the best interests of the Corporation and its shareholders, give due consideration not only to the price or other consideration being offered, but also to all other relevant factors, including without limitation the financial and managerial resources and future prospects of the other party, the possible effects on the business of the Corporation and its subsidiaries and on the depositors, employees, and other constituents of the Corporation and its subsidiaries; and the possible effects on the communities and the public interest which the Corporation and its subsidiaries serve. In evaluating any such offer, the Board of Directors shall be deemed to be performing their duly authorized duties and acting in good faith and in the best interests of the Corporation within the meaning of Section 1701.13 of the Ohio Revised Code, as it may be amended from time to time, and the Corporation’s Code of Regulations.</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When authorized by the affirmative vote of a majority of the Board of Directors, without the action or approval of the shareholders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this Corporation may redeem, purchase, or contract to purchase, at any time and from time to time, shares of any class issued by this Corporation for such prices and upon and subject to such terms and conditions as the Board of Directors may determine.</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Except as otherwise required by these Articles and notwithstanding any provision of law requiring any greater affirmative vote, any amendments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Articles may be made, by the affirmative vote of the holders of 66 2/3% of the total number of shares voted with respect to such proposed amendment, including for the purposes of this Article NINTH shares voted for, against or abstain, but excluding any shares not voted, provided however, that the total number of shares voted in favor of the amendment represent at least a simple majority of the total voting power of the Corporation. In addition to the foregoing voting requirements, any amendment of these Articles that is inconsistent with, or would have the effect of altering or repealing the provisions of Article SIXTH of the Corporation’s Articles of Incorporation shall require the affirmative vote of the holders of Shares that would be required to approve a transaction under the provisions of Article SIXTH.</w:t>
      </w:r>
    </w:p>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252"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52"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900" w:right="60" w:hanging="446"/>
        <w:spacing w:after="0" w:line="29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480" w:right="380" w:hanging="567"/>
        <w:spacing w:after="0" w:line="342" w:lineRule="auto"/>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25,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S. Siebenmorgen</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Paul S. Siebenmorgen</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25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52"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900" w:right="60" w:hanging="446"/>
        <w:spacing w:after="0" w:line="291"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90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80" w:right="160" w:hanging="567"/>
        <w:spacing w:after="0" w:line="264"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right="40" w:hanging="567"/>
        <w:spacing w:after="0" w:line="264"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200" w:hanging="567"/>
        <w:spacing w:after="0" w:line="264"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00" w:right="20" w:hanging="446"/>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9" w:lineRule="exact"/>
        <w:rPr>
          <w:rFonts w:ascii="Arial" w:cs="Arial" w:eastAsia="Arial" w:hAnsi="Arial"/>
          <w:sz w:val="16"/>
          <w:szCs w:val="16"/>
          <w:color w:val="auto"/>
        </w:rPr>
      </w:pPr>
    </w:p>
    <w:p>
      <w:pPr>
        <w:ind w:left="1480" w:right="380" w:hanging="567"/>
        <w:spacing w:after="0" w:line="342" w:lineRule="auto"/>
        <w:tabs>
          <w:tab w:leader="none" w:pos="1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80" w:right="140" w:hanging="567"/>
        <w:spacing w:after="0" w:line="277"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25,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Barbara J. Britenriker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Barbara J Britenriker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2017 as filed with the Securities and Exchange Commission (“the report”), I, Paul S. Siebenmorgen, President and Chief Executive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00" w:right="300" w:hanging="446"/>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25,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S. Siebenmorgen</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Paul S. Siebenmorgen, President and</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2017,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900" w:right="300" w:hanging="446"/>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25, 2017</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Barbara J. Britenriker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Barbara J. Britenriker, Exec. Vice President</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lvl w:ilvl="1">
      <w:lvlJc w:val="left"/>
      <w:lvlText w:val="%2."/>
      <w:numFmt w:val="lowerLetter"/>
      <w:start w:val="1"/>
    </w:lvl>
  </w:abstractNum>
  <w:abstractNum w:abstractNumId="8">
    <w:nsid w:val="431BD7B7"/>
    <w:multiLevelType w:val="hybridMultilevel"/>
    <w:lvl w:ilvl="0">
      <w:lvlJc w:val="left"/>
      <w:lvlText w:val="%1."/>
      <w:numFmt w:val="decimal"/>
      <w:start w:val="5"/>
    </w:lvl>
    <w:lvl w:ilvl="1">
      <w:lvlJc w:val="left"/>
      <w:lvlText w:val="%2."/>
      <w:numFmt w:val="lowerLetter"/>
      <w:start w:val="1"/>
    </w:lvl>
  </w:abstractNum>
  <w:abstractNum w:abstractNumId="9">
    <w:nsid w:val="3F2DBA31"/>
    <w:multiLevelType w:val="hybridMultilevel"/>
    <w:lvl w:ilvl="0">
      <w:lvlJc w:val="left"/>
      <w:lvlText w:val="%1"/>
      <w:numFmt w:val="decimal"/>
      <w:start w:val="1"/>
    </w:lvl>
    <w:lvl w:ilvl="1">
      <w:lvlJc w:val="left"/>
      <w:lvlText w:val="%2."/>
      <w:numFmt w:val="lowerLetter"/>
      <w:start w:val="3"/>
    </w:lvl>
  </w:abstractNum>
  <w:abstractNum w:abstractNumId="10">
    <w:nsid w:val="7C83E458"/>
    <w:multiLevelType w:val="hybridMultilevel"/>
    <w:lvl w:ilvl="0">
      <w:lvlJc w:val="left"/>
      <w:lvlText w:val="%1."/>
      <w:numFmt w:val="decimal"/>
      <w:start w:val="8"/>
    </w:lvl>
    <w:lvl w:ilvl="1">
      <w:lvlJc w:val="left"/>
      <w:lvlText w:val="%2."/>
      <w:numFmt w:val="lowerLetter"/>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o"/>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upperLetter"/>
      <w:start w:val="1"/>
    </w:lvl>
    <w:lvl w:ilvl="1">
      <w:lvlJc w:val="left"/>
      <w:lvlText w:val="(%2)"/>
      <w:numFmt w:val="lowerRoman"/>
      <w:start w:val="1"/>
    </w:lvl>
  </w:abstractNum>
  <w:abstractNum w:abstractNumId="19">
    <w:nsid w:val="6763845E"/>
    <w:multiLevelType w:val="hybridMultilevel"/>
    <w:lvl w:ilvl="0">
      <w:lvlJc w:val="left"/>
      <w:lvlText w:val="%1"/>
      <w:numFmt w:val="lowerRoman"/>
      <w:start w:val="1"/>
    </w:lvl>
    <w:lvl w:ilvl="1">
      <w:lvlJc w:val="left"/>
      <w:lvlText w:val="(%2)"/>
      <w:numFmt w:val="upperLetter"/>
      <w:start w:val="2"/>
    </w:lvl>
  </w:abstractNum>
  <w:abstractNum w:abstractNumId="20">
    <w:nsid w:val="75A2A8D4"/>
    <w:multiLevelType w:val="hybridMultilevel"/>
    <w:lvl w:ilvl="0">
      <w:lvlJc w:val="left"/>
      <w:lvlText w:val="(%1)"/>
      <w:numFmt w:val="lowerRoman"/>
      <w:start w:val="2"/>
    </w:lvl>
    <w:lvl w:ilvl="1">
      <w:lvlJc w:val="left"/>
      <w:lvlText w:val="%2"/>
      <w:numFmt w:val="upperLetter"/>
      <w:start w:val="1"/>
    </w:lvl>
  </w:abstractNum>
  <w:abstractNum w:abstractNumId="21">
    <w:nsid w:val="8EDBDAB"/>
    <w:multiLevelType w:val="hybridMultilevel"/>
    <w:lvl w:ilvl="0">
      <w:lvlJc w:val="left"/>
      <w:lvlText w:val="%1"/>
      <w:numFmt w:val="lowerRoman"/>
      <w:start w:val="1"/>
    </w:lvl>
    <w:lvl w:ilvl="1">
      <w:lvlJc w:val="left"/>
      <w:lvlText w:val="(%2)"/>
      <w:numFmt w:val="upperLetter"/>
      <w:start w:val="3"/>
    </w:lvl>
  </w:abstractNum>
  <w:abstractNum w:abstractNumId="22">
    <w:nsid w:val="79838CB2"/>
    <w:multiLevelType w:val="hybridMultilevel"/>
    <w:lvl w:ilvl="0">
      <w:lvlJc w:val="left"/>
      <w:lvlText w:val="(%1)"/>
      <w:numFmt w:val="lowerRoman"/>
      <w:start w:val="2"/>
    </w:lvl>
    <w:lvl w:ilvl="1">
      <w:lvlJc w:val="left"/>
      <w:lvlText w:val="(%2)"/>
      <w:numFmt w:val="upperLetter"/>
      <w:start w:val="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8" Type="http://schemas.openxmlformats.org/officeDocument/2006/relationships/hyperlink" Target="http://www.sec.gov/Archives/edgar/data/792966/000119312517235925/d42299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2020-01-18T15:01:50Z</dcterms:created>
  <dcterms:modified xsi:type="dcterms:W3CDTF">2020-01-18T15:01:50Z</dcterms:modified>
</cp:coreProperties>
</file>