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FARMERS &amp; MERCHANTS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186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4960" w:type="dxa"/>
            <w:vAlign w:val="bottom"/>
            <w:gridSpan w:val="2"/>
          </w:tcPr>
          <w:p>
            <w:pPr>
              <w:jc w:val="center"/>
              <w:ind w:right="3870"/>
              <w:spacing w:after="0"/>
              <w:rPr>
                <w:sz w:val="20"/>
                <w:szCs w:val="20"/>
                <w:color w:val="auto"/>
              </w:rPr>
            </w:pPr>
            <w:r>
              <w:rPr>
                <w:rFonts w:ascii="Arial" w:cs="Arial" w:eastAsia="Arial" w:hAnsi="Arial"/>
                <w:sz w:val="18"/>
                <w:szCs w:val="18"/>
                <w:b w:val="1"/>
                <w:bCs w:val="1"/>
                <w:color w:val="auto"/>
              </w:rPr>
              <w:t>OHIO</w:t>
            </w:r>
          </w:p>
        </w:tc>
        <w:tc>
          <w:tcPr>
            <w:tcW w:w="2660" w:type="dxa"/>
            <w:vAlign w:val="bottom"/>
          </w:tcPr>
          <w:p>
            <w:pPr>
              <w:jc w:val="right"/>
              <w:ind w:right="840"/>
              <w:spacing w:after="0"/>
              <w:rPr>
                <w:sz w:val="20"/>
                <w:szCs w:val="20"/>
                <w:color w:val="auto"/>
              </w:rPr>
            </w:pPr>
            <w:r>
              <w:rPr>
                <w:rFonts w:ascii="Arial" w:cs="Arial" w:eastAsia="Arial" w:hAnsi="Arial"/>
                <w:sz w:val="18"/>
                <w:szCs w:val="18"/>
                <w:b w:val="1"/>
                <w:bCs w:val="1"/>
                <w:color w:val="auto"/>
              </w:rPr>
              <w:t>34-1469491</w:t>
            </w:r>
          </w:p>
        </w:tc>
        <w:tc>
          <w:tcPr>
            <w:tcW w:w="0" w:type="dxa"/>
            <w:vAlign w:val="bottom"/>
          </w:tcPr>
          <w:p>
            <w:pPr>
              <w:spacing w:after="0"/>
              <w:rPr>
                <w:sz w:val="1"/>
                <w:szCs w:val="1"/>
                <w:color w:val="auto"/>
              </w:rPr>
            </w:pPr>
          </w:p>
        </w:tc>
      </w:tr>
      <w:tr>
        <w:trPr>
          <w:trHeight w:val="149"/>
        </w:trPr>
        <w:tc>
          <w:tcPr>
            <w:tcW w:w="5460" w:type="dxa"/>
            <w:vAlign w:val="bottom"/>
            <w:gridSpan w:val="3"/>
          </w:tcPr>
          <w:p>
            <w:pPr>
              <w:jc w:val="center"/>
              <w:ind w:right="337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5460" w:type="dxa"/>
            <w:vAlign w:val="bottom"/>
            <w:gridSpan w:val="3"/>
          </w:tcPr>
          <w:p>
            <w:pPr>
              <w:jc w:val="center"/>
              <w:ind w:right="3370"/>
              <w:spacing w:after="0"/>
              <w:rPr>
                <w:sz w:val="20"/>
                <w:szCs w:val="20"/>
                <w:color w:val="auto"/>
              </w:rPr>
            </w:pPr>
            <w:r>
              <w:rPr>
                <w:rFonts w:ascii="Arial" w:cs="Arial" w:eastAsia="Arial" w:hAnsi="Arial"/>
                <w:sz w:val="14"/>
                <w:szCs w:val="14"/>
                <w:b w:val="1"/>
                <w:bCs w:val="1"/>
                <w:color w:val="auto"/>
                <w:w w:val="94"/>
              </w:rPr>
              <w:t>incorporation or organization)</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5460" w:type="dxa"/>
            <w:vAlign w:val="bottom"/>
            <w:gridSpan w:val="3"/>
          </w:tcPr>
          <w:p>
            <w:pPr>
              <w:jc w:val="center"/>
              <w:ind w:right="3370"/>
              <w:spacing w:after="0"/>
              <w:rPr>
                <w:sz w:val="20"/>
                <w:szCs w:val="20"/>
                <w:color w:val="auto"/>
              </w:rPr>
            </w:pPr>
            <w:r>
              <w:rPr>
                <w:rFonts w:ascii="Arial" w:cs="Arial" w:eastAsia="Arial" w:hAnsi="Arial"/>
                <w:sz w:val="18"/>
                <w:szCs w:val="18"/>
                <w:b w:val="1"/>
                <w:bCs w:val="1"/>
                <w:color w:val="auto"/>
                <w:w w:val="91"/>
              </w:rPr>
              <w:t>307 North Defiance Street</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60" w:type="dxa"/>
            <w:vAlign w:val="bottom"/>
            <w:gridSpan w:val="3"/>
          </w:tcPr>
          <w:p>
            <w:pPr>
              <w:jc w:val="center"/>
              <w:ind w:right="3370"/>
              <w:spacing w:after="0"/>
              <w:rPr>
                <w:sz w:val="20"/>
                <w:szCs w:val="20"/>
                <w:color w:val="auto"/>
              </w:rPr>
            </w:pPr>
            <w:r>
              <w:rPr>
                <w:rFonts w:ascii="Arial" w:cs="Arial" w:eastAsia="Arial" w:hAnsi="Arial"/>
                <w:sz w:val="18"/>
                <w:szCs w:val="18"/>
                <w:b w:val="1"/>
                <w:bCs w:val="1"/>
                <w:color w:val="auto"/>
                <w:w w:val="92"/>
              </w:rPr>
              <w:t>Archbold, Ohio</w:t>
            </w:r>
          </w:p>
        </w:tc>
        <w:tc>
          <w:tcPr>
            <w:tcW w:w="2660" w:type="dxa"/>
            <w:vAlign w:val="bottom"/>
          </w:tcPr>
          <w:p>
            <w:pPr>
              <w:jc w:val="right"/>
              <w:ind w:right="1060"/>
              <w:spacing w:after="0"/>
              <w:rPr>
                <w:sz w:val="20"/>
                <w:szCs w:val="20"/>
                <w:color w:val="auto"/>
              </w:rPr>
            </w:pPr>
            <w:r>
              <w:rPr>
                <w:rFonts w:ascii="Arial" w:cs="Arial" w:eastAsia="Arial" w:hAnsi="Arial"/>
                <w:sz w:val="18"/>
                <w:szCs w:val="18"/>
                <w:b w:val="1"/>
                <w:bCs w:val="1"/>
                <w:color w:val="auto"/>
              </w:rPr>
              <w:t>43502</w:t>
            </w:r>
          </w:p>
        </w:tc>
        <w:tc>
          <w:tcPr>
            <w:tcW w:w="0" w:type="dxa"/>
            <w:vAlign w:val="bottom"/>
          </w:tcPr>
          <w:p>
            <w:pPr>
              <w:spacing w:after="0"/>
              <w:rPr>
                <w:sz w:val="1"/>
                <w:szCs w:val="1"/>
                <w:color w:val="auto"/>
              </w:rPr>
            </w:pPr>
          </w:p>
        </w:tc>
      </w:tr>
      <w:tr>
        <w:trPr>
          <w:trHeight w:val="149"/>
        </w:trPr>
        <w:tc>
          <w:tcPr>
            <w:tcW w:w="5460" w:type="dxa"/>
            <w:vAlign w:val="bottom"/>
            <w:gridSpan w:val="3"/>
          </w:tcPr>
          <w:p>
            <w:pPr>
              <w:jc w:val="center"/>
              <w:ind w:right="3350"/>
              <w:spacing w:after="0" w:line="149" w:lineRule="exact"/>
              <w:rPr>
                <w:sz w:val="20"/>
                <w:szCs w:val="20"/>
                <w:color w:val="auto"/>
              </w:rPr>
            </w:pPr>
            <w:r>
              <w:rPr>
                <w:rFonts w:ascii="Arial" w:cs="Arial" w:eastAsia="Arial" w:hAnsi="Arial"/>
                <w:sz w:val="14"/>
                <w:szCs w:val="14"/>
                <w:b w:val="1"/>
                <w:bCs w:val="1"/>
                <w:color w:val="auto"/>
                <w:w w:val="92"/>
              </w:rPr>
              <w:t>(Address of principal</w:t>
            </w:r>
          </w:p>
        </w:tc>
        <w:tc>
          <w:tcPr>
            <w:tcW w:w="2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5460" w:type="dxa"/>
            <w:vAlign w:val="bottom"/>
            <w:gridSpan w:val="3"/>
          </w:tcPr>
          <w:p>
            <w:pPr>
              <w:jc w:val="center"/>
              <w:ind w:right="3370"/>
              <w:spacing w:after="0"/>
              <w:rPr>
                <w:sz w:val="20"/>
                <w:szCs w:val="20"/>
                <w:color w:val="auto"/>
              </w:rPr>
            </w:pPr>
            <w:r>
              <w:rPr>
                <w:rFonts w:ascii="Arial" w:cs="Arial" w:eastAsia="Arial" w:hAnsi="Arial"/>
                <w:sz w:val="14"/>
                <w:szCs w:val="14"/>
                <w:b w:val="1"/>
                <w:bCs w:val="1"/>
                <w:color w:val="auto"/>
                <w:w w:val="90"/>
              </w:rPr>
              <w:t>Executive offices)</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500" w:type="dxa"/>
            <w:vAlign w:val="bottom"/>
          </w:tcPr>
          <w:p>
            <w:pPr>
              <w:spacing w:after="0"/>
              <w:rPr>
                <w:sz w:val="24"/>
                <w:szCs w:val="24"/>
                <w:color w:val="auto"/>
              </w:rPr>
            </w:pPr>
          </w:p>
        </w:tc>
        <w:tc>
          <w:tcPr>
            <w:tcW w:w="762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Registrant’s telephone number, including area code (419) 446-2501</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540" w:type="dxa"/>
            <w:vAlign w:val="bottom"/>
            <w:gridSpan w:val="2"/>
          </w:tcPr>
          <w:p>
            <w:pPr>
              <w:jc w:val="center"/>
              <w:ind w:right="190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4960" w:type="dxa"/>
            <w:vAlign w:val="bottom"/>
            <w:gridSpan w:val="2"/>
          </w:tcPr>
          <w:p>
            <w:pPr>
              <w:jc w:val="center"/>
              <w:ind w:right="379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80" w:type="dxa"/>
            <w:vAlign w:val="bottom"/>
            <w:vMerge w:val="restart"/>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8"/>
              </w:rPr>
              <w:t>None</w:t>
            </w:r>
          </w:p>
        </w:tc>
        <w:tc>
          <w:tcPr>
            <w:tcW w:w="3880" w:type="dxa"/>
            <w:vAlign w:val="bottom"/>
            <w:vMerge w:val="continue"/>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8"/>
              </w:rPr>
              <w:t>None</w:t>
            </w:r>
          </w:p>
        </w:tc>
        <w:tc>
          <w:tcPr>
            <w:tcW w:w="0" w:type="dxa"/>
            <w:vAlign w:val="bottom"/>
          </w:tcPr>
          <w:p>
            <w:pPr>
              <w:spacing w:after="0"/>
              <w:rPr>
                <w:sz w:val="1"/>
                <w:szCs w:val="1"/>
                <w:color w:val="auto"/>
              </w:rPr>
            </w:pPr>
          </w:p>
        </w:tc>
      </w:tr>
    </w:tbl>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shares without par value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tabs>
          <w:tab w:leader="none" w:pos="9520" w:val="left"/>
          <w:tab w:leader="none" w:pos="1026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60"/>
          </w:cols>
          <w:pgMar w:left="240" w:top="230" w:right="2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420" w:val="left"/>
          <w:tab w:leader="none" w:pos="9120" w:val="left"/>
        </w:tabs>
        <w:rPr>
          <w:sz w:val="20"/>
          <w:szCs w:val="20"/>
          <w:color w:val="auto"/>
        </w:rPr>
      </w:pPr>
      <w:r>
        <w:rPr>
          <w:rFonts w:ascii="Arial" w:cs="Arial" w:eastAsia="Arial" w:hAnsi="Arial"/>
          <w:sz w:val="17"/>
          <w:szCs w:val="17"/>
          <w:color w:val="auto"/>
        </w:rPr>
        <w:t>Indicated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aggregate market value of the registrant’s common stock held by non-affiliates of the registrant was $286,494,250.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24, 2018, the Registrant had 10,400,000 shares of common stock issued of which 9,265,980 shares are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Part III of Form 10-K – Portions of the definitive Proxy Statement for the 2018 Annual Meeting of Shareholders of Farmers &amp; Merchants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6"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0" w:type="dxa"/>
            <w:vAlign w:val="bottom"/>
            <w:gridSpan w:val="9"/>
          </w:tcPr>
          <w:p>
            <w:pPr>
              <w:jc w:val="center"/>
              <w:ind w:right="3160"/>
              <w:spacing w:after="0"/>
              <w:rPr>
                <w:sz w:val="20"/>
                <w:szCs w:val="20"/>
                <w:color w:val="auto"/>
              </w:rPr>
            </w:pPr>
            <w:r>
              <w:rPr>
                <w:rFonts w:ascii="Arial" w:cs="Arial" w:eastAsia="Arial" w:hAnsi="Arial"/>
                <w:sz w:val="18"/>
                <w:szCs w:val="18"/>
                <w:color w:val="auto"/>
                <w:w w:val="95"/>
              </w:rPr>
              <w:t>FARMERS &amp; MERCHANTS BANCORP, INC.</w:t>
            </w:r>
          </w:p>
        </w:tc>
        <w:tc>
          <w:tcPr>
            <w:tcW w:w="6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20" w:type="dxa"/>
            <w:vAlign w:val="bottom"/>
            <w:gridSpan w:val="6"/>
          </w:tcPr>
          <w:p>
            <w:pPr>
              <w:jc w:val="center"/>
              <w:ind w:right="3960"/>
              <w:spacing w:after="0"/>
              <w:rPr>
                <w:sz w:val="20"/>
                <w:szCs w:val="20"/>
                <w:color w:val="auto"/>
              </w:rPr>
            </w:pPr>
            <w:r>
              <w:rPr>
                <w:rFonts w:ascii="Arial" w:cs="Arial" w:eastAsia="Arial" w:hAnsi="Arial"/>
                <w:sz w:val="18"/>
                <w:szCs w:val="18"/>
                <w:color w:val="auto"/>
                <w:w w:val="95"/>
              </w:rPr>
              <w:t>TABLE OF CONTENTS</w:t>
            </w:r>
          </w:p>
        </w:tc>
        <w:tc>
          <w:tcPr>
            <w:tcW w:w="660" w:type="dxa"/>
            <w:vAlign w:val="bottom"/>
          </w:tcPr>
          <w:p>
            <w:pPr>
              <w:spacing w:after="0"/>
              <w:rPr>
                <w:sz w:val="20"/>
                <w:szCs w:val="20"/>
                <w:color w:val="auto"/>
              </w:rPr>
            </w:pPr>
          </w:p>
        </w:tc>
      </w:tr>
      <w:tr>
        <w:trPr>
          <w:trHeight w:val="378"/>
        </w:trPr>
        <w:tc>
          <w:tcPr>
            <w:tcW w:w="2460" w:type="dxa"/>
            <w:vAlign w:val="bottom"/>
            <w:gridSpan w:val="12"/>
          </w:tcPr>
          <w:p>
            <w:pPr>
              <w:spacing w:after="0"/>
              <w:rPr>
                <w:sz w:val="20"/>
                <w:szCs w:val="20"/>
                <w:color w:val="auto"/>
              </w:rPr>
            </w:pPr>
            <w:r>
              <w:rPr>
                <w:rFonts w:ascii="Arial" w:cs="Arial" w:eastAsia="Arial" w:hAnsi="Arial"/>
                <w:sz w:val="14"/>
                <w:szCs w:val="14"/>
                <w:color w:val="auto"/>
              </w:rPr>
              <w:t>Form 10-K Items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PAGE</w:t>
            </w:r>
          </w:p>
        </w:tc>
      </w:tr>
      <w:tr>
        <w:trPr>
          <w:trHeight w:val="27"/>
        </w:trPr>
        <w:tc>
          <w:tcPr>
            <w:tcW w:w="5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270"/>
        </w:trPr>
        <w:tc>
          <w:tcPr>
            <w:tcW w:w="24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0"/>
        </w:trPr>
        <w:tc>
          <w:tcPr>
            <w:tcW w:w="5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246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Item 1a. Risk Factors</w:t>
              </w:r>
            </w:hyperlink>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0"/>
        </w:trPr>
        <w:tc>
          <w:tcPr>
            <w:tcW w:w="5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1b. Unresolved Staff Comments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 Properties</w:t>
              </w:r>
            </w:hyperlink>
          </w:p>
        </w:tc>
        <w:tc>
          <w:tcPr>
            <w:tcW w:w="1160" w:type="dxa"/>
            <w:vAlign w:val="bottom"/>
            <w:tcBorders>
              <w:top w:val="single" w:sz="8" w:color="0000EE"/>
            </w:tcBorders>
            <w:gridSpan w:val="8"/>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15-16</w:t>
            </w:r>
          </w:p>
        </w:tc>
      </w:tr>
      <w:tr>
        <w:trPr>
          <w:trHeight w:val="304"/>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3. Legal Proceedings</w:t>
              </w:r>
            </w:hyperlink>
          </w:p>
        </w:tc>
        <w:tc>
          <w:tcPr>
            <w:tcW w:w="56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3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Item 4. Mine Safety Disclosures</w:t>
              </w:r>
            </w:hyperlink>
          </w:p>
        </w:tc>
        <w:tc>
          <w:tcPr>
            <w:tcW w:w="12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5. Market for Registrant’s Common Equity and Related Stockholder Matters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304"/>
        </w:trPr>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 Selected Financial Data</w:t>
              </w:r>
            </w:hyperlink>
          </w:p>
        </w:tc>
        <w:tc>
          <w:tcPr>
            <w:tcW w:w="180" w:type="dxa"/>
            <w:vAlign w:val="bottom"/>
            <w:tcBorders>
              <w:top w:val="single" w:sz="8" w:color="0000EE"/>
            </w:tcBorders>
            <w:gridSpan w:val="3"/>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7. Management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20-44</w:t>
            </w:r>
          </w:p>
        </w:tc>
      </w:tr>
      <w:tr>
        <w:trPr>
          <w:trHeight w:val="304"/>
        </w:trPr>
        <w:tc>
          <w:tcPr>
            <w:tcW w:w="6900" w:type="dxa"/>
            <w:vAlign w:val="bottom"/>
            <w:tcBorders>
              <w:top w:val="single" w:sz="8" w:color="0000EE"/>
            </w:tcBorders>
            <w:gridSpan w:val="2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7a. Quantitative and Qualitative Disclosures About Market Risk</w:t>
              </w:r>
            </w:hyperlink>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44-45</w:t>
            </w:r>
          </w:p>
        </w:tc>
      </w:tr>
      <w:tr>
        <w:trPr>
          <w:trHeight w:val="304"/>
        </w:trPr>
        <w:tc>
          <w:tcPr>
            <w:tcW w:w="39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Item 8. Financial Statements and Supplementary Data</w:t>
              </w:r>
            </w:hyperlink>
          </w:p>
        </w:tc>
        <w:tc>
          <w:tcPr>
            <w:tcW w:w="1100" w:type="dxa"/>
            <w:vAlign w:val="bottom"/>
            <w:tcBorders>
              <w:top w:val="single" w:sz="8" w:color="0000EE"/>
            </w:tcBorders>
            <w:gridSpan w:val="4"/>
          </w:tcPr>
          <w:p>
            <w:pPr>
              <w:spacing w:after="0"/>
              <w:rPr>
                <w:sz w:val="24"/>
                <w:szCs w:val="24"/>
                <w:color w:val="auto"/>
              </w:rPr>
            </w:pPr>
          </w:p>
        </w:tc>
        <w:tc>
          <w:tcPr>
            <w:tcW w:w="57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45-96</w:t>
            </w: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Item 9. Changes In and Disagreements on Accounting and Financial Disclosure</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2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Item 9a. Controls and Procedures</w:t>
              </w:r>
            </w:hyperlink>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2460" w:type="dxa"/>
            <w:vAlign w:val="bottom"/>
            <w:gridSpan w:val="12"/>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9b. Other Information</w:t>
              </w:r>
            </w:hyperlink>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5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10. Directors and Executive Officers of the Registrant</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98-99</w:t>
            </w:r>
          </w:p>
        </w:tc>
      </w:tr>
      <w:tr>
        <w:trPr>
          <w:trHeight w:val="304"/>
        </w:trPr>
        <w:tc>
          <w:tcPr>
            <w:tcW w:w="24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Item 11. Executive Compensation</w:t>
              </w:r>
            </w:hyperlink>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554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Item 12. Security Ownership of Certain Beneficial Owners and Management</w:t>
              </w:r>
            </w:hyperlink>
          </w:p>
        </w:tc>
        <w:tc>
          <w:tcPr>
            <w:tcW w:w="516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13. Certain Relationships and Related Transactions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35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102">
              <w:r>
                <w:rPr>
                  <w:rFonts w:ascii="Arial" w:cs="Arial" w:eastAsia="Arial" w:hAnsi="Arial"/>
                  <w:sz w:val="18"/>
                  <w:szCs w:val="18"/>
                  <w:color w:val="0000EE"/>
                  <w:w w:val="90"/>
                </w:rPr>
                <w:t>Item 14. Principal Accountant Fees and Services</w:t>
              </w:r>
            </w:hyperlink>
          </w:p>
        </w:tc>
        <w:tc>
          <w:tcPr>
            <w:tcW w:w="540" w:type="dxa"/>
            <w:vAlign w:val="bottom"/>
            <w:tcBorders>
              <w:top w:val="single" w:sz="8" w:color="0000EE"/>
            </w:tcBorders>
            <w:gridSpan w:val="2"/>
          </w:tcPr>
          <w:p>
            <w:pPr>
              <w:spacing w:after="0"/>
              <w:rPr>
                <w:sz w:val="24"/>
                <w:szCs w:val="24"/>
                <w:color w:val="auto"/>
              </w:rPr>
            </w:pPr>
          </w:p>
        </w:tc>
        <w:tc>
          <w:tcPr>
            <w:tcW w:w="66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04"/>
        </w:trPr>
        <w:tc>
          <w:tcPr>
            <w:tcW w:w="10700" w:type="dxa"/>
            <w:vAlign w:val="bottom"/>
            <w:gridSpan w:val="24"/>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Item 15. Exhibits, Financial Schedules and Reports on Form 8-K</w:t>
              </w:r>
            </w:hyperlink>
          </w:p>
        </w:tc>
        <w:tc>
          <w:tcPr>
            <w:tcW w:w="660" w:type="dxa"/>
            <w:vAlign w:val="bottom"/>
          </w:tcPr>
          <w:p>
            <w:pPr>
              <w:jc w:val="right"/>
              <w:spacing w:after="0"/>
              <w:rPr>
                <w:sz w:val="20"/>
                <w:szCs w:val="20"/>
                <w:color w:val="auto"/>
              </w:rPr>
            </w:pPr>
            <w:r>
              <w:rPr>
                <w:rFonts w:ascii="Arial" w:cs="Arial" w:eastAsia="Arial" w:hAnsi="Arial"/>
                <w:sz w:val="18"/>
                <w:szCs w:val="18"/>
                <w:color w:val="auto"/>
                <w:w w:val="96"/>
              </w:rPr>
              <w:t>101-102</w:t>
            </w:r>
          </w:p>
        </w:tc>
      </w:tr>
      <w:tr>
        <w:trPr>
          <w:trHeight w:val="304"/>
        </w:trPr>
        <w:tc>
          <w:tcPr>
            <w:tcW w:w="2460" w:type="dxa"/>
            <w:vAlign w:val="bottom"/>
            <w:tcBorders>
              <w:top w:val="single" w:sz="8" w:color="0000EE"/>
            </w:tcBorders>
            <w:gridSpan w:val="12"/>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16. Form 10-K Summary</w:t>
              </w:r>
            </w:hyperlink>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4"/>
        </w:trPr>
        <w:tc>
          <w:tcPr>
            <w:tcW w:w="54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gridSpan w:val="7"/>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2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54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9400" w:type="dxa"/>
            <w:vAlign w:val="bottom"/>
            <w:gridSpan w:val="2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45"/>
        </w:trPr>
        <w:tc>
          <w:tcPr>
            <w:tcW w:w="540" w:type="dxa"/>
            <w:vAlign w:val="bottom"/>
          </w:tcPr>
          <w:p>
            <w:pPr>
              <w:spacing w:after="0"/>
              <w:rPr>
                <w:sz w:val="24"/>
                <w:szCs w:val="24"/>
                <w:color w:val="auto"/>
              </w:rPr>
            </w:pPr>
          </w:p>
        </w:tc>
        <w:tc>
          <w:tcPr>
            <w:tcW w:w="10160" w:type="dxa"/>
            <w:vAlign w:val="bottom"/>
            <w:gridSpan w:val="23"/>
          </w:tcPr>
          <w:p>
            <w:pPr>
              <w:spacing w:after="0"/>
              <w:rPr>
                <w:sz w:val="20"/>
                <w:szCs w:val="20"/>
                <w:color w:val="auto"/>
              </w:rPr>
            </w:pPr>
            <w:r>
              <w:rPr>
                <w:rFonts w:ascii="Arial" w:cs="Arial" w:eastAsia="Arial" w:hAnsi="Arial"/>
                <w:sz w:val="18"/>
                <w:szCs w:val="18"/>
                <w:color w:val="auto"/>
              </w:rPr>
              <w:t>Exhibit 21. Subsidiaries of Farmers &amp; Merchants Bancorp, Inc.</w:t>
            </w:r>
          </w:p>
        </w:tc>
        <w:tc>
          <w:tcPr>
            <w:tcW w:w="66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10160" w:type="dxa"/>
            <w:vAlign w:val="bottom"/>
            <w:gridSpan w:val="23"/>
          </w:tcPr>
          <w:p>
            <w:pPr>
              <w:spacing w:after="0"/>
              <w:rPr>
                <w:sz w:val="20"/>
                <w:szCs w:val="20"/>
                <w:color w:val="auto"/>
              </w:rPr>
            </w:pPr>
            <w:r>
              <w:rPr>
                <w:rFonts w:ascii="Arial" w:cs="Arial" w:eastAsia="Arial" w:hAnsi="Arial"/>
                <w:sz w:val="18"/>
                <w:szCs w:val="18"/>
                <w:color w:val="auto"/>
              </w:rPr>
              <w:t>Exhibit 31. Certifications Under Section 302</w:t>
            </w:r>
          </w:p>
        </w:tc>
        <w:tc>
          <w:tcPr>
            <w:tcW w:w="660" w:type="dxa"/>
            <w:vAlign w:val="bottom"/>
          </w:tcPr>
          <w:p>
            <w:pPr>
              <w:spacing w:after="0"/>
              <w:rPr>
                <w:sz w:val="24"/>
                <w:szCs w:val="24"/>
                <w:color w:val="auto"/>
              </w:rPr>
            </w:pPr>
          </w:p>
        </w:tc>
      </w:tr>
      <w:tr>
        <w:trPr>
          <w:trHeight w:val="324"/>
        </w:trPr>
        <w:tc>
          <w:tcPr>
            <w:tcW w:w="540" w:type="dxa"/>
            <w:vAlign w:val="bottom"/>
          </w:tcPr>
          <w:p>
            <w:pPr>
              <w:spacing w:after="0"/>
              <w:rPr>
                <w:sz w:val="24"/>
                <w:szCs w:val="24"/>
                <w:color w:val="auto"/>
              </w:rPr>
            </w:pPr>
          </w:p>
        </w:tc>
        <w:tc>
          <w:tcPr>
            <w:tcW w:w="10160" w:type="dxa"/>
            <w:vAlign w:val="bottom"/>
            <w:gridSpan w:val="23"/>
          </w:tcPr>
          <w:p>
            <w:pPr>
              <w:spacing w:after="0"/>
              <w:rPr>
                <w:sz w:val="20"/>
                <w:szCs w:val="20"/>
                <w:color w:val="auto"/>
              </w:rPr>
            </w:pPr>
            <w:r>
              <w:rPr>
                <w:rFonts w:ascii="Arial" w:cs="Arial" w:eastAsia="Arial" w:hAnsi="Arial"/>
                <w:sz w:val="18"/>
                <w:szCs w:val="18"/>
                <w:color w:val="auto"/>
              </w:rPr>
              <w:t>Exhibit 32. Certifications Under Section 906</w:t>
            </w:r>
          </w:p>
        </w:tc>
        <w:tc>
          <w:tcPr>
            <w:tcW w:w="660" w:type="dxa"/>
            <w:vAlign w:val="bottom"/>
          </w:tcPr>
          <w:p>
            <w:pPr>
              <w:spacing w:after="0"/>
              <w:rPr>
                <w:sz w:val="24"/>
                <w:szCs w:val="24"/>
                <w:color w:val="auto"/>
              </w:rPr>
            </w:pPr>
          </w:p>
        </w:tc>
      </w:tr>
      <w:tr>
        <w:trPr>
          <w:trHeight w:val="445"/>
        </w:trPr>
        <w:tc>
          <w:tcPr>
            <w:tcW w:w="540" w:type="dxa"/>
            <w:vAlign w:val="bottom"/>
          </w:tcPr>
          <w:p>
            <w:pPr>
              <w:spacing w:after="0"/>
              <w:rPr>
                <w:sz w:val="24"/>
                <w:szCs w:val="24"/>
                <w:color w:val="auto"/>
              </w:rPr>
            </w:pPr>
          </w:p>
        </w:tc>
        <w:tc>
          <w:tcPr>
            <w:tcW w:w="1920" w:type="dxa"/>
            <w:vAlign w:val="bottom"/>
            <w:gridSpan w:val="11"/>
          </w:tcPr>
          <w:p>
            <w:pPr>
              <w:spacing w:after="0"/>
              <w:rPr>
                <w:sz w:val="20"/>
                <w:szCs w:val="20"/>
                <w:color w:val="auto"/>
              </w:rPr>
            </w:pPr>
            <w:r>
              <w:rPr>
                <w:rFonts w:ascii="Arial" w:cs="Arial" w:eastAsia="Arial" w:hAnsi="Arial"/>
                <w:sz w:val="18"/>
                <w:szCs w:val="18"/>
                <w:color w:val="auto"/>
              </w:rPr>
              <w:t>Exhibit 101.INS</w:t>
            </w:r>
          </w:p>
        </w:tc>
        <w:tc>
          <w:tcPr>
            <w:tcW w:w="8240" w:type="dxa"/>
            <w:vAlign w:val="bottom"/>
            <w:gridSpan w:val="12"/>
          </w:tcPr>
          <w:p>
            <w:pPr>
              <w:ind w:left="200"/>
              <w:spacing w:after="0"/>
              <w:rPr>
                <w:sz w:val="20"/>
                <w:szCs w:val="20"/>
                <w:color w:val="auto"/>
              </w:rPr>
            </w:pPr>
            <w:r>
              <w:rPr>
                <w:rFonts w:ascii="Arial" w:cs="Arial" w:eastAsia="Arial" w:hAnsi="Arial"/>
                <w:sz w:val="18"/>
                <w:szCs w:val="18"/>
                <w:color w:val="auto"/>
              </w:rPr>
              <w:t>XBRL Instance Document (1)</w:t>
            </w:r>
          </w:p>
        </w:tc>
        <w:tc>
          <w:tcPr>
            <w:tcW w:w="66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920" w:type="dxa"/>
            <w:vAlign w:val="bottom"/>
            <w:gridSpan w:val="11"/>
          </w:tcPr>
          <w:p>
            <w:pPr>
              <w:spacing w:after="0"/>
              <w:rPr>
                <w:sz w:val="20"/>
                <w:szCs w:val="20"/>
                <w:color w:val="auto"/>
              </w:rPr>
            </w:pPr>
            <w:r>
              <w:rPr>
                <w:rFonts w:ascii="Arial" w:cs="Arial" w:eastAsia="Arial" w:hAnsi="Arial"/>
                <w:sz w:val="18"/>
                <w:szCs w:val="18"/>
                <w:color w:val="auto"/>
              </w:rPr>
              <w:t>Exhibit 101.SCH</w:t>
            </w:r>
          </w:p>
        </w:tc>
        <w:tc>
          <w:tcPr>
            <w:tcW w:w="8240" w:type="dxa"/>
            <w:vAlign w:val="bottom"/>
            <w:gridSpan w:val="12"/>
          </w:tcPr>
          <w:p>
            <w:pPr>
              <w:ind w:left="200"/>
              <w:spacing w:after="0"/>
              <w:rPr>
                <w:sz w:val="20"/>
                <w:szCs w:val="20"/>
                <w:color w:val="auto"/>
              </w:rPr>
            </w:pPr>
            <w:r>
              <w:rPr>
                <w:rFonts w:ascii="Arial" w:cs="Arial" w:eastAsia="Arial" w:hAnsi="Arial"/>
                <w:sz w:val="18"/>
                <w:szCs w:val="18"/>
                <w:color w:val="auto"/>
              </w:rPr>
              <w:t>XBRL Taxonomy Extension Schema Document (1)</w:t>
            </w:r>
          </w:p>
        </w:tc>
        <w:tc>
          <w:tcPr>
            <w:tcW w:w="6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920" w:type="dxa"/>
            <w:vAlign w:val="bottom"/>
            <w:gridSpan w:val="11"/>
          </w:tcPr>
          <w:p>
            <w:pPr>
              <w:spacing w:after="0"/>
              <w:rPr>
                <w:sz w:val="20"/>
                <w:szCs w:val="20"/>
                <w:color w:val="auto"/>
              </w:rPr>
            </w:pPr>
            <w:r>
              <w:rPr>
                <w:rFonts w:ascii="Arial" w:cs="Arial" w:eastAsia="Arial" w:hAnsi="Arial"/>
                <w:sz w:val="18"/>
                <w:szCs w:val="18"/>
                <w:color w:val="auto"/>
              </w:rPr>
              <w:t>Exhibit 101.CAL</w:t>
            </w:r>
          </w:p>
        </w:tc>
        <w:tc>
          <w:tcPr>
            <w:tcW w:w="8240" w:type="dxa"/>
            <w:vAlign w:val="bottom"/>
            <w:gridSpan w:val="12"/>
          </w:tcPr>
          <w:p>
            <w:pPr>
              <w:ind w:left="200"/>
              <w:spacing w:after="0"/>
              <w:rPr>
                <w:sz w:val="20"/>
                <w:szCs w:val="20"/>
                <w:color w:val="auto"/>
              </w:rPr>
            </w:pPr>
            <w:r>
              <w:rPr>
                <w:rFonts w:ascii="Arial" w:cs="Arial" w:eastAsia="Arial" w:hAnsi="Arial"/>
                <w:sz w:val="18"/>
                <w:szCs w:val="18"/>
                <w:color w:val="auto"/>
              </w:rPr>
              <w:t>XBRL Taxonomy Extension Calculation Linkbase Document (1)</w:t>
            </w:r>
          </w:p>
        </w:tc>
        <w:tc>
          <w:tcPr>
            <w:tcW w:w="6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920" w:type="dxa"/>
            <w:vAlign w:val="bottom"/>
            <w:gridSpan w:val="11"/>
          </w:tcPr>
          <w:p>
            <w:pPr>
              <w:spacing w:after="0"/>
              <w:rPr>
                <w:sz w:val="20"/>
                <w:szCs w:val="20"/>
                <w:color w:val="auto"/>
              </w:rPr>
            </w:pPr>
            <w:r>
              <w:rPr>
                <w:rFonts w:ascii="Arial" w:cs="Arial" w:eastAsia="Arial" w:hAnsi="Arial"/>
                <w:sz w:val="18"/>
                <w:szCs w:val="18"/>
                <w:color w:val="auto"/>
              </w:rPr>
              <w:t>Exhibit 101.DEF</w:t>
            </w:r>
          </w:p>
        </w:tc>
        <w:tc>
          <w:tcPr>
            <w:tcW w:w="8240" w:type="dxa"/>
            <w:vAlign w:val="bottom"/>
            <w:gridSpan w:val="12"/>
          </w:tcPr>
          <w:p>
            <w:pPr>
              <w:ind w:left="200"/>
              <w:spacing w:after="0"/>
              <w:rPr>
                <w:sz w:val="20"/>
                <w:szCs w:val="20"/>
                <w:color w:val="auto"/>
              </w:rPr>
            </w:pPr>
            <w:r>
              <w:rPr>
                <w:rFonts w:ascii="Arial" w:cs="Arial" w:eastAsia="Arial" w:hAnsi="Arial"/>
                <w:sz w:val="18"/>
                <w:szCs w:val="18"/>
                <w:color w:val="auto"/>
              </w:rPr>
              <w:t>XBRL Taxonomy Extension Definition Linkbase Document (1)</w:t>
            </w:r>
          </w:p>
        </w:tc>
        <w:tc>
          <w:tcPr>
            <w:tcW w:w="6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920" w:type="dxa"/>
            <w:vAlign w:val="bottom"/>
            <w:gridSpan w:val="11"/>
          </w:tcPr>
          <w:p>
            <w:pPr>
              <w:spacing w:after="0"/>
              <w:rPr>
                <w:sz w:val="20"/>
                <w:szCs w:val="20"/>
                <w:color w:val="auto"/>
              </w:rPr>
            </w:pPr>
            <w:r>
              <w:rPr>
                <w:rFonts w:ascii="Arial" w:cs="Arial" w:eastAsia="Arial" w:hAnsi="Arial"/>
                <w:sz w:val="18"/>
                <w:szCs w:val="18"/>
                <w:color w:val="auto"/>
              </w:rPr>
              <w:t>Exhibit 101.LAB</w:t>
            </w:r>
          </w:p>
        </w:tc>
        <w:tc>
          <w:tcPr>
            <w:tcW w:w="8240" w:type="dxa"/>
            <w:vAlign w:val="bottom"/>
            <w:gridSpan w:val="12"/>
          </w:tcPr>
          <w:p>
            <w:pPr>
              <w:ind w:left="200"/>
              <w:spacing w:after="0"/>
              <w:rPr>
                <w:sz w:val="20"/>
                <w:szCs w:val="20"/>
                <w:color w:val="auto"/>
              </w:rPr>
            </w:pPr>
            <w:r>
              <w:rPr>
                <w:rFonts w:ascii="Arial" w:cs="Arial" w:eastAsia="Arial" w:hAnsi="Arial"/>
                <w:sz w:val="18"/>
                <w:szCs w:val="18"/>
                <w:color w:val="auto"/>
              </w:rPr>
              <w:t>XBRL Taxonomy Extension Label Linkbase Document (1)</w:t>
            </w:r>
          </w:p>
        </w:tc>
        <w:tc>
          <w:tcPr>
            <w:tcW w:w="6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920" w:type="dxa"/>
            <w:vAlign w:val="bottom"/>
            <w:gridSpan w:val="11"/>
          </w:tcPr>
          <w:p>
            <w:pPr>
              <w:spacing w:after="0"/>
              <w:rPr>
                <w:sz w:val="20"/>
                <w:szCs w:val="20"/>
                <w:color w:val="auto"/>
              </w:rPr>
            </w:pPr>
            <w:r>
              <w:rPr>
                <w:rFonts w:ascii="Arial" w:cs="Arial" w:eastAsia="Arial" w:hAnsi="Arial"/>
                <w:sz w:val="18"/>
                <w:szCs w:val="18"/>
                <w:color w:val="auto"/>
              </w:rPr>
              <w:t>Exhibit 101.PRE</w:t>
            </w:r>
          </w:p>
        </w:tc>
        <w:tc>
          <w:tcPr>
            <w:tcW w:w="8240" w:type="dxa"/>
            <w:vAlign w:val="bottom"/>
            <w:gridSpan w:val="12"/>
          </w:tcPr>
          <w:p>
            <w:pPr>
              <w:ind w:left="200"/>
              <w:spacing w:after="0"/>
              <w:rPr>
                <w:sz w:val="20"/>
                <w:szCs w:val="20"/>
                <w:color w:val="auto"/>
              </w:rPr>
            </w:pPr>
            <w:r>
              <w:rPr>
                <w:rFonts w:ascii="Arial" w:cs="Arial" w:eastAsia="Arial" w:hAnsi="Arial"/>
                <w:sz w:val="18"/>
                <w:szCs w:val="18"/>
                <w:color w:val="auto"/>
              </w:rPr>
              <w:t>XBRL Taxonomy Extension Presentation Linkbase Document (1)</w:t>
            </w:r>
          </w:p>
        </w:tc>
        <w:tc>
          <w:tcPr>
            <w:tcW w:w="660" w:type="dxa"/>
            <w:vAlign w:val="bottom"/>
          </w:tcPr>
          <w:p>
            <w:pPr>
              <w:spacing w:after="0"/>
              <w:rPr>
                <w:sz w:val="20"/>
                <w:szCs w:val="20"/>
                <w:color w:val="auto"/>
              </w:rPr>
            </w:pPr>
          </w:p>
        </w:tc>
      </w:tr>
    </w:tbl>
    <w:p>
      <w:pPr>
        <w:spacing w:after="0" w:line="229" w:lineRule="exact"/>
        <w:rPr>
          <w:sz w:val="20"/>
          <w:szCs w:val="20"/>
          <w:color w:val="auto"/>
        </w:rPr>
      </w:pPr>
    </w:p>
    <w:p>
      <w:pPr>
        <w:ind w:left="360" w:right="60" w:hanging="352"/>
        <w:spacing w:after="0" w:line="286" w:lineRule="auto"/>
        <w:tabs>
          <w:tab w:leader="none" w:pos="33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following materials from Farmers &amp; Merchants Bancorp, Inc. on Form 10-K for the year ended December 31, 2017, formatted in XBRL (Extensible Business Reporting Language): (i) the Consolidated Balance Sheets; (ii) the Consolidated Statements of Income and Comprehensive Income; (iii) the Consolidated Statements of Cash Flows and (iv) Notes to Consolidated Financial Statements, tagged as blocks of text.</w:t>
      </w: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Total Pages:</w:t>
            </w:r>
          </w:p>
        </w:tc>
        <w:tc>
          <w:tcPr>
            <w:tcW w:w="512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community bank operating in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 discussion of the general development of the Company’s business throughout 2017, please see the portion of Management’s Discussion and Analysis of Financial Condition and Results of Operations captioned “2017 in Review.”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Farmers &amp; Merchants State Bank engages in general commercial banking business. Its activities include commercial, agricultural and residential mortgage as well as consumer and credit card lending activities. Because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into newer market areas, the most recent increases in loan activity have been in commercial real estate, providing operation lines of credit and machinery purchases.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Bank also provides checking account services, as well as savings and time deposit services such as certificates of deposits. In addition, Automated Teller Machines (ATMs)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w:t>
      </w:r>
    </w:p>
    <w:p>
      <w:pPr>
        <w:spacing w:after="0" w:line="1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principal borrowers are reviewed and an approved exception from an additional officer is required should a credit score not meet the Bank’s Loan Policy guidelines.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r>
        <w:rPr>
          <w:rFonts w:ascii="Arial" w:cs="Arial" w:eastAsia="Arial" w:hAnsi="Arial"/>
          <w:sz w:val="18"/>
          <w:szCs w:val="18"/>
          <w:b w:val="1"/>
          <w:bCs w:val="1"/>
          <w:color w:val="auto"/>
        </w:rPr>
        <w: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Maximum loan to value (LTV) for cars, trucks and light trucks vary from 90% to 110% depending on whether direct or indirect. Loans above 100% are generally due to additional charges for extended warranties and/or insurance coverage periods of lost wages or death.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Boats, campers, motorcycles, RV’s and Motor Coaches range from 80%-90% based on age of vehicle.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or 2</w:t>
      </w:r>
      <w:r>
        <w:rPr>
          <w:rFonts w:ascii="Arial" w:cs="Arial" w:eastAsia="Arial" w:hAnsi="Arial"/>
          <w:sz w:val="15"/>
          <w:szCs w:val="15"/>
          <w:color w:val="auto"/>
        </w:rPr>
        <w:t>nd</w:t>
      </w:r>
      <w:r>
        <w:rPr>
          <w:rFonts w:ascii="Arial" w:cs="Arial" w:eastAsia="Arial" w:hAnsi="Arial"/>
          <w:sz w:val="18"/>
          <w:szCs w:val="18"/>
          <w:color w:val="auto"/>
        </w:rPr>
        <w:t xml:space="preserve"> mortgages on 1-4 family homes range from 75%-90% with “in-house” first real estate mortgages requiring private mortgage insurance on those exceeding 80% LTV.</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Raw land LTV maximum ranges from 65%-75% depending on whether or not the property has been improved.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Maximum LTVs range from 70%-80% depending on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 to 80% LTV less retainages and greater than 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Agriculture: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Livestock and grain up to 80% LTV, crops (insured) up to 75% and Warehouse Receipts up to 87%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Commercial: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Maximum LTV of 50% on raw and finished goods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Used vehicles, new recreational vehicles and manufactured homes not to exceed (NTE) 80% LTV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not to exceed 80% of invoice, used NTE 50% of listed book or 75% of appraised market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Restaurant equipment up to 35% of market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Heavy trucks, titled trailers up to NTE 75% LTV and aircraft up to 75% of appraised value</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70"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Bank’s primary market includes communities located in the Ohio counties of Defiance, Fulton, Henry, Lucas, Williams, Wood and in the Indiana counties of Allen, DeKalb and Steuben. The commercial banking business in this market is highly competitive, with approximately 45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Wells Fargo Bank, NA, KeyBank NA and JPMorgan Chase Bank, NA. Based on data published by the FDIC, the Bank ranked 8th in deposit market share in its primary market as of June 30, 2017. The primary factors in competing for loans and deposits are the rates charged as well as location and quality of the services provided.</w:t>
      </w:r>
    </w:p>
    <w:p>
      <w:pPr>
        <w:spacing w:after="0" w:line="178"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At December 31, 2017, we had 275 full time equivalent employees. The employees are not represented by a collective bargaining unit. We provide our employees with a comprehensive benefit program, some of which is contributory. We consider our employee relations to be good.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Supervision and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Several of the more significant regulatory provisions applicable to banks and bank holding companies to which the Company and its subsidiaries are subject to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Captive is an insurance company incorporated in Nevada and regulated by the State of Nevada, Division of Insurance.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Company Activities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quarterly basis information pursuant to the Act. The Federal Reserve Board may conduct examinations or inspections of the Company and its subsidiaries.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November 12, 1999, the Gramm-Leach-Bliley Act (the “GLB Act”) was enacted into law. The GLB Act made sweeping changes with respect to the permissible financial services which various types of financial institutions may now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 Transactions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 to its non-bank affiliates be secured, and Section 23B of the Federal Reserve Act generally requires that an insured depository institution’s transactions with its non-bank affiliates be on arms-length terms.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Interstate Banking and Branching</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ability of banks to acquire branch offices is contingent, however, on the host state having adopted legislation “opting in” to those provisions of Riegle-Neal. In addition, the ability of a bank to merge with a bank located in another state is contingent on the host state not having adopted legislation “opting out” of that provision of Riegle-Neal. The Company could from time to time use Riegle-Neal to acquire banks in additional states.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Acquisitions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Change in Bank Control Act prohibits a person or group of persons from acquiring “control” of a bank holding company, unless the Federal Reserve Board has been notified and has not objected to the transaction. Under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Banking Subsidiaries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Capital Requirements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non-bank businesses. The required capital levels and the Company’s capital position at December 31, 2017 and 2016 are summarized in the table included in Note 15 to the consolidated financial statements.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will be overseen by the Federal Reserve, the FDIC and the OCC. Reporting under the new rules began with the March 2015 quarterly regulatory filings.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FDICIA</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2017 the Bank was well capitalized pursuant to these prompt corrective action guidelines.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7"/>
          <w:szCs w:val="17"/>
          <w:b w:val="1"/>
          <w:bCs w:val="1"/>
          <w:color w:val="auto"/>
        </w:rPr>
        <w:t>y</w:t>
      </w:r>
      <w:r>
        <w:rPr>
          <w:rFonts w:ascii="Arial" w:cs="Arial" w:eastAsia="Arial" w:hAnsi="Arial"/>
          <w:sz w:val="17"/>
          <w:szCs w:val="17"/>
          <w:color w:val="auto"/>
        </w:rPr>
        <w:t xml:space="preserve"> can pay to the Company without regulatory approval. In 2009, The Board of Governors of the Federal Reserve Division of Banking Supervision and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Regulation issued SR09-4 regarding the safe and sound payment of dividends by bank holding companies. See Note 16 to the consolidated financial statements for additional information on applicable dividend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 Insurance Assessments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account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5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 The rules became effective April 1, 2011 implementing the revised assessment rate schedule for the quarter beginning April 1, 2011. The revised assessment rate schedule was used to calculate the June 30, 2011 assessments which were due September 30, 2011 and subsequent quarterly assessments thereafter.</w:t>
      </w:r>
    </w:p>
    <w:p>
      <w:pPr>
        <w:spacing w:after="0" w:line="16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Due to the changes to the assessment base and assessment rates, as well as the DIF restoration time frame, the impact on the Company’s future deposit insurance assessments has been and should continue to be favorable.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Dodd-Frank Act permanently raised the standard maximum deposit insurance coverage amount to $250,000.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FDIC deposit insurance coverage limit applies per depositor, per insured depository institution for each account ownership category.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Depositor Preference Statute</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Monetary Policy</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Regulation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Provisions of the Dodd-Frank Act have resulted in new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Dodd-Frank Act created an independent regulatory body, the Bureau of Consumer Financial Protection (“Bureau”), with authority and responsibility to set rules and regulations for most consumer protection laws applicable to all banks – large and small—adds another regulator to scrutinize and police financial activities.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 to the Bureau of all consumer financial protection functions for designated laws by the other federal agencies was completed in July 2011. The Bureau was given responsibility for mortgage reform and enforcement, as well as broad new powers over consumer financial activities, including consumer financial products and services and how they are provided.</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 higher-priced mortgage loans, and providing appraisals. These new mortgage rules, effective in January 2014, addressed problems consumers faced in the three major steps in buying a home – shopping for a mortgage, closing on a mortgage, and paying off a mortgage.</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Final rules and amendments to the integrated mortgage disclosure rules under the Real Estate Settlement Act (RESPA) and Truth in Lending Act (TILA) became effective on October 3,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Loan Origination System changes, as well as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Mortgage loan volume was steady through the end of the year. TRID requirements, especially the timing requirements that must be met, do impact the loan origination process but do not result in excessive delays of scheduled loan closings. Amendments to the TRID rules effective October 10, 2017 with a mandatory compliance date of October 10, 2018 are intended to provide further clarity to certain provisions. Due to the complexities of the TRID rules, remaining attentive to these matters will ensure practices and procedures remain compliant and not subject the Bank to unnecessary liability.</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and involved:</w:t>
      </w:r>
    </w:p>
    <w:p>
      <w:pPr>
        <w:spacing w:after="0" w:line="94" w:lineRule="exact"/>
        <w:rPr>
          <w:sz w:val="20"/>
          <w:szCs w:val="20"/>
          <w:color w:val="auto"/>
        </w:rPr>
      </w:pPr>
    </w:p>
    <w:p>
      <w:pPr>
        <w:ind w:left="900" w:right="2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Implementation of a statutory exemption from the requirement to purchase flood insurance for a detached structure that is part of a residential property and does not serve as a residence.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loans made, increased, extended, or renewed to be secured by residential real estate or mobile homes, regulated lending institutions had to:</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Require an escrow for flood insurance premiums and fees, unless the loan qualified for a statutory exception;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Provide borrowers with residential loans outstanding the option to escrow flood insurance premiums and fees.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Provide new sample notice forms and clauses regarding the escrow requirements and the option to escrow.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Biggert-Waters Act provisions on force placement of flood insurance coverage:</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Gave regulated lending institutions the authority to charge a borrower for the cost of force-placed insurance coverage beginning on the date flood coverage lapses or becomes insufficient.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Defined circumstances under which a lender must terminate force-placed flood insurance coverage and refund payments.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Processes and procedural changes along with the implementation of new forms and notifications resulted. Fines and penalties for compliance with flood insurance requirements promote a continued focus on adherence to the new flood rule and existing requirements.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Department of Defense (DOD) new rules amending its regulation that implements the Military Lending Act (MLA) became effective October 3, 2016. The MLA was enacted as part of the John Warner National Defense Act of 2007. These new rules significantly expanded the scope of the Act to cover all consumer credit except residential mortgages and purchase money loans. Compliance requirements for credit cards became effective October 3,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 More specifically, the final rules:</w:t>
      </w:r>
    </w:p>
    <w:p>
      <w:pPr>
        <w:spacing w:after="0" w:line="7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Makes financial institutions responsible for determining an applicant’s military status.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Limits what may be charged in fees and interest on covered consumer loans by imposing a 36% “military annual percentage rate” (MAPR) cap. The MAPR cap is an “all-in” annual percentage rate (APR) that includes interest and fees associated with the loan.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Requires additional disclosures which must be provided to military personnel, their spouses, and dependents when they obtain a loan.</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Prohibits certain terms or provisions that require arbitration, involve assessment of a prepayment penalty, or require service members or their dependents to waive any rights under the Service member’s Civil Relief Act or any other federal or state law.</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Providing a loan to a MLA-covered borrower that exceeds the 36% MAPR is prohibited. Any covered loans made without providing proper disclosures or in violation of the MLA is void. Creditors who knowingly or willfully violate the rules could be subject to a fine, imprisonment up to one year or both. Implementation of these new rules involved understanding the impact on the covered consumer credit products offered, collaboration with Loan Origination System vendors for assistance with calculations and required disclosures, and an efficient and effective process for identifying covered borrowers.</w:t>
      </w:r>
    </w:p>
    <w:p>
      <w:pPr>
        <w:spacing w:after="0" w:line="154"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Under the TILA Ability to Repay requirements, the Bank meets the criteria to qualify as a small creditor based on the number of first-lien mortgage loans transactions during 2017 and due to its asset size of less than $2.112 billion (the asset size threshold as of December 31, 2017 subject to an annual CPI adjustment); however it is not a creditor that operates predominantly in rural or underserved areas as it did not extend more than 50% of its total first-lien covered transactions in rural or underserved areas in calendar year 2017. The Bank continues to seek Qualified Mortgage (QM) status for mortgage loans made as they provide certain presumptions of compliance under the Ability to Repay rules adopted under the Dodd-Frank Act. In satisfying QM requirements, any mortgage lender regardless of their size can make loans which are entitled to the QM presumption of compliance.</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Revised Regulation C rules which implement the Home Mortgage Disclosure Act (HMDA) published by the Bureau become effective on January 1, 2018 for reportable loan applications. The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or borrower age, credit score, automated underwriting system information, 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Year-end submission of 2018 data to be reported will be completed using a web-based tool developed by the Bureau. The data format and use of the web-based tool also impacted the year-end submission of 2017 HMDA data. Implementation of these new requirements involved a workgroup being attentive to the provisions in the final rules. A thorough assessment involved evaluating the impact on the data collection processes and procedures within each affected business line, as well as data collection features within the loan origination systems utilized to generate loan applications and loan closing documentation.</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last few years to address acts or practices that are deemed harmful, deceptive, or misleading to consumers. The authority of the Federal Trade Commission (FTC) to issue credit practice rules under Section 5 of the Federal Trade Commission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Act for financial institutions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The guidance warned financial institutions not to interpret the repeal of the credit practice rules to indicate that the unfair or deceptive practices previously described were now permissible. Remaining attentive to the UDAP standards, in relation to the offering and marketing of Bank products and services is extremely important.</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a number of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Legislation</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 Various provisions and regulations authorized or required by the Dodd-Frank Act have not yet been proposed or implemented by federal regulators. Uncertainty also exists with respect to the Dodd-Frank Act regulations authorized or required that have not yet been proposed or finalized.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maintains an Internet web site at the following internet address: www.fm.bank. The Company files reports with the Securities and Exchange Commission (SEC). Because the Company makes its filing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reasonable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Competition from an Array of Financial Service Providers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portfolio has a large concentration of real estate loans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Real estate loans, which constitute a large portion of our loan portfolio, include home equity, commercial, construction and residential loans, and such loans are concentrated in the Bank’s primary markets in northwest Ohio and Northeast Indiana.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make up a significant portion of our loan portfolio</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Susceptibility to Changes in Regulation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After many years of a low and flat rate environment, the Federal Reserve began increasing the Federal Funds rate in 2015. The Company did not experience improvement in its asset yield on loans until such time that the rate increases enabled the loan rates to rise above the floors which had been on the majority of the variable rate loans. During 2017, the increasing rates having reached over 100 basis points, triggered rate changes above the floors and the Company experienced improvement in the interest spread. The improvement in the net interest spread during 2016 and the first half of 2017 directly correlated to the improvement of the Bank’s loan to asset ratio.</w:t>
      </w:r>
    </w:p>
    <w:p>
      <w:pPr>
        <w:spacing w:after="0" w:line="16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and Retention of Key Personnel</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key component of employee retention is providing a fair compensation base combined with the opportunity for additional compensation for above average performance. In this regard, the Company and the Bank use two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Non-officers receive incentive pay in December of the same year based on the year-to-date base compensation through the last pay received in November.</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Officers, other than executive officers, receive incentive pay based on additional criterion. The officers are rewarded based on overall ROA of the Bank along with individual pre-established goals. Officers, therefore, have incentive pay at risk for individual performance. The individualized goals are recommended by each officer’s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Officers in a support department may be given goals which create efficiencies, ensure compliance with procedures, or generate new fee or product opportunities. On average, three to four goals were given to each officer in 2017. Officers are paid cash incentives based on the year-end ROA of the Bank and receive it within the first quarter of the following year. Should the ROA be forecasted to be positive but below the base target set by the Board, the officers are paid an incentive under the same basis and timing as non-officers disclosed above.</w:t>
      </w:r>
    </w:p>
    <w:p>
      <w:pPr>
        <w:spacing w:after="0" w:line="16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Restrictions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has been declaring additional dividends each quarter to provide this liquidity to the Company. The Captive also upstreams dividends to the Company when reserve levels are adequately provided for and may not exceed the net income of the prior twelve months.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Change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our operations are dependent on our ability to process financial transactions in a secure manner. Failure in or breach of our operational or security systems or infrastructure, or those of our third party vendors and other service providers could disrupt our businesses or the businesses of our customers, result in the disclosure or misuse of confidential or proprietary information, damage our reputation, increase our costs and cause losses. We must ensure that information is properly protected from a variety of threats such as cyber-attacks, error, fraud, sabotage, terrorism, industrial espionage, privacy violation, service interruption, and natural disaster. The Company, with the assistance of third-party service providers, intends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 Any activity that jeopardizes our network and the security of the information stored on our network may result in significant cost to the Company and have a significant negative effect on our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Trading Market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shares of stock listed and traded on the NASDAQ Capital Market. The Company’s trading symbol is “FMAO.”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in Archbold, Ohio.</w:t>
      </w:r>
    </w:p>
    <w:p>
      <w:pPr>
        <w:spacing w:after="0" w:line="225"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Bank occupies an Operations Center at 620 S. Clyde’s Way in Archbold, Ohio to accommodate our growth over the years. The bank owns a parking lot in downtown Montpelier which is provided for community use.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Bank owns all of its office locations, with the exception of Angola, Indiana and Bowling Green, Ohio. Both of these office locations are leased.</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Bank currently maintains retail banking offices at the following locations: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2"/>
          </w:tcPr>
          <w:p>
            <w:pPr>
              <w:spacing w:after="0"/>
              <w:rPr>
                <w:sz w:val="20"/>
                <w:szCs w:val="20"/>
                <w:color w:val="auto"/>
              </w:rPr>
            </w:pPr>
            <w:r>
              <w:rPr>
                <w:rFonts w:ascii="Arial" w:cs="Arial" w:eastAsia="Arial" w:hAnsi="Arial"/>
                <w:sz w:val="14"/>
                <w:szCs w:val="14"/>
                <w:color w:val="auto"/>
              </w:rPr>
              <w:t>Office</w:t>
            </w:r>
          </w:p>
        </w:tc>
        <w:tc>
          <w:tcPr>
            <w:tcW w:w="2260" w:type="dxa"/>
            <w:vAlign w:val="bottom"/>
            <w:gridSpan w:val="4"/>
          </w:tcPr>
          <w:p>
            <w:pPr>
              <w:spacing w:after="0"/>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8"/>
        </w:trPr>
        <w:tc>
          <w:tcPr>
            <w:tcW w:w="380" w:type="dxa"/>
            <w:vAlign w:val="bottom"/>
            <w:tcBorders>
              <w:bottom w:val="single" w:sz="8" w:color="auto"/>
            </w:tcBorders>
          </w:tcPr>
          <w:p>
            <w:pPr>
              <w:spacing w:after="0"/>
              <w:rPr>
                <w:sz w:val="2"/>
                <w:szCs w:val="2"/>
                <w:color w:val="auto"/>
              </w:rPr>
            </w:pPr>
          </w:p>
        </w:tc>
        <w:tc>
          <w:tcPr>
            <w:tcW w:w="5680" w:type="dxa"/>
            <w:vAlign w:val="bottom"/>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vMerge w:val="restart"/>
          </w:tcPr>
          <w:p>
            <w:pPr>
              <w:ind w:left="20"/>
              <w:spacing w:after="0"/>
              <w:rPr>
                <w:sz w:val="20"/>
                <w:szCs w:val="20"/>
                <w:color w:val="auto"/>
              </w:rPr>
            </w:pPr>
            <w:r>
              <w:rPr>
                <w:rFonts w:ascii="Arial" w:cs="Arial" w:eastAsia="Arial" w:hAnsi="Arial"/>
                <w:sz w:val="18"/>
                <w:szCs w:val="18"/>
                <w:color w:val="auto"/>
              </w:rPr>
              <w:t>Defiance Street</w:t>
            </w:r>
          </w:p>
        </w:tc>
        <w:tc>
          <w:tcPr>
            <w:tcW w:w="0" w:type="dxa"/>
            <w:vAlign w:val="bottom"/>
          </w:tcPr>
          <w:p>
            <w:pPr>
              <w:spacing w:after="0"/>
              <w:rPr>
                <w:sz w:val="1"/>
                <w:szCs w:val="1"/>
                <w:color w:val="auto"/>
              </w:rPr>
            </w:pPr>
          </w:p>
        </w:tc>
      </w:tr>
      <w:tr>
        <w:trPr>
          <w:trHeight w:val="168"/>
        </w:trPr>
        <w:tc>
          <w:tcPr>
            <w:tcW w:w="6060" w:type="dxa"/>
            <w:vAlign w:val="bottom"/>
            <w:gridSpan w:val="2"/>
          </w:tcPr>
          <w:p>
            <w:pPr>
              <w:spacing w:after="0" w:line="169" w:lineRule="exact"/>
              <w:rPr>
                <w:sz w:val="20"/>
                <w:szCs w:val="20"/>
                <w:color w:val="auto"/>
              </w:rPr>
            </w:pPr>
            <w:r>
              <w:rPr>
                <w:rFonts w:ascii="Arial" w:cs="Arial" w:eastAsia="Arial" w:hAnsi="Arial"/>
                <w:sz w:val="18"/>
                <w:szCs w:val="18"/>
                <w:color w:val="auto"/>
              </w:rPr>
              <w:t>Archbold, Ohio</w:t>
            </w:r>
          </w:p>
        </w:tc>
        <w:tc>
          <w:tcPr>
            <w:tcW w:w="380" w:type="dxa"/>
            <w:vAlign w:val="bottom"/>
            <w:gridSpan w:val="2"/>
          </w:tcPr>
          <w:p>
            <w:pPr>
              <w:spacing w:after="0" w:line="169" w:lineRule="exact"/>
              <w:rPr>
                <w:sz w:val="20"/>
                <w:szCs w:val="20"/>
                <w:color w:val="auto"/>
              </w:rPr>
            </w:pPr>
            <w:r>
              <w:rPr>
                <w:rFonts w:ascii="Arial" w:cs="Arial" w:eastAsia="Arial" w:hAnsi="Arial"/>
                <w:sz w:val="18"/>
                <w:szCs w:val="18"/>
                <w:color w:val="auto"/>
                <w:w w:val="89"/>
              </w:rPr>
              <w:t>1313</w:t>
            </w:r>
          </w:p>
        </w:tc>
        <w:tc>
          <w:tcPr>
            <w:tcW w:w="140" w:type="dxa"/>
            <w:vAlign w:val="bottom"/>
          </w:tcPr>
          <w:p>
            <w:pPr>
              <w:ind w:left="20"/>
              <w:spacing w:after="0" w:line="169" w:lineRule="exact"/>
              <w:rPr>
                <w:sz w:val="20"/>
                <w:szCs w:val="20"/>
                <w:color w:val="auto"/>
              </w:rPr>
            </w:pPr>
            <w:r>
              <w:rPr>
                <w:rFonts w:ascii="Arial" w:cs="Arial" w:eastAsia="Arial" w:hAnsi="Arial"/>
                <w:sz w:val="18"/>
                <w:szCs w:val="18"/>
                <w:color w:val="auto"/>
                <w:w w:val="82"/>
              </w:rPr>
              <w:t>S</w:t>
            </w: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Wauseon, Ohio</w:t>
            </w:r>
          </w:p>
        </w:tc>
        <w:tc>
          <w:tcPr>
            <w:tcW w:w="2260" w:type="dxa"/>
            <w:vAlign w:val="bottom"/>
            <w:gridSpan w:val="4"/>
          </w:tcPr>
          <w:p>
            <w:pPr>
              <w:spacing w:after="0"/>
              <w:rPr>
                <w:sz w:val="20"/>
                <w:szCs w:val="20"/>
                <w:color w:val="auto"/>
              </w:rPr>
            </w:pPr>
            <w:r>
              <w:rPr>
                <w:rFonts w:ascii="Arial" w:cs="Arial" w:eastAsia="Arial" w:hAnsi="Arial"/>
                <w:sz w:val="18"/>
                <w:szCs w:val="18"/>
                <w:color w:val="auto"/>
              </w:rPr>
              <w:t>1130 N Shoop Avenue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260" w:type="dxa"/>
            <w:vAlign w:val="bottom"/>
            <w:gridSpan w:val="4"/>
          </w:tcPr>
          <w:p>
            <w:pPr>
              <w:spacing w:after="0"/>
              <w:rPr>
                <w:sz w:val="20"/>
                <w:szCs w:val="20"/>
                <w:color w:val="auto"/>
              </w:rPr>
            </w:pPr>
            <w:r>
              <w:rPr>
                <w:rFonts w:ascii="Arial" w:cs="Arial" w:eastAsia="Arial" w:hAnsi="Arial"/>
                <w:sz w:val="18"/>
                <w:szCs w:val="18"/>
                <w:color w:val="auto"/>
              </w:rPr>
              <w:t>119 N Fulton Street</w:t>
            </w:r>
          </w:p>
        </w:tc>
        <w:tc>
          <w:tcPr>
            <w:tcW w:w="0" w:type="dxa"/>
            <w:vAlign w:val="bottom"/>
          </w:tcPr>
          <w:p>
            <w:pPr>
              <w:spacing w:after="0"/>
              <w:rPr>
                <w:sz w:val="1"/>
                <w:szCs w:val="1"/>
                <w:color w:val="auto"/>
              </w:rPr>
            </w:pPr>
          </w:p>
        </w:tc>
      </w:tr>
      <w:tr>
        <w:trPr>
          <w:trHeight w:val="323"/>
        </w:trPr>
        <w:tc>
          <w:tcPr>
            <w:tcW w:w="6060" w:type="dxa"/>
            <w:vAlign w:val="bottom"/>
            <w:gridSpan w:val="2"/>
          </w:tcPr>
          <w:p>
            <w:pPr>
              <w:spacing w:after="0"/>
              <w:rPr>
                <w:sz w:val="20"/>
                <w:szCs w:val="20"/>
                <w:color w:val="auto"/>
              </w:rPr>
            </w:pPr>
            <w:r>
              <w:rPr>
                <w:rFonts w:ascii="Arial" w:cs="Arial" w:eastAsia="Arial" w:hAnsi="Arial"/>
                <w:sz w:val="18"/>
                <w:szCs w:val="18"/>
                <w:color w:val="auto"/>
              </w:rPr>
              <w:t>Stryker, Ohio</w:t>
            </w:r>
          </w:p>
        </w:tc>
        <w:tc>
          <w:tcPr>
            <w:tcW w:w="300" w:type="dxa"/>
            <w:vAlign w:val="bottom"/>
          </w:tcPr>
          <w:p>
            <w:pPr>
              <w:spacing w:after="0"/>
              <w:rPr>
                <w:sz w:val="20"/>
                <w:szCs w:val="20"/>
                <w:color w:val="auto"/>
              </w:rPr>
            </w:pPr>
            <w:r>
              <w:rPr>
                <w:rFonts w:ascii="Arial" w:cs="Arial" w:eastAsia="Arial" w:hAnsi="Arial"/>
                <w:sz w:val="18"/>
                <w:szCs w:val="18"/>
                <w:color w:val="auto"/>
                <w:w w:val="93"/>
              </w:rPr>
              <w:t>300</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S Defiance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West Unity, Ohio</w:t>
            </w:r>
          </w:p>
        </w:tc>
        <w:tc>
          <w:tcPr>
            <w:tcW w:w="300" w:type="dxa"/>
            <w:vAlign w:val="bottom"/>
          </w:tcPr>
          <w:p>
            <w:pPr>
              <w:spacing w:after="0"/>
              <w:rPr>
                <w:sz w:val="20"/>
                <w:szCs w:val="20"/>
                <w:color w:val="auto"/>
              </w:rPr>
            </w:pPr>
            <w:r>
              <w:rPr>
                <w:rFonts w:ascii="Arial" w:cs="Arial" w:eastAsia="Arial" w:hAnsi="Arial"/>
                <w:sz w:val="18"/>
                <w:szCs w:val="18"/>
                <w:color w:val="auto"/>
                <w:w w:val="93"/>
              </w:rPr>
              <w:t>200</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W Jackson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Bryan, Ohio</w:t>
            </w:r>
          </w:p>
        </w:tc>
        <w:tc>
          <w:tcPr>
            <w:tcW w:w="300" w:type="dxa"/>
            <w:vAlign w:val="bottom"/>
          </w:tcPr>
          <w:p>
            <w:pPr>
              <w:spacing w:after="0"/>
              <w:rPr>
                <w:sz w:val="20"/>
                <w:szCs w:val="20"/>
                <w:color w:val="auto"/>
              </w:rPr>
            </w:pPr>
            <w:r>
              <w:rPr>
                <w:rFonts w:ascii="Arial" w:cs="Arial" w:eastAsia="Arial" w:hAnsi="Arial"/>
                <w:sz w:val="18"/>
                <w:szCs w:val="18"/>
                <w:color w:val="auto"/>
                <w:w w:val="93"/>
              </w:rPr>
              <w:t>929</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E High Street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1000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 Main Street</w:t>
            </w:r>
          </w:p>
        </w:tc>
        <w:tc>
          <w:tcPr>
            <w:tcW w:w="0" w:type="dxa"/>
            <w:vAlign w:val="bottom"/>
          </w:tcPr>
          <w:p>
            <w:pPr>
              <w:spacing w:after="0"/>
              <w:rPr>
                <w:sz w:val="1"/>
                <w:szCs w:val="1"/>
                <w:color w:val="auto"/>
              </w:rPr>
            </w:pPr>
          </w:p>
        </w:tc>
      </w:tr>
      <w:tr>
        <w:trPr>
          <w:trHeight w:val="323"/>
        </w:trPr>
        <w:tc>
          <w:tcPr>
            <w:tcW w:w="6060" w:type="dxa"/>
            <w:vAlign w:val="bottom"/>
            <w:gridSpan w:val="2"/>
          </w:tcPr>
          <w:p>
            <w:pPr>
              <w:spacing w:after="0"/>
              <w:rPr>
                <w:sz w:val="20"/>
                <w:szCs w:val="20"/>
                <w:color w:val="auto"/>
              </w:rPr>
            </w:pPr>
            <w:r>
              <w:rPr>
                <w:rFonts w:ascii="Arial" w:cs="Arial" w:eastAsia="Arial" w:hAnsi="Arial"/>
                <w:sz w:val="18"/>
                <w:szCs w:val="18"/>
                <w:color w:val="auto"/>
              </w:rPr>
              <w:t>Delta, Ohio</w:t>
            </w:r>
          </w:p>
        </w:tc>
        <w:tc>
          <w:tcPr>
            <w:tcW w:w="300" w:type="dxa"/>
            <w:vAlign w:val="bottom"/>
          </w:tcPr>
          <w:p>
            <w:pPr>
              <w:spacing w:after="0"/>
              <w:rPr>
                <w:sz w:val="20"/>
                <w:szCs w:val="20"/>
                <w:color w:val="auto"/>
              </w:rPr>
            </w:pPr>
            <w:r>
              <w:rPr>
                <w:rFonts w:ascii="Arial" w:cs="Arial" w:eastAsia="Arial" w:hAnsi="Arial"/>
                <w:sz w:val="18"/>
                <w:szCs w:val="18"/>
                <w:color w:val="auto"/>
                <w:w w:val="93"/>
              </w:rPr>
              <w:t>101</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Main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Montpelier, Ohio</w:t>
            </w:r>
          </w:p>
        </w:tc>
        <w:tc>
          <w:tcPr>
            <w:tcW w:w="2260" w:type="dxa"/>
            <w:vAlign w:val="bottom"/>
            <w:gridSpan w:val="4"/>
          </w:tcPr>
          <w:p>
            <w:pPr>
              <w:spacing w:after="0"/>
              <w:rPr>
                <w:sz w:val="20"/>
                <w:szCs w:val="20"/>
                <w:color w:val="auto"/>
              </w:rPr>
            </w:pPr>
            <w:r>
              <w:rPr>
                <w:rFonts w:ascii="Arial" w:cs="Arial" w:eastAsia="Arial" w:hAnsi="Arial"/>
                <w:sz w:val="18"/>
                <w:szCs w:val="18"/>
                <w:color w:val="auto"/>
              </w:rPr>
              <w:t>1150 E Main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Napoleon, Ohio</w:t>
            </w: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2255</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Scott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Swanton, Ohio</w:t>
            </w:r>
          </w:p>
        </w:tc>
        <w:tc>
          <w:tcPr>
            <w:tcW w:w="2260" w:type="dxa"/>
            <w:vAlign w:val="bottom"/>
            <w:gridSpan w:val="4"/>
          </w:tcPr>
          <w:p>
            <w:pPr>
              <w:spacing w:after="0"/>
              <w:rPr>
                <w:sz w:val="20"/>
                <w:szCs w:val="20"/>
                <w:color w:val="auto"/>
              </w:rPr>
            </w:pPr>
            <w:r>
              <w:rPr>
                <w:rFonts w:ascii="Arial" w:cs="Arial" w:eastAsia="Arial" w:hAnsi="Arial"/>
                <w:sz w:val="18"/>
                <w:szCs w:val="18"/>
                <w:color w:val="auto"/>
              </w:rPr>
              <w:t>7 Turtle Creek Circle</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Defiance, Ohio</w:t>
            </w:r>
          </w:p>
        </w:tc>
        <w:tc>
          <w:tcPr>
            <w:tcW w:w="2260" w:type="dxa"/>
            <w:vAlign w:val="bottom"/>
            <w:gridSpan w:val="4"/>
          </w:tcPr>
          <w:p>
            <w:pPr>
              <w:spacing w:after="0"/>
              <w:rPr>
                <w:sz w:val="20"/>
                <w:szCs w:val="20"/>
                <w:color w:val="auto"/>
              </w:rPr>
            </w:pPr>
            <w:r>
              <w:rPr>
                <w:rFonts w:ascii="Arial" w:cs="Arial" w:eastAsia="Arial" w:hAnsi="Arial"/>
                <w:sz w:val="18"/>
                <w:szCs w:val="18"/>
                <w:color w:val="auto"/>
              </w:rPr>
              <w:t>1175 Hotel Drive</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Perrysburg, Ohio</w:t>
            </w: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7001</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Lighthouse Way</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Butler, Indiana</w:t>
            </w:r>
          </w:p>
        </w:tc>
        <w:tc>
          <w:tcPr>
            <w:tcW w:w="300" w:type="dxa"/>
            <w:vAlign w:val="bottom"/>
          </w:tcPr>
          <w:p>
            <w:pPr>
              <w:spacing w:after="0"/>
              <w:rPr>
                <w:sz w:val="20"/>
                <w:szCs w:val="20"/>
                <w:color w:val="auto"/>
              </w:rPr>
            </w:pPr>
            <w:r>
              <w:rPr>
                <w:rFonts w:ascii="Arial" w:cs="Arial" w:eastAsia="Arial" w:hAnsi="Arial"/>
                <w:sz w:val="18"/>
                <w:szCs w:val="18"/>
                <w:color w:val="auto"/>
                <w:w w:val="93"/>
              </w:rPr>
              <w:t>200</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S Broadway</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Auburn, Indiana</w:t>
            </w:r>
          </w:p>
        </w:tc>
        <w:tc>
          <w:tcPr>
            <w:tcW w:w="300" w:type="dxa"/>
            <w:vAlign w:val="bottom"/>
          </w:tcPr>
          <w:p>
            <w:pPr>
              <w:spacing w:after="0"/>
              <w:rPr>
                <w:sz w:val="20"/>
                <w:szCs w:val="20"/>
                <w:color w:val="auto"/>
              </w:rPr>
            </w:pPr>
            <w:r>
              <w:rPr>
                <w:rFonts w:ascii="Arial" w:cs="Arial" w:eastAsia="Arial" w:hAnsi="Arial"/>
                <w:sz w:val="18"/>
                <w:szCs w:val="18"/>
                <w:color w:val="auto"/>
                <w:w w:val="93"/>
              </w:rPr>
              <w:t>403</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Erie Pass</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Angola, Indiana</w:t>
            </w: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2310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 Wayne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Hicksville, Ohio</w:t>
            </w:r>
          </w:p>
        </w:tc>
        <w:tc>
          <w:tcPr>
            <w:tcW w:w="300" w:type="dxa"/>
            <w:vAlign w:val="bottom"/>
          </w:tcPr>
          <w:p>
            <w:pPr>
              <w:spacing w:after="0"/>
              <w:rPr>
                <w:sz w:val="20"/>
                <w:szCs w:val="20"/>
                <w:color w:val="auto"/>
              </w:rPr>
            </w:pPr>
            <w:r>
              <w:rPr>
                <w:rFonts w:ascii="Arial" w:cs="Arial" w:eastAsia="Arial" w:hAnsi="Arial"/>
                <w:sz w:val="18"/>
                <w:szCs w:val="18"/>
                <w:color w:val="auto"/>
                <w:w w:val="93"/>
              </w:rPr>
              <w:t>100</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Waterville, Ohio</w:t>
            </w: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8720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w w:val="90"/>
              </w:rPr>
              <w:t>Waterville-Swanton Road</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Custar, Ohio</w:t>
            </w:r>
          </w:p>
        </w:tc>
        <w:tc>
          <w:tcPr>
            <w:tcW w:w="2260" w:type="dxa"/>
            <w:vAlign w:val="bottom"/>
            <w:gridSpan w:val="4"/>
          </w:tcPr>
          <w:p>
            <w:pPr>
              <w:spacing w:after="0"/>
              <w:rPr>
                <w:sz w:val="20"/>
                <w:szCs w:val="20"/>
                <w:color w:val="auto"/>
              </w:rPr>
            </w:pPr>
            <w:r>
              <w:rPr>
                <w:rFonts w:ascii="Arial" w:cs="Arial" w:eastAsia="Arial" w:hAnsi="Arial"/>
                <w:sz w:val="18"/>
                <w:szCs w:val="18"/>
                <w:color w:val="auto"/>
              </w:rPr>
              <w:t>22973 Defiance Pike</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Sylvania, Ohio</w:t>
            </w: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5830</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Monroe Street</w:t>
            </w: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Fort Wayne, Indiana</w:t>
            </w:r>
          </w:p>
        </w:tc>
        <w:tc>
          <w:tcPr>
            <w:tcW w:w="2260" w:type="dxa"/>
            <w:vAlign w:val="bottom"/>
            <w:gridSpan w:val="4"/>
          </w:tcPr>
          <w:p>
            <w:pPr>
              <w:spacing w:after="0"/>
              <w:rPr>
                <w:sz w:val="20"/>
                <w:szCs w:val="20"/>
                <w:color w:val="auto"/>
              </w:rPr>
            </w:pPr>
            <w:r>
              <w:rPr>
                <w:rFonts w:ascii="Arial" w:cs="Arial" w:eastAsia="Arial" w:hAnsi="Arial"/>
                <w:sz w:val="18"/>
                <w:szCs w:val="18"/>
                <w:color w:val="auto"/>
              </w:rPr>
              <w:t>12106 Lima Road</w:t>
            </w: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Bowling Green, Ohio</w:t>
            </w:r>
          </w:p>
        </w:tc>
        <w:tc>
          <w:tcPr>
            <w:tcW w:w="380" w:type="dxa"/>
            <w:vAlign w:val="bottom"/>
            <w:gridSpan w:val="2"/>
          </w:tcPr>
          <w:p>
            <w:pPr>
              <w:spacing w:after="0"/>
              <w:rPr>
                <w:sz w:val="20"/>
                <w:szCs w:val="20"/>
                <w:color w:val="auto"/>
              </w:rPr>
            </w:pPr>
            <w:r>
              <w:rPr>
                <w:rFonts w:ascii="Arial" w:cs="Arial" w:eastAsia="Arial" w:hAnsi="Arial"/>
                <w:sz w:val="18"/>
                <w:szCs w:val="18"/>
                <w:color w:val="auto"/>
                <w:w w:val="89"/>
              </w:rPr>
              <w:t>1072</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N. Main Street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early 2018, the Bank will open a retail banking office in Findlay, Ohio. The land and building were purchased in 2017 and were remodeled. It is a full service office located at 1660 Tiffin Avenue.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but one of the above locations has drive-up service facilities and an ATM. The Captive operates from leased office space at 101 Convention Center Dr., Suite 850, Las Vegas, NV 89109.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AND RELATED STOCKHOLDER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shares of stock listed on the NASDAQ Stock Market LLC.</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August 18, 2017, the Company’s Board of Directors authorized a two-for-one stock split payable on September 20, 2017, for shareholders of record on September 5, 2017.</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are market makers that set a price for our stock; however, private sales continue to occur. The high and low sale prices of the Company’s stock known to our management, as reported on Bloomberg.com, are as follows: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 xml:space="preserve">Stock Prices 2017 </w:t>
      </w:r>
      <w:r>
        <w:rPr>
          <w:rFonts w:ascii="Arial" w:cs="Arial" w:eastAsia="Arial" w:hAnsi="Arial"/>
          <w:sz w:val="12"/>
          <w:szCs w:val="12"/>
          <w:color w:val="auto"/>
        </w:rPr>
        <w:t>(1)</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2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Quarter</w:t>
            </w:r>
          </w:p>
        </w:tc>
        <w:tc>
          <w:tcPr>
            <w:tcW w:w="5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Low</w:t>
            </w:r>
          </w:p>
        </w:tc>
        <w:tc>
          <w:tcPr>
            <w:tcW w:w="3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High</w:t>
            </w:r>
          </w:p>
        </w:tc>
        <w:tc>
          <w:tcPr>
            <w:tcW w:w="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1st</w:t>
            </w:r>
          </w:p>
        </w:tc>
        <w:tc>
          <w:tcPr>
            <w:tcW w:w="1620" w:type="dxa"/>
            <w:vAlign w:val="bottom"/>
            <w:tcBorders>
              <w:top w:val="single" w:sz="8" w:color="CCEEFF"/>
            </w:tcBorders>
            <w:shd w:val="clear" w:color="auto" w:fill="CCEEFF"/>
          </w:tcPr>
          <w:p>
            <w:pPr>
              <w:spacing w:after="0"/>
              <w:rPr>
                <w:sz w:val="16"/>
                <w:szCs w:val="16"/>
                <w:color w:val="auto"/>
              </w:rPr>
            </w:pPr>
          </w:p>
        </w:tc>
        <w:tc>
          <w:tcPr>
            <w:tcW w:w="5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3"/>
              </w:rPr>
              <w:t>$17.51</w:t>
            </w:r>
          </w:p>
        </w:tc>
        <w:tc>
          <w:tcPr>
            <w:tcW w:w="3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$22.88</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2nd</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$21.01</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$31.27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$43.50</w:t>
            </w:r>
          </w:p>
        </w:tc>
        <w:tc>
          <w:tcPr>
            <w:tcW w:w="6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2040" w:type="dxa"/>
            <w:vAlign w:val="bottom"/>
            <w:gridSpan w:val="2"/>
          </w:tcPr>
          <w:p>
            <w:pPr>
              <w:spacing w:after="0" w:line="197" w:lineRule="exact"/>
              <w:rPr>
                <w:sz w:val="20"/>
                <w:szCs w:val="20"/>
                <w:color w:val="auto"/>
              </w:rPr>
            </w:pPr>
            <w:r>
              <w:rPr>
                <w:rFonts w:ascii="Arial" w:cs="Arial" w:eastAsia="Arial" w:hAnsi="Arial"/>
                <w:sz w:val="18"/>
                <w:szCs w:val="18"/>
                <w:color w:val="auto"/>
              </w:rPr>
              <w:t>4th</w:t>
            </w:r>
          </w:p>
        </w:tc>
        <w:tc>
          <w:tcPr>
            <w:tcW w:w="5680" w:type="dxa"/>
            <w:vAlign w:val="bottom"/>
            <w:gridSpan w:val="2"/>
          </w:tcPr>
          <w:p>
            <w:pPr>
              <w:jc w:val="right"/>
              <w:spacing w:after="0" w:line="197" w:lineRule="exact"/>
              <w:rPr>
                <w:sz w:val="20"/>
                <w:szCs w:val="20"/>
                <w:color w:val="auto"/>
              </w:rPr>
            </w:pPr>
            <w:r>
              <w:rPr>
                <w:rFonts w:ascii="Arial" w:cs="Arial" w:eastAsia="Arial" w:hAnsi="Arial"/>
                <w:sz w:val="18"/>
                <w:szCs w:val="18"/>
                <w:color w:val="auto"/>
              </w:rPr>
              <w:t>$35.75</w:t>
            </w:r>
          </w:p>
        </w:tc>
        <w:tc>
          <w:tcPr>
            <w:tcW w:w="880" w:type="dxa"/>
            <w:vAlign w:val="bottom"/>
            <w:gridSpan w:val="2"/>
          </w:tcPr>
          <w:p>
            <w:pPr>
              <w:jc w:val="center"/>
              <w:ind w:left="290"/>
              <w:spacing w:after="0" w:line="197" w:lineRule="exact"/>
              <w:rPr>
                <w:sz w:val="20"/>
                <w:szCs w:val="20"/>
                <w:color w:val="auto"/>
              </w:rPr>
            </w:pPr>
            <w:r>
              <w:rPr>
                <w:rFonts w:ascii="Arial" w:cs="Arial" w:eastAsia="Arial" w:hAnsi="Arial"/>
                <w:sz w:val="18"/>
                <w:szCs w:val="18"/>
                <w:color w:val="auto"/>
                <w:w w:val="90"/>
              </w:rPr>
              <w:t>$43.66</w:t>
            </w:r>
          </w:p>
        </w:tc>
        <w:tc>
          <w:tcPr>
            <w:tcW w:w="6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gridSpan w:val="2"/>
          </w:tcPr>
          <w:p>
            <w:pPr>
              <w:jc w:val="right"/>
              <w:ind w:right="2739"/>
              <w:spacing w:after="0"/>
              <w:rPr>
                <w:sz w:val="20"/>
                <w:szCs w:val="20"/>
                <w:color w:val="auto"/>
              </w:rPr>
            </w:pPr>
            <w:r>
              <w:rPr>
                <w:rFonts w:ascii="Arial" w:cs="Arial" w:eastAsia="Arial" w:hAnsi="Arial"/>
                <w:sz w:val="14"/>
                <w:szCs w:val="14"/>
                <w:color w:val="auto"/>
              </w:rPr>
              <w:t xml:space="preserve">Stock Prices 2016 </w:t>
            </w:r>
            <w:r>
              <w:rPr>
                <w:rFonts w:ascii="Arial" w:cs="Arial" w:eastAsia="Arial" w:hAnsi="Arial"/>
                <w:sz w:val="12"/>
                <w:szCs w:val="12"/>
                <w:color w:val="auto"/>
              </w:rPr>
              <w:t>(1)</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20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Quarter</w:t>
            </w:r>
          </w:p>
        </w:tc>
        <w:tc>
          <w:tcPr>
            <w:tcW w:w="51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Low</w:t>
            </w:r>
          </w:p>
        </w:tc>
        <w:tc>
          <w:tcPr>
            <w:tcW w:w="3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High</w:t>
            </w:r>
          </w:p>
        </w:tc>
        <w:tc>
          <w:tcPr>
            <w:tcW w:w="60" w:type="dxa"/>
            <w:vAlign w:val="bottom"/>
            <w:tcBorders>
              <w:bottom w:val="single" w:sz="8" w:color="CCEEFF"/>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1st</w:t>
            </w:r>
          </w:p>
        </w:tc>
        <w:tc>
          <w:tcPr>
            <w:tcW w:w="1620" w:type="dxa"/>
            <w:vAlign w:val="bottom"/>
            <w:tcBorders>
              <w:top w:val="single" w:sz="8" w:color="CCEEFF"/>
            </w:tcBorders>
            <w:shd w:val="clear" w:color="auto" w:fill="CCEEFF"/>
          </w:tcPr>
          <w:p>
            <w:pPr>
              <w:spacing w:after="0"/>
              <w:rPr>
                <w:sz w:val="16"/>
                <w:szCs w:val="16"/>
                <w:color w:val="auto"/>
              </w:rPr>
            </w:pPr>
          </w:p>
        </w:tc>
        <w:tc>
          <w:tcPr>
            <w:tcW w:w="5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3"/>
              </w:rPr>
              <w:t>$13.00</w:t>
            </w:r>
          </w:p>
        </w:tc>
        <w:tc>
          <w:tcPr>
            <w:tcW w:w="3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0"/>
              </w:rPr>
              <w:t>$14.00</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2nd</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$13.65</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$14.48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3rd</w:t>
            </w:r>
          </w:p>
        </w:tc>
        <w:tc>
          <w:tcPr>
            <w:tcW w:w="5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88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0"/>
              </w:rPr>
              <w:t>$16.25</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4th</w:t>
            </w:r>
          </w:p>
        </w:tc>
        <w:tc>
          <w:tcPr>
            <w:tcW w:w="568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880" w:type="dxa"/>
            <w:vAlign w:val="bottom"/>
            <w:gridSpan w:val="2"/>
          </w:tcPr>
          <w:p>
            <w:pPr>
              <w:jc w:val="center"/>
              <w:ind w:left="290"/>
              <w:spacing w:after="0"/>
              <w:rPr>
                <w:sz w:val="20"/>
                <w:szCs w:val="20"/>
                <w:color w:val="auto"/>
              </w:rPr>
            </w:pPr>
            <w:r>
              <w:rPr>
                <w:rFonts w:ascii="Arial" w:cs="Arial" w:eastAsia="Arial" w:hAnsi="Arial"/>
                <w:sz w:val="18"/>
                <w:szCs w:val="18"/>
                <w:color w:val="auto"/>
                <w:w w:val="90"/>
              </w:rPr>
              <w:t>$20.00</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right="4880" w:firstLine="8"/>
        <w:spacing w:after="0" w:line="501"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 prices have been adjusted to reflect a 2-for-1 stock split on September 20, 2017 The Company utilizes Computershare as its transfer agent.</w:t>
      </w:r>
    </w:p>
    <w:p>
      <w:pPr>
        <w:ind w:right="500"/>
        <w:spacing w:after="0" w:line="277" w:lineRule="auto"/>
        <w:rPr>
          <w:sz w:val="20"/>
          <w:szCs w:val="20"/>
          <w:color w:val="auto"/>
        </w:rPr>
      </w:pPr>
      <w:r>
        <w:rPr>
          <w:rFonts w:ascii="Arial" w:cs="Arial" w:eastAsia="Arial" w:hAnsi="Arial"/>
          <w:sz w:val="18"/>
          <w:szCs w:val="18"/>
          <w:color w:val="auto"/>
        </w:rPr>
        <w:t>As of December 31, 2017 there were 1,828 record holders of our common stock of which 34.73% of the outstanding shares are being held in brokerage accounts or “street name” and only considered as one record holder.</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 following page is a line-graph presentation comparing the cumulative total shareholder returns for the Corporation, an index for NASDAQ Stock Market (U.S. Companies) comprised of all domestic common shares traded on the NASDAQ National Market System and the NASDAQ Bank Index for the five-year period ended December 31, 2017. The chart compares the value of $100 invested in the Corporation and each of the indices and assumes investment on December 31, 2012 with all dividends reinvested.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134620</wp:posOffset>
            </wp:positionV>
            <wp:extent cx="4707890" cy="1509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0789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2014</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2015</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2016</w:t>
            </w: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FMAO</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100.00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114.35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141.95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147.10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430.15</w:t>
            </w:r>
          </w:p>
        </w:tc>
        <w:tc>
          <w:tcPr>
            <w:tcW w:w="6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NASDAQ - COMPOSITE</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100.00</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139.89</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160.24</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171.35</w:t>
            </w: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186.01</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7"/>
              </w:rPr>
              <w:t>238.74</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NASDAQ-BANK INDEX</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141.31</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147.99</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160.51</w:t>
            </w: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217.20</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228.18</w:t>
            </w: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Dividends are declared and paid quarterly. Per share dividends declared for the years ended 2017 and 2016 adjusted for a 2-for-1 stock split on September 20, 2017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1st Quarter</w:t>
            </w:r>
          </w:p>
        </w:tc>
        <w:tc>
          <w:tcPr>
            <w:tcW w:w="1140" w:type="dxa"/>
            <w:vAlign w:val="bottom"/>
            <w:gridSpan w:val="3"/>
          </w:tcPr>
          <w:p>
            <w:pPr>
              <w:spacing w:after="0"/>
              <w:rPr>
                <w:sz w:val="20"/>
                <w:szCs w:val="20"/>
                <w:color w:val="auto"/>
              </w:rPr>
            </w:pPr>
            <w:r>
              <w:rPr>
                <w:rFonts w:ascii="Arial" w:cs="Arial" w:eastAsia="Arial" w:hAnsi="Arial"/>
                <w:sz w:val="14"/>
                <w:szCs w:val="14"/>
                <w:color w:val="auto"/>
              </w:rPr>
              <w:t>2nd Quarter</w:t>
            </w:r>
          </w:p>
        </w:tc>
        <w:tc>
          <w:tcPr>
            <w:tcW w:w="900" w:type="dxa"/>
            <w:vAlign w:val="bottom"/>
            <w:gridSpan w:val="3"/>
          </w:tcPr>
          <w:p>
            <w:pPr>
              <w:spacing w:after="0"/>
              <w:rPr>
                <w:sz w:val="20"/>
                <w:szCs w:val="20"/>
                <w:color w:val="auto"/>
              </w:rPr>
            </w:pPr>
            <w:r>
              <w:rPr>
                <w:rFonts w:ascii="Arial" w:cs="Arial" w:eastAsia="Arial" w:hAnsi="Arial"/>
                <w:sz w:val="14"/>
                <w:szCs w:val="14"/>
                <w:color w:val="auto"/>
              </w:rPr>
              <w:t>3rd Quarter</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4th Quarter</w:t>
            </w:r>
          </w:p>
        </w:tc>
        <w:tc>
          <w:tcPr>
            <w:tcW w:w="22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Total</w:t>
            </w:r>
          </w:p>
        </w:tc>
      </w:tr>
      <w:tr>
        <w:trPr>
          <w:trHeight w:val="210"/>
        </w:trPr>
        <w:tc>
          <w:tcPr>
            <w:tcW w:w="3420" w:type="dxa"/>
            <w:vAlign w:val="bottom"/>
            <w:tcBorders>
              <w:top w:val="single" w:sz="8" w:color="CCEEFF"/>
            </w:tcBorders>
            <w:shd w:val="clear" w:color="auto" w:fill="CCEEFF"/>
          </w:tcPr>
          <w:p>
            <w:pPr>
              <w:jc w:val="right"/>
              <w:ind w:right="2970"/>
              <w:spacing w:after="0"/>
              <w:rPr>
                <w:sz w:val="20"/>
                <w:szCs w:val="20"/>
                <w:color w:val="auto"/>
              </w:rPr>
            </w:pPr>
            <w:r>
              <w:rPr>
                <w:rFonts w:ascii="Arial" w:cs="Arial" w:eastAsia="Arial" w:hAnsi="Arial"/>
                <w:sz w:val="18"/>
                <w:szCs w:val="18"/>
                <w:color w:val="auto"/>
                <w:w w:val="84"/>
              </w:rPr>
              <w:t>2017</w:t>
            </w:r>
          </w:p>
        </w:tc>
        <w:tc>
          <w:tcPr>
            <w:tcW w:w="30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$0.50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420" w:type="dxa"/>
            <w:vAlign w:val="bottom"/>
          </w:tcPr>
          <w:p>
            <w:pPr>
              <w:jc w:val="right"/>
              <w:ind w:right="2970"/>
              <w:spacing w:after="0"/>
              <w:rPr>
                <w:sz w:val="20"/>
                <w:szCs w:val="20"/>
                <w:color w:val="auto"/>
              </w:rPr>
            </w:pPr>
            <w:r>
              <w:rPr>
                <w:rFonts w:ascii="Arial" w:cs="Arial" w:eastAsia="Arial" w:hAnsi="Arial"/>
                <w:sz w:val="18"/>
                <w:szCs w:val="18"/>
                <w:color w:val="auto"/>
                <w:w w:val="84"/>
              </w:rPr>
              <w:t>2016</w:t>
            </w:r>
          </w:p>
        </w:tc>
        <w:tc>
          <w:tcPr>
            <w:tcW w:w="326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700" w:type="dxa"/>
            <w:vAlign w:val="bottom"/>
            <w:gridSpan w:val="3"/>
          </w:tcPr>
          <w:p>
            <w:pPr>
              <w:jc w:val="center"/>
              <w:ind w:left="70"/>
              <w:spacing w:after="0"/>
              <w:rPr>
                <w:sz w:val="20"/>
                <w:szCs w:val="20"/>
                <w:color w:val="auto"/>
              </w:rPr>
            </w:pPr>
            <w:r>
              <w:rPr>
                <w:rFonts w:ascii="Arial" w:cs="Arial" w:eastAsia="Arial" w:hAnsi="Arial"/>
                <w:sz w:val="18"/>
                <w:szCs w:val="18"/>
                <w:color w:val="auto"/>
                <w:w w:val="93"/>
              </w:rPr>
              <w:t>$0.46</w:t>
            </w:r>
          </w:p>
        </w:tc>
      </w:tr>
    </w:tbl>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ability of the Company to pay dividends is impacted by the dividend that the Company receives from the Bank. The Bank may pay as dividends to the Company its retained earnings during the current year and its prior two years. Various U.S. federal statutory provisions also limit the amount of dividends the Company’s banking subsidiary can pay to the Company without regulatory approval. In 2009, The Board of Governors of the Federal Reserve Division of Banking Supervision and Regulation issued SR09-4 regarding the safe and sound payment of dividends by bank holding companies. Currently, such limitation on the payment of dividends from the Bank to the Company does not materially restrict the Company’s ability to pay dividends to its shareholders. See Note 16 to the consolidated financial statements for additional information on applicable dividend restrictions.</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Dividends declared during 2017 were $0.50 per share totaling $4.58 million, 8.7% higher than 2016 declared dividends of $0.46 per share. During 2017, the Company awarded 32,000 shares to 74 employees and 1,080 shares were forfeited under its long term incentive plan. At year end, 2017, the Company held 1,134,120 shares in Treasury stock and 92,350 in unearned stock awards.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Dividends declared during 2016 were $0.46 per share totaling $4.16 million, 4.5% higher than 2015 declared dividends of $0.44 per share. During 2016, the Company repurchased 14,000 shares and awarded 32,300 restricted shares to 74 employees and 1,546 shares were forfeited under its long term incentive plan. At yearend 2016, the Company held 1,158,250 shares in Treasury stock and 86,300 in unearned stock awards.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have a strong capital base and to maintain regulatory capital ratios that are significantly above the defined regulatory capital ratios.</w:t>
      </w: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7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Tier I Leverage Ratio</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12.02%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11.77%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14.73%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14.46%</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15.28%</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12.12%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11.89%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Capital Conservation Buffer</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r>
    </w:tbl>
    <w:p>
      <w:pPr>
        <w:spacing w:after="0" w:line="20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January 19, 2018, the Company announced the authorization by its Board of Directors for the Company’s repurchase, either on the open market, or in privately negotiated transactions, of up to 400,000 shares of its outstanding common stock commencing January 19, 2018 and ending December 31, 2018.</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Total Number 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88"/>
              </w:rPr>
              <w:t>Purchased as Part</w:t>
            </w:r>
          </w:p>
        </w:tc>
        <w:tc>
          <w:tcPr>
            <w:tcW w:w="700" w:type="dxa"/>
            <w:vAlign w:val="bottom"/>
          </w:tcPr>
          <w:p>
            <w:pPr>
              <w:spacing w:after="0"/>
              <w:rPr>
                <w:sz w:val="12"/>
                <w:szCs w:val="12"/>
                <w:color w:val="auto"/>
              </w:rPr>
            </w:pP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88"/>
              </w:rPr>
              <w:t>Remaining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Total Number</w:t>
            </w:r>
          </w:p>
        </w:tc>
        <w:tc>
          <w:tcPr>
            <w:tcW w:w="16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Average Price</w:t>
            </w:r>
          </w:p>
        </w:tc>
        <w:tc>
          <w:tcPr>
            <w:tcW w:w="1380" w:type="dxa"/>
            <w:vAlign w:val="bottom"/>
          </w:tcPr>
          <w:p>
            <w:pPr>
              <w:jc w:val="center"/>
              <w:spacing w:after="0" w:line="149" w:lineRule="exact"/>
              <w:rPr>
                <w:sz w:val="20"/>
                <w:szCs w:val="20"/>
                <w:color w:val="auto"/>
              </w:rPr>
            </w:pPr>
            <w:r>
              <w:rPr>
                <w:rFonts w:ascii="Arial" w:cs="Arial" w:eastAsia="Arial" w:hAnsi="Arial"/>
                <w:sz w:val="14"/>
                <w:szCs w:val="14"/>
                <w:color w:val="auto"/>
                <w:w w:val="96"/>
              </w:rPr>
              <w:t>of Publicly Announced</w:t>
            </w:r>
          </w:p>
        </w:tc>
        <w:tc>
          <w:tcPr>
            <w:tcW w:w="70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Repurchases</w:t>
            </w:r>
          </w:p>
        </w:tc>
        <w:tc>
          <w:tcPr>
            <w:tcW w:w="0" w:type="dxa"/>
            <w:vAlign w:val="bottom"/>
          </w:tcPr>
          <w:p>
            <w:pPr>
              <w:spacing w:after="0"/>
              <w:rPr>
                <w:sz w:val="1"/>
                <w:szCs w:val="1"/>
                <w:color w:val="auto"/>
              </w:rPr>
            </w:pPr>
          </w:p>
        </w:tc>
      </w:tr>
      <w:tr>
        <w:trPr>
          <w:trHeight w:val="167"/>
        </w:trPr>
        <w:tc>
          <w:tcPr>
            <w:tcW w:w="3700" w:type="dxa"/>
            <w:vAlign w:val="bottom"/>
            <w:gridSpan w:val="3"/>
          </w:tcPr>
          <w:p>
            <w:pPr>
              <w:spacing w:after="0"/>
              <w:rPr>
                <w:sz w:val="20"/>
                <w:szCs w:val="20"/>
                <w:color w:val="auto"/>
              </w:rPr>
            </w:pPr>
            <w:r>
              <w:rPr>
                <w:rFonts w:ascii="Arial" w:cs="Arial" w:eastAsia="Arial" w:hAnsi="Arial"/>
                <w:sz w:val="14"/>
                <w:szCs w:val="14"/>
                <w:color w:val="auto"/>
              </w:rPr>
              <w:t>Period</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of Shares Purchased</w:t>
            </w:r>
          </w:p>
        </w:tc>
        <w:tc>
          <w:tcPr>
            <w:tcW w:w="1680" w:type="dxa"/>
            <w:vAlign w:val="bottom"/>
            <w:gridSpan w:val="2"/>
          </w:tcPr>
          <w:p>
            <w:pPr>
              <w:spacing w:after="0"/>
              <w:rPr>
                <w:sz w:val="20"/>
                <w:szCs w:val="20"/>
                <w:color w:val="auto"/>
              </w:rPr>
            </w:pPr>
            <w:r>
              <w:rPr>
                <w:rFonts w:ascii="Arial" w:cs="Arial" w:eastAsia="Arial" w:hAnsi="Arial"/>
                <w:sz w:val="14"/>
                <w:szCs w:val="14"/>
                <w:color w:val="auto"/>
              </w:rPr>
              <w:t>Paid per Share</w:t>
            </w:r>
          </w:p>
        </w:tc>
        <w:tc>
          <w:tcPr>
            <w:tcW w:w="1380" w:type="dxa"/>
            <w:vAlign w:val="bottom"/>
          </w:tcPr>
          <w:p>
            <w:pPr>
              <w:jc w:val="center"/>
              <w:spacing w:after="0"/>
              <w:rPr>
                <w:sz w:val="20"/>
                <w:szCs w:val="20"/>
                <w:color w:val="auto"/>
              </w:rPr>
            </w:pPr>
            <w:r>
              <w:rPr>
                <w:rFonts w:ascii="Arial" w:cs="Arial" w:eastAsia="Arial" w:hAnsi="Arial"/>
                <w:sz w:val="14"/>
                <w:szCs w:val="14"/>
                <w:color w:val="auto"/>
                <w:w w:val="91"/>
              </w:rPr>
              <w:t>Plan or Programs</w:t>
            </w:r>
          </w:p>
        </w:tc>
        <w:tc>
          <w:tcPr>
            <w:tcW w:w="70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Authorization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vMerge w:val="restart"/>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10/1/2017 to</w:t>
            </w:r>
          </w:p>
        </w:tc>
        <w:tc>
          <w:tcPr>
            <w:tcW w:w="11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10/31/2017</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11/1/2017 to</w:t>
            </w:r>
          </w:p>
        </w:tc>
        <w:tc>
          <w:tcPr>
            <w:tcW w:w="2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11/30/2017</w:t>
            </w:r>
          </w:p>
        </w:tc>
        <w:tc>
          <w:tcPr>
            <w:tcW w:w="1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12/1/2017 to</w:t>
            </w:r>
          </w:p>
        </w:tc>
        <w:tc>
          <w:tcPr>
            <w:tcW w:w="2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306</w:t>
            </w:r>
            <w:r>
              <w:rPr>
                <w:rFonts w:ascii="Arial" w:cs="Arial" w:eastAsia="Arial" w:hAnsi="Arial"/>
                <w:sz w:val="15"/>
                <w:szCs w:val="15"/>
                <w:color w:val="auto"/>
              </w:rPr>
              <w:t>(2)</w:t>
            </w:r>
          </w:p>
        </w:tc>
        <w:tc>
          <w:tcPr>
            <w:tcW w:w="1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20.52</w:t>
            </w:r>
            <w:r>
              <w:rPr>
                <w:rFonts w:ascii="Arial" w:cs="Arial" w:eastAsia="Arial" w:hAnsi="Arial"/>
                <w:sz w:val="15"/>
                <w:szCs w:val="15"/>
                <w:color w:val="auto"/>
              </w:rPr>
              <w:t>(2)</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12/31/2017</w:t>
            </w:r>
          </w:p>
        </w:tc>
        <w:tc>
          <w:tcPr>
            <w:tcW w:w="118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306</w:t>
            </w:r>
          </w:p>
        </w:tc>
        <w:tc>
          <w:tcPr>
            <w:tcW w:w="1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20.52</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1"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From time to time, the Company purchases shares in the market pursuant to a stock repurchase program publicly announced on January 20, 2017. On that date, the Board of Directors authorized the repurchase of 200,000 common shares between January 20, 2017 and December 31, 2017. The number of shares authorized to repurchase has been adjusted to reflect a two-for-one split on September 20, 2017.</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Shares which were repurchased for taxes on vested stock awards are outside of this program.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2016 and 2015 consolidated financial statements have been reclassified to conform with the 2017 presentation.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CONSOLIDATED FINANCIAL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Consolidated Statement of Income - 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9"/>
          </w:tcPr>
          <w:p>
            <w:pPr>
              <w:jc w:val="right"/>
              <w:ind w:right="960"/>
              <w:spacing w:after="0"/>
              <w:rPr>
                <w:sz w:val="20"/>
                <w:szCs w:val="20"/>
                <w:color w:val="auto"/>
              </w:rPr>
            </w:pPr>
            <w:r>
              <w:rPr>
                <w:rFonts w:ascii="Arial" w:cs="Arial" w:eastAsia="Arial" w:hAnsi="Arial"/>
                <w:sz w:val="14"/>
                <w:szCs w:val="14"/>
                <w:color w:val="auto"/>
              </w:rPr>
              <w:t>(In Thousands, except share data)</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2016</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2015</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Summary of Income: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41,248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37,727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33,650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33,453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31,428</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5,127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w:t>
            </w:r>
          </w:p>
        </w:tc>
      </w:tr>
      <w:tr>
        <w:trPr>
          <w:trHeight w:val="223"/>
        </w:trPr>
        <w:tc>
          <w:tcPr>
            <w:tcW w:w="518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36,121</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30,063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26,824</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35,899</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29,438</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25,966</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(17,996)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(13,363)</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Net income before income taxes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14,159</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12,603</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3,596</w:t>
            </w:r>
          </w:p>
        </w:tc>
      </w:tr>
      <w:tr>
        <w:trPr>
          <w:trHeight w:val="223"/>
        </w:trPr>
        <w:tc>
          <w:tcPr>
            <w:tcW w:w="518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9,007</w:t>
            </w:r>
          </w:p>
        </w:tc>
        <w:tc>
          <w:tcPr>
            <w:tcW w:w="100" w:type="dxa"/>
            <w:vAlign w:val="bottom"/>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Per Share of Common Stock:</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Earnings per common share outstanding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5"/>
                <w:szCs w:val="15"/>
                <w:color w:val="auto"/>
              </w:rPr>
              <w:t>(1)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r>
      <w:tr>
        <w:trPr>
          <w:trHeight w:val="230"/>
        </w:trPr>
        <w:tc>
          <w:tcPr>
            <w:tcW w:w="5180" w:type="dxa"/>
            <w:vAlign w:val="bottom"/>
          </w:tcPr>
          <w:p>
            <w:pPr>
              <w:ind w:left="720"/>
              <w:spacing w:after="0"/>
              <w:rPr>
                <w:sz w:val="20"/>
                <w:szCs w:val="20"/>
                <w:color w:val="auto"/>
              </w:rPr>
            </w:pPr>
            <w:r>
              <w:rPr>
                <w:rFonts w:ascii="Arial" w:cs="Arial" w:eastAsia="Arial" w:hAnsi="Arial"/>
                <w:sz w:val="18"/>
                <w:szCs w:val="18"/>
                <w:color w:val="auto"/>
              </w:rPr>
              <w:t xml:space="preserve">Dividends </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r>
      <w:tr>
        <w:trPr>
          <w:trHeight w:val="202"/>
        </w:trPr>
        <w:tc>
          <w:tcPr>
            <w:tcW w:w="51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4"/>
              </w:rPr>
              <w:t>Weighted average number of shares outstanding, including</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9,250,825</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9,224,230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9,234,116</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9,256,356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9,353,094</w:t>
            </w: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w:t>
      </w:r>
    </w:p>
    <w:p>
      <w:pPr>
        <w:spacing w:after="0" w:line="2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color w:val="auto"/>
              </w:rPr>
              <w:t>(In Thousands)</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820" w:type="dxa"/>
            <w:vAlign w:val="bottom"/>
          </w:tcPr>
          <w:p>
            <w:pPr>
              <w:jc w:val="right"/>
              <w:ind w:right="194"/>
              <w:spacing w:after="0" w:line="142"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2"/>
                <w:szCs w:val="12"/>
                <w:color w:val="auto"/>
              </w:rPr>
            </w:pPr>
          </w:p>
        </w:tc>
        <w:tc>
          <w:tcPr>
            <w:tcW w:w="1060" w:type="dxa"/>
            <w:vAlign w:val="bottom"/>
            <w:gridSpan w:val="2"/>
          </w:tcPr>
          <w:p>
            <w:pPr>
              <w:jc w:val="right"/>
              <w:ind w:right="190"/>
              <w:spacing w:after="0" w:line="142" w:lineRule="exact"/>
              <w:rPr>
                <w:sz w:val="20"/>
                <w:szCs w:val="20"/>
                <w:color w:val="auto"/>
              </w:rPr>
            </w:pPr>
            <w:r>
              <w:rPr>
                <w:rFonts w:ascii="Arial" w:cs="Arial" w:eastAsia="Arial" w:hAnsi="Arial"/>
                <w:sz w:val="14"/>
                <w:szCs w:val="14"/>
                <w:color w:val="auto"/>
              </w:rPr>
              <w:t>2016</w:t>
            </w:r>
          </w:p>
        </w:tc>
        <w:tc>
          <w:tcPr>
            <w:tcW w:w="116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2015</w:t>
            </w:r>
          </w:p>
        </w:tc>
        <w:tc>
          <w:tcPr>
            <w:tcW w:w="460" w:type="dxa"/>
            <w:vAlign w:val="bottom"/>
          </w:tcPr>
          <w:p>
            <w:pPr>
              <w:spacing w:after="0"/>
              <w:rPr>
                <w:sz w:val="12"/>
                <w:szCs w:val="12"/>
                <w:color w:val="auto"/>
              </w:rPr>
            </w:pPr>
          </w:p>
        </w:tc>
        <w:tc>
          <w:tcPr>
            <w:tcW w:w="70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2014</w:t>
            </w:r>
          </w:p>
        </w:tc>
        <w:tc>
          <w:tcPr>
            <w:tcW w:w="240" w:type="dxa"/>
            <w:vAlign w:val="bottom"/>
          </w:tcPr>
          <w:p>
            <w:pPr>
              <w:spacing w:after="0"/>
              <w:rPr>
                <w:sz w:val="12"/>
                <w:szCs w:val="12"/>
                <w:color w:val="auto"/>
              </w:rPr>
            </w:pPr>
          </w:p>
        </w:tc>
        <w:tc>
          <w:tcPr>
            <w:tcW w:w="920" w:type="dxa"/>
            <w:vAlign w:val="bottom"/>
            <w:gridSpan w:val="2"/>
          </w:tcPr>
          <w:p>
            <w:pPr>
              <w:jc w:val="right"/>
              <w:ind w:right="110"/>
              <w:spacing w:after="0" w:line="142"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2"/>
                <w:szCs w:val="12"/>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$1,107,009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$1,055,895</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$989,068</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$941,213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$965,938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Loans, net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816,156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751,310</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678,573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615,562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570,363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919,340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842,203</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771,339</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762,560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776,464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Stockholders’ equity</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134,137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125,577</w:t>
            </w:r>
          </w:p>
        </w:tc>
        <w:tc>
          <w:tcPr>
            <w:tcW w:w="1620" w:type="dxa"/>
            <w:vAlign w:val="bottom"/>
            <w:gridSpan w:val="3"/>
          </w:tcPr>
          <w:p>
            <w:pPr>
              <w:jc w:val="right"/>
              <w:ind w:right="460"/>
              <w:spacing w:after="0"/>
              <w:rPr>
                <w:sz w:val="20"/>
                <w:szCs w:val="20"/>
                <w:color w:val="auto"/>
              </w:rPr>
            </w:pPr>
            <w:r>
              <w:rPr>
                <w:rFonts w:ascii="Arial" w:cs="Arial" w:eastAsia="Arial" w:hAnsi="Arial"/>
                <w:sz w:val="18"/>
                <w:szCs w:val="18"/>
                <w:color w:val="auto"/>
              </w:rPr>
              <w:t>120,097</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114,493</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108,340</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Key Ratios</w:t>
            </w:r>
          </w:p>
        </w:tc>
        <w:tc>
          <w:tcPr>
            <w:tcW w:w="2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Return on average equity</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9.75%</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9.38%</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8.80%</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8.72%</w:t>
            </w:r>
          </w:p>
        </w:tc>
        <w:tc>
          <w:tcPr>
            <w:tcW w:w="92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Return on average assets</w:t>
            </w:r>
          </w:p>
        </w:tc>
        <w:tc>
          <w:tcPr>
            <w:tcW w:w="28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1.18%</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1.14%</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1.08%</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r>
      <w:tr>
        <w:trPr>
          <w:trHeight w:val="216"/>
        </w:trPr>
        <w:tc>
          <w:tcPr>
            <w:tcW w:w="4100" w:type="dxa"/>
            <w:vAlign w:val="bottom"/>
          </w:tcPr>
          <w:p>
            <w:pPr>
              <w:ind w:left="360"/>
              <w:spacing w:after="0"/>
              <w:rPr>
                <w:sz w:val="20"/>
                <w:szCs w:val="20"/>
                <w:color w:val="auto"/>
              </w:rPr>
            </w:pPr>
            <w:r>
              <w:rPr>
                <w:rFonts w:ascii="Arial" w:cs="Arial" w:eastAsia="Arial" w:hAnsi="Arial"/>
                <w:sz w:val="18"/>
                <w:szCs w:val="18"/>
                <w:color w:val="auto"/>
              </w:rPr>
              <w:t>Loans to deposits</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88.78%</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89.45%</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88.14%</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80.78%</w:t>
            </w:r>
          </w:p>
        </w:tc>
        <w:tc>
          <w:tcPr>
            <w:tcW w:w="920" w:type="dxa"/>
            <w:vAlign w:val="bottom"/>
          </w:tcPr>
          <w:p>
            <w:pPr>
              <w:jc w:val="right"/>
              <w:spacing w:after="0"/>
              <w:rPr>
                <w:sz w:val="20"/>
                <w:szCs w:val="20"/>
                <w:color w:val="auto"/>
              </w:rPr>
            </w:pPr>
            <w:r>
              <w:rPr>
                <w:rFonts w:ascii="Arial" w:cs="Arial" w:eastAsia="Arial" w:hAnsi="Arial"/>
                <w:sz w:val="18"/>
                <w:szCs w:val="18"/>
                <w:color w:val="auto"/>
              </w:rPr>
              <w:t>73.53%</w:t>
            </w:r>
          </w:p>
        </w:tc>
      </w:tr>
      <w:tr>
        <w:trPr>
          <w:trHeight w:val="216"/>
        </w:trPr>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to assets</w:t>
            </w:r>
          </w:p>
        </w:tc>
        <w:tc>
          <w:tcPr>
            <w:tcW w:w="28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12.12%</w:t>
            </w: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11.89%</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12.14%</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r>
      <w:tr>
        <w:trPr>
          <w:trHeight w:val="230"/>
        </w:trPr>
        <w:tc>
          <w:tcPr>
            <w:tcW w:w="4100" w:type="dxa"/>
            <w:vAlign w:val="bottom"/>
          </w:tcPr>
          <w:p>
            <w:pPr>
              <w:ind w:left="360"/>
              <w:spacing w:after="0"/>
              <w:rPr>
                <w:sz w:val="20"/>
                <w:szCs w:val="20"/>
                <w:color w:val="auto"/>
              </w:rPr>
            </w:pPr>
            <w:r>
              <w:rPr>
                <w:rFonts w:ascii="Arial" w:cs="Arial" w:eastAsia="Arial" w:hAnsi="Arial"/>
                <w:sz w:val="18"/>
                <w:szCs w:val="18"/>
                <w:color w:val="auto"/>
              </w:rPr>
              <w:t>Dividend payout</w:t>
            </w:r>
          </w:p>
        </w:tc>
        <w:tc>
          <w:tcPr>
            <w:tcW w:w="2860" w:type="dxa"/>
            <w:vAlign w:val="bottom"/>
          </w:tcPr>
          <w:p>
            <w:pPr>
              <w:jc w:val="right"/>
              <w:ind w:right="290"/>
              <w:spacing w:after="0"/>
              <w:rPr>
                <w:sz w:val="20"/>
                <w:szCs w:val="20"/>
                <w:color w:val="auto"/>
              </w:rPr>
            </w:pPr>
            <w:r>
              <w:rPr>
                <w:rFonts w:ascii="Arial" w:cs="Arial" w:eastAsia="Arial" w:hAnsi="Arial"/>
                <w:sz w:val="18"/>
                <w:szCs w:val="18"/>
                <w:color w:val="auto"/>
              </w:rPr>
              <w:t>36.02%</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35.67%</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38.54%</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40.04%</w:t>
            </w:r>
          </w:p>
        </w:tc>
        <w:tc>
          <w:tcPr>
            <w:tcW w:w="920" w:type="dxa"/>
            <w:vAlign w:val="bottom"/>
          </w:tcPr>
          <w:p>
            <w:pPr>
              <w:jc w:val="right"/>
              <w:spacing w:after="0"/>
              <w:rPr>
                <w:sz w:val="20"/>
                <w:szCs w:val="20"/>
                <w:color w:val="auto"/>
              </w:rPr>
            </w:pPr>
            <w:r>
              <w:rPr>
                <w:rFonts w:ascii="Arial" w:cs="Arial" w:eastAsia="Arial" w:hAnsi="Arial"/>
                <w:sz w:val="18"/>
                <w:szCs w:val="18"/>
                <w:color w:val="auto"/>
              </w:rPr>
              <w:t>41.69%</w:t>
            </w:r>
          </w:p>
        </w:tc>
      </w:tr>
    </w:tbl>
    <w:p>
      <w:pPr>
        <w:spacing w:after="0" w:line="291" w:lineRule="exact"/>
        <w:rPr>
          <w:sz w:val="20"/>
          <w:szCs w:val="20"/>
          <w:color w:val="auto"/>
        </w:rPr>
      </w:pPr>
    </w:p>
    <w:p>
      <w:pPr>
        <w:ind w:right="1460"/>
        <w:spacing w:after="0" w:line="378"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Critical Accounting Policies and Estimates</w:t>
      </w:r>
    </w:p>
    <w:p>
      <w:pPr>
        <w:ind w:right="100"/>
        <w:spacing w:after="0" w:line="291" w:lineRule="auto"/>
        <w:rPr>
          <w:sz w:val="20"/>
          <w:szCs w:val="20"/>
          <w:color w:val="auto"/>
        </w:rPr>
      </w:pPr>
      <w:r>
        <w:rPr>
          <w:rFonts w:ascii="Arial" w:cs="Arial" w:eastAsia="Arial" w:hAnsi="Arial"/>
          <w:sz w:val="16"/>
          <w:szCs w:val="16"/>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decline in the value of an asset not required to be recorded at fair value warrants an impairment write-down or valuation reserve to be established, or when an asset or liability must be recorded contingent upon a future event.</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as the accounting areas that requires the most subjective or complex judgments, and as such could be the most subject to revision as new information becomes available.</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cost,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7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2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The Company’s mortgage servicing rights relating to loans serviced for others represent an asset of the Company.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can be directly tied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 to the fact that management has not been required to record a valuation allowance through its income statement based upon the valuation of each stratum of serving rights.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in Review</w:t>
      </w:r>
    </w:p>
    <w:p>
      <w:pPr>
        <w:spacing w:after="0" w:line="12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Unemployment levels continued to decline throughout 2017 as the local economies of Northwest Ohio and Northeast Indiana continued to strengthen. Business profits improved in the market region and the agricultural industry operated in breakeven or with a slight profit mode. Low commodity prices and weather in 2017 influenced the agricultural industry. Rising interest rates did not deter growth or expansion in our service areas.</w:t>
      </w:r>
    </w:p>
    <w:p>
      <w:pPr>
        <w:spacing w:after="0" w:line="14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 reached new heights with record earnings for 2017. Net income was over $1 million higher than 2016, ending at $12.7 million. Profitability improved due to the increased loan balances, new product offerings and continued strong asset quality. Net loans grew by $64.8 million with asset size increasing by a slightly smaller $51.1 million. Loans were funded by higher deposit levels, sales and maturities of investment securities.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Improvement in 2017’s net interest income, which was $2.6 million over 2016, was the largest contributing factor in the higher profitability of 2017. This was accomplished through higher loan balances and aided by the two prime rate increases in December 2015 and 2016 along with the three throughout 2017. Interest income benefited from those rate hikes more than the cost increase experienced in interest expense. While 2016 was similar in that loan growth fueled improved interest income, the rate increase was too late in the year to have much impact. Overall, 2016’s net interest income improved by $3.4 million over 2015.</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Net income was positively impacted by lower loan provision expense of $0.9 million in 2017 as compared to 2016. Strong asset quality, evidenced by lower nonaccrual, watch list and impaired loan balances and low net charge-offs, negated the need to add to loan provision. The loan loss provision for 2017 was $222 thousand.</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performance of one of our newest offices continue to contribute to overall profitably due to the new relationships being developed. The Company continues to focus on expansion and we opened an office in Indiana at the end of the first quarter 2016. Our location is situated within Huntertown but with a Fort Wayne address. In the fourth quarter of 2016, we opened our Bowling Green, Ohio office in a leased property which the Bank renovated. The Bank has been able to establish ties with the Athletic Department of Bowling Green State University and began offering a credit card to its alumni in 2017. We expect the offices to contribute to earnings during 2018, with great potential for later years. In first quarter 2018, we will open an additional location in Findlay, Ohio.</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deposit strategy remains focused on growing core deposits and offering additional services. The strategy implemented in 2016 was the addition of “KASASA Cash Back” which we felt would appeal to our younger depositors. This product rewards the account owner based on debit card usage rather than on account balances and focuses on lower cost digital interaction with the Bank through the use of on-line statements. As the name implies, the depositor receives “cash back” for completing a minimum number of debit card transactions when other criteria is met. The strategy expanded to our business depositors in 2017. The business checking offerings were restructured to bundle services and enable customers to choose their desired level of service. The Bank was also able to offer pricing based on a full relationship and not on just the single account. The success of this deposit strategy is evidenced by the growth in non-interest bearing deposits. A discussion on the increase of interest-bearing NOW accounts is covered later.</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slope of the yield curve for most of 2015 and 2016, enabled the Company to continue to sell investment securities with shorter term maturities and recognize a gain without compromising the yield. The opportunity only presented itself at the start of 2017 and the month before the second rate hike of the year. The proceeds were in lower amounts than prior years and mainly used to fund loan growth. For 2016, the recognized gain on the sale of securities was $588 thousand, higher than 2015’s recognized gain of $451 thousand compared to 2017’s much lower gain of $47 thousand. The market value of the security portfolio is in an unrealized loss position. The Company will continue to look for opportunities to utilize the sale of securities from the investment portfolio to fund loan growth.</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facilitate the availability of the investment portfolio to be used for loan growth, the Bank began to offer the insured cash sweep, (“ICS”), which is a sister product of Promontory’s certificate of deposit account registry,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(“CDARs”). ICS provides FDIC insurance coverage through the use of a bank network thereby replacing the use of pledged securities to Ohio public depositors and for daily repurchase agreements to the Bank’s other sweep customers. The process of accepting the new product began in earnest during the fourth quarter of 2016 and with the largest movement of funds completed in early 2017. The change in the process of commercial sweep account pledging is visible by the shift of dollars on the balance sheet from securities sold under agreement to repurchase to interest bearing NOW accounts during 2017 as compared to the balances in 2016. This action does not assure the continued use of the investment portfolio to fund loan growth nor does it assure an ongoing source of income, however, it does assure the availability of the opportunity to do so.</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Throughout 2015, 2016 and 2017, the Company has done an exceptional job of recognizing opportunities to provide new or enhanced services and products. A commitment to improve asset quality over the years has also benefited the Company. These opportunities are further discussed in the Material Changes in Results of Operations. The Company remains strong, stable and well capitalized and has the capacity to continue to cover the increased costs of doing business in a tough economy while seeking good loans to improve profitability. The Company continues to look for new opportunities to generate and protect revenue while providing additional channels through which to serve our customers and maintain our high level of customer satisfaction. The Company plans to continue on its strategy of expansion into new markets, whether by acquisition or the establishment of new branch office locations.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which is net interest income.</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mention previously, the largest factor of the record earnings for 2017 was the $2.6 million improvement in net interest income as compared to 2016. In 2016, net interest income increased $3.4 million as compared to 2015. Interest and fee income from loans were responsible for the improvement. Interest income from loans, including fees, increased almost $3.5 million in 2017 as compared to 2016. This was preceded by a higher increase in 2016 of $4.4 million as compared to 2015. The underlying factors for the reason of the increase differed between the two time periods as 2017 was aided by prime rate increases which drove the effective interest rates on the Bank’s variable loans over their floor rates. Both time periods were similar in that the volume of loan growth was the largest contributing factor to the improved profitability. Given that securities were sold or matured and proceeds used to fund the loan growth, interest income from that balance sheet component has declined each of the last three years. Overall, total interest income was $3.5 million higher for 2017 than 2016 and was $4.1 million higher for 2016 than 2015.</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Interest expense increased from all interest bearing funding sources over the time periods shown of 2015 through 2017. This reversed a previous trend of declining interest expense that occurred in 2014 and 2015.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to assist in controlling interest expense in a rising rate environment. During 2017, interest expense from deposits increased by $866 thousand over 2016 and 2016 increased $348 thousand over 2015. The majority of the increased expense of 2017 was influenced by increased rates rather than due to additional cost associated with deposit growth.</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interest expense (which includes deposit, federal funds purchased, securities sold under agreement to repurchase, and borrowed funds) totaled $5.1, $4.2 and $3.6 million for 2017, 2016 and 2015 respectively. As with the loan discussion earlier, more of the expense is attributable to the rising interest rate environment in 2017 as compared to 2016. In the 2016 to 2015 comparison, the increased expense was almost equally impacted by the increased volume and the increased rates. Borrowed fund balances increased in December of 2015, which impacted 2016 and 2017. Half of 2015’s borrowings have since matured in December of 2017.</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dollar amount of improvement has been shown. Now the discussion moves on to the percentages and the change in the net interest margin and spread.</w:t>
      </w:r>
    </w:p>
    <w:p>
      <w:pPr>
        <w:spacing w:after="0" w:line="24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Overall, we have seen increased improvement in the net interest margin and spread since 2015. Looking at the components behind the change in net interest margin for 2017 as compared to 2016, increased average balances in loans of $59.1 million stands out. The additional revenue of almost $2.8 million that those balances were responsible for was the largest contributor to the improved net yield on loans of 9 basis points. For the first time in many years, loan revenue was also positively impacted by the change in the interest rate. The majority of variable loans with floor rates attained the point where rate increases caused the rate to go above the floor. The Bank had expected 100 basis points of change was needed for this to occur which was reached with the June 2017 Fed Funds rate hike. The next hike did not occur until December of 2017, too late to largely impact 2017 though it will benefit 2018. The large revenue gain in loan interest was offset by the decrease earnings in securities which were used to fund the loan growth. However, the overall asset yield in 2017 still improved by 18 basis points over 2016, as loans earn at a higher rate than the securities.</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interest expense correlated to the higher rate environment in which the deposits needed to be garnered. The Bank experienced pressure to offer higher rates to public funds in Ohio due to competition. In the area where the strategic plan was to gather core deposits, the average balance in savings grew by $72.6 million during 2017 as compared to 2016’s average balance. This is somewhat tampered by the reclassification movement from the commercial sweeps which show the average balance on securities sold under agreement to repurchase decreasing by $29.7 million for 2017 as compared to 2016. The net increase therefore would represent increased balances and/or new relationships totaling $42.9 million for 2017. The other average balance increase for core deposits would be the change in non-interest bearing demand deposits. 2017’s average balance in this portfolio was $10.5 million higher than 2016’s average balance. Overall, cost of funds increased 9 basis points for 2017 over 2016. The reason behind the increase was due to rate increases not the volume increases.</w:t>
      </w:r>
    </w:p>
    <w:p>
      <w:pPr>
        <w:spacing w:after="0" w:line="16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net interest margin for 2017 was 3.65% compared to 2016 which was 3.55%. The 0.10% increase for 2017 was an important factor in the improved profitability for 2017. Net interest spread was 3.48% for 2017 compared to 2016’s 3.39%, creating a 9 basis point difference in the spread. Variable and new loans will reprice higher if the Federal Reserve continues with their stated monetary policy and the challenge will be to control the rate of increase on the deposits. The goal is, as always, to improve the net interest margin and spread and thereby improve profitability.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comparing 2016 to 2015, loan volume was primarily responsible for the improvement in interest income as the yield on the overall loan portfolio decreased 1 basis point during 2016. The only category of asset yield to increase was the short term federal funds sold and interest bearing deposits which was aided by the Federal Reserve increase in rates of 25 basis points in December 2015 and 2016. Overall, asset yield increased 8 basis points in 2016 as compared to 2015.</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net interest margin also climbed up in 2016, ending 6 basis points over 2015. Asset yield raised 8 basis points and the cost of funds increased only 5 basis points. The yields on the individual segments did not cause the overall improvement as many either decreased or remained unchanged. The improvement in the asset yield was primarily a result of the change in the asset mix. In addition, loans as a percentage of earning assets increased to 75.0% in 2016 compared to 70.8% in 2015. Loans to assets also increased to 70.7% for 2016 compared to 2015’s 65.7%. Overall yield improves when the balances of the highest yield asset increases, which is loans.</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With respect to the cost of funds, the Bank’s goal is to grow the least expensive category of funding sources. The largest average balance increase for 2016 was $34.7 million in savings deposits over 2015’s average balances. This helped to keep the increase in funding expense to just 5 basis points when comparing 2016 to 2015.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mentioned previously, the movement of some of the interest bearing checking accounts greatly helped to decrease interest expense in terms of dollars; however, it also removed some of the lowest cost of funds out of the cost percentages. Therefore, the correlation to improvement in margin and spread is not easily visible.</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will always prefer to see improvement in real dollars over percentages. The strategy for increasing core deposits, in order to mitigate the higher interest rates and interest expense and to continue to establish the opportunity for fee dollars from services provided, remains for 2018.</w:t>
      </w:r>
    </w:p>
    <w:p>
      <w:pPr>
        <w:spacing w:after="0" w:line="1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Total assets of the Company increased overall as did the earning assets in both average and year end during 2017 and 2016. This matched the movement in interest dollars and in yields. The percentage of average earning assets to total average assets reflects the best utilization of funds. For 2017, the percentage at 93.47% was lower than 2016 at 94.22%. The addition of offices in 2016 increased the non-earning assets with cash balances held at the new offices and also the investment in the capital assets of their building and furniture. 2016 had a portion of those assets in its average balances; however 2017 had them in the average balances for the entire year. For 2015, the percentage of earning assets to total assets was even lower at 92.81%. What made 2017 more profitable was the percentage of average loans to total assets. For 2017, the average balance of loans to total average assets was 72.76%, for 2016, 70.69%, for 2015, 65.73%. Loans are the highest yielding asset for the Company.</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The challenge began to change in 2016 as rates increased in December 2015. In a rising rate environment, the challenge is to hold the cost steady while allowing time for the asset portfolio to rise. Floors and ceilings on variable products also impact the level of increase in either scenario. The 25 basis point prime rate increase of 2015 did little to increase the rate on the variable loans because of the floors in place and the spread of rate to prime. The floors provided yield protection in the previous lower rate environment and the rising rates wouldn’t benefit the asset yield until the spread plus prime is higher than the floor. The challenge is to increase the spread during renewals and on new loans. After the December 2015 rate increase, it was another year before the next rate hike in December of 2016. These two rate hikes had little effect on the profitability as the majority of loans were still below the floors. It wasn’t until the third and fourth rate hikes of March and June 2017, that the majority of loans were now either equal to or over the floors. This also helped the asset yield in 2017. The most recent rate hike in December of 2017 will help increase the asset yield for 2018.</w:t>
      </w:r>
    </w:p>
    <w:p>
      <w:pPr>
        <w:spacing w:after="0" w:line="18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terms of interest expense, 2017’s increase as compared to 2016 was due to the increase in rates. 2016’s increase was due to both an increase in average balances and an increase in rates as compared to 2015.</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impact of the change in the portfolio mix was a factor in the liabilities as it was in the assets. In comparing to 2016, 2017 had movements as average balances decreased in all categories other than savings deposits and non-interest bearing liabilities. Other time deposits continued to run off and $5 million of other borrowed money was paid off in December that had been originally borrowed in December 2015 to fund loan growth. Time deposits and other borrowed money term liabilities increased in interest expense in comparing 2016 to 2015. Saving deposits increased in cost for 2016 and 2015 as compared to the preceding years. Fed Funds purchased and securities sold under agreement to repurchase increased for 2016 and was due to increased balance and rate.</w:t>
      </w:r>
    </w:p>
    <w:p>
      <w:pPr>
        <w:spacing w:after="0" w:line="158"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following tables present net interest income, interest spread and net interest margin for the three years 2015 through 2017, comparing average outstanding balances of earning assets and interest bearing liabilities with the associated interest income and expense. The tables show the corresponding average rates of interest earned and paid. The tax-exempt asset yields have been tax adjusted to reflect a marginal corporate tax rate of 34%. Average outstanding loan balances include non-performing loans and mortgage loans held for sale. Average outstanding security balances are computed based on carrying values including unrealized gains and losses on available-for-sale securities. The average cost of funds for 2017 was 0.68%, 9 basis points higher than 2016’s 0.59% for interest bearing liabilities.</w:t>
      </w:r>
    </w:p>
    <w:p>
      <w:pPr>
        <w:spacing w:after="0" w:line="193"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34% tax rate and 14 basis points higher than 2015’s 0.54%.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80"/>
              <w:spacing w:after="0" w:line="123" w:lineRule="exact"/>
              <w:rPr>
                <w:sz w:val="20"/>
                <w:szCs w:val="20"/>
                <w:color w:val="auto"/>
              </w:rPr>
            </w:pPr>
            <w:r>
              <w:rPr>
                <w:rFonts w:ascii="Arial" w:cs="Arial" w:eastAsia="Arial" w:hAnsi="Arial"/>
                <w:sz w:val="14"/>
                <w:szCs w:val="14"/>
                <w:color w:val="auto"/>
                <w:w w:val="99"/>
              </w:rPr>
              <w:t>Average</w:t>
            </w:r>
          </w:p>
        </w:tc>
        <w:tc>
          <w:tcPr>
            <w:tcW w:w="58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w w:val="98"/>
              </w:rPr>
              <w:t>Interest/</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color w:val="auto"/>
              </w:rPr>
              <w:t>Balance</w:t>
            </w:r>
          </w:p>
        </w:tc>
        <w:tc>
          <w:tcPr>
            <w:tcW w:w="98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Yield/Rate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783,140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37,195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154,081</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2,815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52,192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16,597</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193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1,006,010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41,248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Earning Assets:</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36,913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1,076,334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519,580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2,302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188,443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147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Federal funds purchased and securities sold under agreement to repurchase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32,173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750,156</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4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Bearing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Non-interest bearing demand deposits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180,129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945,909</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130,425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1,076,334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41,248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5,127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36,121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70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5"/>
          </w:tcPr>
          <w:p>
            <w:pPr>
              <w:jc w:val="right"/>
              <w:ind w:right="86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80"/>
              <w:spacing w:after="0" w:line="123" w:lineRule="exact"/>
              <w:rPr>
                <w:sz w:val="20"/>
                <w:szCs w:val="20"/>
                <w:color w:val="auto"/>
              </w:rPr>
            </w:pPr>
            <w:r>
              <w:rPr>
                <w:rFonts w:ascii="Arial" w:cs="Arial" w:eastAsia="Arial" w:hAnsi="Arial"/>
                <w:sz w:val="14"/>
                <w:szCs w:val="14"/>
                <w:color w:val="auto"/>
                <w:w w:val="99"/>
              </w:rPr>
              <w:t>Average</w:t>
            </w:r>
          </w:p>
        </w:tc>
        <w:tc>
          <w:tcPr>
            <w:tcW w:w="58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w w:val="98"/>
              </w:rPr>
              <w:t>Interest/</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color w:val="auto"/>
              </w:rPr>
              <w:t>Balance</w:t>
            </w:r>
          </w:p>
        </w:tc>
        <w:tc>
          <w:tcPr>
            <w:tcW w:w="98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Yield/Rate</w:t>
            </w: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ind w:left="2780"/>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724,076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33,703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172,647</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2,730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investment securities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55,395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13,004</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965,122</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37,727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Earning Assets:</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27,348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31,848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1,024,318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1160"/>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446,996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1,690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194,753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148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Federal funds purchased and securities sold under agreement to repurchase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64,825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716,574</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4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Bearing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Non-interest bearing demand deposits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169,510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899,980</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124,338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1,024,318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37,727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4,223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33,504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4700"/>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2015</w:t>
            </w: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60" w:type="dxa"/>
            <w:vAlign w:val="bottom"/>
            <w:gridSpan w:val="5"/>
          </w:tcPr>
          <w:p>
            <w:pPr>
              <w:jc w:val="right"/>
              <w:ind w:right="800"/>
              <w:spacing w:after="0" w:line="142" w:lineRule="exact"/>
              <w:rPr>
                <w:sz w:val="20"/>
                <w:szCs w:val="20"/>
                <w:color w:val="auto"/>
              </w:rPr>
            </w:pPr>
            <w:r>
              <w:rPr>
                <w:rFonts w:ascii="Arial" w:cs="Arial" w:eastAsia="Arial" w:hAnsi="Arial"/>
                <w:sz w:val="14"/>
                <w:szCs w:val="14"/>
                <w:color w:val="auto"/>
              </w:rPr>
              <w:t>(In Thousands)</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500"/>
              <w:spacing w:after="0" w:line="123" w:lineRule="exact"/>
              <w:rPr>
                <w:sz w:val="20"/>
                <w:szCs w:val="20"/>
                <w:color w:val="auto"/>
              </w:rPr>
            </w:pPr>
            <w:r>
              <w:rPr>
                <w:rFonts w:ascii="Arial" w:cs="Arial" w:eastAsia="Arial" w:hAnsi="Arial"/>
                <w:sz w:val="14"/>
                <w:szCs w:val="14"/>
                <w:color w:val="auto"/>
              </w:rPr>
              <w:t>Average</w:t>
            </w:r>
          </w:p>
        </w:tc>
        <w:tc>
          <w:tcPr>
            <w:tcW w:w="580" w:type="dxa"/>
            <w:vAlign w:val="bottom"/>
            <w:tcBorders>
              <w:top w:val="single" w:sz="8" w:color="auto"/>
            </w:tcBorders>
            <w:gridSpan w:val="2"/>
          </w:tcPr>
          <w:p>
            <w:pPr>
              <w:ind w:left="60"/>
              <w:spacing w:after="0" w:line="123" w:lineRule="exact"/>
              <w:rPr>
                <w:sz w:val="20"/>
                <w:szCs w:val="20"/>
                <w:color w:val="auto"/>
              </w:rPr>
            </w:pPr>
            <w:r>
              <w:rPr>
                <w:rFonts w:ascii="Arial" w:cs="Arial" w:eastAsia="Arial" w:hAnsi="Arial"/>
                <w:sz w:val="14"/>
                <w:szCs w:val="14"/>
                <w:color w:val="auto"/>
                <w:w w:val="98"/>
              </w:rPr>
              <w:t>Interest/</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Balance</w:t>
            </w:r>
          </w:p>
        </w:tc>
        <w:tc>
          <w:tcPr>
            <w:tcW w:w="980" w:type="dxa"/>
            <w:vAlign w:val="bottom"/>
            <w:gridSpan w:val="3"/>
          </w:tcPr>
          <w:p>
            <w:pPr>
              <w:spacing w:after="0"/>
              <w:rPr>
                <w:sz w:val="20"/>
                <w:szCs w:val="20"/>
                <w:color w:val="auto"/>
              </w:rPr>
            </w:pPr>
            <w:r>
              <w:rPr>
                <w:rFonts w:ascii="Arial" w:cs="Arial" w:eastAsia="Arial" w:hAnsi="Arial"/>
                <w:sz w:val="14"/>
                <w:szCs w:val="14"/>
                <w:color w:val="auto"/>
              </w:rPr>
              <w:t>Dividends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Yield/Rate</w:t>
            </w:r>
          </w:p>
        </w:tc>
        <w:tc>
          <w:tcPr>
            <w:tcW w:w="0" w:type="dxa"/>
            <w:vAlign w:val="bottom"/>
          </w:tcPr>
          <w:p>
            <w:pPr>
              <w:spacing w:after="0"/>
              <w:rPr>
                <w:sz w:val="1"/>
                <w:szCs w:val="1"/>
                <w:color w:val="auto"/>
              </w:rPr>
            </w:pPr>
          </w:p>
        </w:tc>
      </w:tr>
      <w:tr>
        <w:trPr>
          <w:trHeight w:val="196"/>
        </w:trPr>
        <w:tc>
          <w:tcPr>
            <w:tcW w:w="6220" w:type="dxa"/>
            <w:vAlign w:val="bottom"/>
            <w:tcBorders>
              <w:top w:val="single" w:sz="8" w:color="CCEEFF"/>
            </w:tcBorders>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$627,194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29,293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Taxable investment securities</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177,833</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2,808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Tax-exempt investment securities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66,156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1,513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4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14,359</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885,542</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33,650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Non-Interest Earning Assets:</w:t>
            </w: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47,284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954,159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SHAREHOLDERS’ EQUITY</w:t>
            </w: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$412,269</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1,557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189,822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Federal funds purchased and securities sold under agreement to repurchase</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57,918</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660,117</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4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Bearing Liabilities: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360"/>
              <w:spacing w:after="0"/>
              <w:rPr>
                <w:sz w:val="20"/>
                <w:szCs w:val="20"/>
                <w:color w:val="auto"/>
              </w:rPr>
            </w:pPr>
            <w:r>
              <w:rPr>
                <w:rFonts w:ascii="Arial" w:cs="Arial" w:eastAsia="Arial" w:hAnsi="Arial"/>
                <w:sz w:val="18"/>
                <w:szCs w:val="18"/>
                <w:color w:val="auto"/>
              </w:rPr>
              <w:t>Non-interest bearing demand deposits</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162,028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14,461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836,606</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117,553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954,159</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Interest/Dividend income/yield</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33,650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3,587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30,063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Interest Margin</w:t>
            </w: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6220" w:type="dxa"/>
            <w:vAlign w:val="bottom"/>
            <w:vMerge w:val="restart"/>
          </w:tcPr>
          <w:p>
            <w:pPr>
              <w:ind w:left="470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0"/>
              </w:rPr>
              <w:t>2017 vs 2016</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color w:val="auto"/>
                <w:w w:val="93"/>
              </w:rPr>
              <w:t>(In Thousands)</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8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ind w:right="340"/>
              <w:spacing w:after="0" w:line="123" w:lineRule="exact"/>
              <w:rPr>
                <w:sz w:val="20"/>
                <w:szCs w:val="20"/>
                <w:color w:val="auto"/>
              </w:rPr>
            </w:pPr>
            <w:r>
              <w:rPr>
                <w:rFonts w:ascii="Arial" w:cs="Arial" w:eastAsia="Arial" w:hAnsi="Arial"/>
                <w:sz w:val="14"/>
                <w:szCs w:val="14"/>
                <w:color w:val="auto"/>
                <w:w w:val="91"/>
              </w:rPr>
              <w:t>Net</w:t>
            </w:r>
          </w:p>
        </w:tc>
        <w:tc>
          <w:tcPr>
            <w:tcW w:w="18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Due to change in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8480" w:type="dxa"/>
            <w:vAlign w:val="bottom"/>
          </w:tcPr>
          <w:p>
            <w:pPr>
              <w:spacing w:after="0"/>
              <w:rPr>
                <w:sz w:val="14"/>
                <w:szCs w:val="14"/>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Volume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Rate</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Earning Assets:</w:t>
            </w: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Loans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$3,492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735</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Taxable investment securities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Tax-exempt investment securities</w:t>
            </w: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1,148</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612</w:t>
            </w: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8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0"/>
              </w:rPr>
              <w:t>2016 vs 2015</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8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color w:val="auto"/>
                <w:w w:val="93"/>
              </w:rPr>
              <w:t>(In Thousands)</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8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ind w:right="340"/>
              <w:spacing w:after="0" w:line="123" w:lineRule="exact"/>
              <w:rPr>
                <w:sz w:val="20"/>
                <w:szCs w:val="20"/>
                <w:color w:val="auto"/>
              </w:rPr>
            </w:pPr>
            <w:r>
              <w:rPr>
                <w:rFonts w:ascii="Arial" w:cs="Arial" w:eastAsia="Arial" w:hAnsi="Arial"/>
                <w:sz w:val="14"/>
                <w:szCs w:val="14"/>
                <w:color w:val="auto"/>
                <w:w w:val="91"/>
              </w:rPr>
              <w:t>Net</w:t>
            </w:r>
          </w:p>
        </w:tc>
        <w:tc>
          <w:tcPr>
            <w:tcW w:w="180" w:type="dxa"/>
            <w:vAlign w:val="bottom"/>
          </w:tcPr>
          <w:p>
            <w:pPr>
              <w:spacing w:after="0"/>
              <w:rPr>
                <w:sz w:val="10"/>
                <w:szCs w:val="10"/>
                <w:color w:val="auto"/>
              </w:rPr>
            </w:pPr>
          </w:p>
        </w:tc>
        <w:tc>
          <w:tcPr>
            <w:tcW w:w="12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Due to change in</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8480" w:type="dxa"/>
            <w:vAlign w:val="bottom"/>
          </w:tcPr>
          <w:p>
            <w:pPr>
              <w:spacing w:after="0"/>
              <w:rPr>
                <w:sz w:val="14"/>
                <w:szCs w:val="14"/>
                <w:color w:val="auto"/>
              </w:rPr>
            </w:pPr>
          </w:p>
        </w:tc>
        <w:tc>
          <w:tcPr>
            <w:tcW w:w="740" w:type="dxa"/>
            <w:vAlign w:val="bottom"/>
            <w:gridSpan w:val="4"/>
          </w:tcPr>
          <w:p>
            <w:pPr>
              <w:jc w:val="center"/>
              <w:ind w:right="220"/>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Volume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w w:val="94"/>
              </w:rPr>
              <w:t>Rate</w:t>
            </w:r>
          </w:p>
        </w:tc>
      </w:tr>
      <w:tr>
        <w:trPr>
          <w:trHeight w:val="196"/>
        </w:trPr>
        <w:tc>
          <w:tcPr>
            <w:tcW w:w="8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Earning Assets:</w:t>
            </w: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Loans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$4,410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4,537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Taxable investment securities</w:t>
            </w: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Tax-exempt investment securities</w:t>
            </w:r>
          </w:p>
        </w:tc>
        <w:tc>
          <w:tcPr>
            <w:tcW w:w="120" w:type="dxa"/>
            <w:vAlign w:val="bottom"/>
          </w:tcPr>
          <w:p>
            <w:pPr>
              <w:spacing w:after="0"/>
              <w:rPr>
                <w:sz w:val="18"/>
                <w:szCs w:val="18"/>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sold &amp; interest bearing deposits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b w:val="1"/>
                <w:bCs w:val="1"/>
                <w:color w:val="auto"/>
              </w:rPr>
              <w:t>Total Interest Earning Assets</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4,077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Bearing Liabilities: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Savings deposits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time deposits</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Other borrowed money</w:t>
            </w:r>
          </w:p>
        </w:tc>
        <w:tc>
          <w:tcPr>
            <w:tcW w:w="1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23"/>
        </w:trPr>
        <w:tc>
          <w:tcPr>
            <w:tcW w:w="8480" w:type="dxa"/>
            <w:vAlign w:val="bottom"/>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comparing line items of the consolidated statements of income for years ended 2015 through 2017, it can be seen where the Company has been spending its time and the impact of the recession and slow recovery. This section will focus on the significant noninterest items that impacted the operations of the Company.</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Non-interest income decreased in total for 2017 as compared to 2016, ending at $10.7 million. 2016 had non-interest income of $11.4 million which had exceeded 2015’s $10.8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concerns with the increased costs associated with regulatory compliance such as the possible loss of revenue from new regulations stemming from the Dodd-Frank Act. History has proven the concern is justified. One area of revenue impacted was overdraft fees. The Bank has ended each of the last 4 years with a lower revenue stream from overdraft fees. This has occurred in spite of the addition of the new offices. Each year, the number of checking accounts has increased along with the balances; however average collected overdraft fees per account decreased. Overdraft fees in 2017 accounted for $2.3 million, 2016 and 2015 accounted for $2.4 million in noninterest income. The Bank had made this an area of focus for 2015 as this revenue stream remains under intense regulator review. In 2015, the Bank adjusted its overdraft program and renamed it “Courtesy Pay.” Courtesy Pay establishes dynamic limits based on a customer’s behavior and likelihood of repayment. The Bank has sought to better service the customer’s needs while decreasing the need for collections and improving profitability. At the current time, profitability has not improved and in 2016 it only slowed the amount of decrease. Service charges on checking accounts increased for 2017.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 Increases in the number of accounts and the number of services being utilized by our customers accounted for the increase in fees. These fees were up $292.7 thousand in 2017 as compared to 2016. Service charges on checking accounts had leveled off in 2016 only $67.7 thousand higher than 2015. This improvement is credited to the new checking accounts mentioned previously.</w:t>
      </w:r>
    </w:p>
    <w:p>
      <w:pPr>
        <w:spacing w:after="0" w:line="183"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The Bank has long promoted the use of debit cards by its customers and continued that philosophy with the introduction of additional new products. 2017 revenue improved $172.5 thousand, 2016 revenue improved $122.4 thousand, and 2015 revenue improved $142.9 thousand from ATM/debit card usage as compared to each of the respective prior years. The Bank receives interchange revenue from each use by a customer of a Bank issued ATM/debit the card. While this revenue stream continues to improve with more depositors using electronic methods for purchasing, the expense attributable to card fraud has offset a portion of the revenue gain. Further discussion can be found in the non-interest expense section regarding the net effect of debit card activity.</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Noninterest income from net gain on sales of loans was the highest in 2016 of the three year periods shown. The change may be related to the increase in rates after the long duration of the flat interest rate environment. The net gain on sale of loans is derived from sales of real estate loans into the secondary market. Of these loan types, the Bank sells 100% of the residential loans and 90% of the agricultural loans into the secondary market. Gains of $648.9 and $162.2 thousand were recorded for residential and agricultural real estate respectively for 2017. Gains of $683.7 and $204.0 thousand were recorded for residential and agricultural real estate respectively for 2016. Gains of $559.6 and $140.8 thousand were recorded for residential and agricultural real estate respectively for 2015. In conjunction with these sales, the Bank maintains servicing rights and those income amounts during all three years are included in the customer service fees line item and accounted for $460 thousand in 2017, $555.3 thousand in 2016 and $406.5 thousand in revenue for 2015.</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last line item in the noninterest income section is the net gain on sale of investments. The Bank has taken advantage of this opportunity the last three years and expects to continue as long as the yield curve is favorable to the transaction. The Bank will not increase short-term gains at the sacrifice of long-term profitability. The opportunity greatly lessened in 2017 with the increase in rates. The available for sale security portfolio switched from an unrealized gain position into an unrealized loss position. The decrease in the balance of the security portfolio was due to calls and maturities and not sales made during 2017. Sales were made early in the first quarter before the additional rate hike in March and in May before the rate hike in June occurred and with much lower gains than in the prior years. All of the sales of securities in 2017, 2016 and 2015 of $13.6, $85.7, and $47.0 million respectively were used to fund loan growth. This is a source of funds that will continue to be analyzed for use in the coming year. Gains of $47 thousand were recorded for 2017, $588 thousand for 2016, and $451 thousand for 2015. This line item was largely responsible for the lower non-interest income of 2017 as compared to 2016 and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Noninterest expense increased 4.7% in 2017 as compared to 2016 and was preceded by a 5.2% increase in 2016 as compared to 2015. Represented in dollars, 2017 was $1.3 million higher than 2016 and 2016 was $1.4 million higher than 2015. The largest factor behind the increase in both years was the expense of employee salaries and wages. During 2017, an additional $993 thousand was spent over 2016 which correlates to an 8.6% increase. When making the same analysis for 2016 as compared to 2015, 2016’s costs increased $713 thousand or 6.5%. Three main components flow</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into salaries and wages: base salary, deferred costs, and incentives composed of the expense of restricted stock awards and performance incentives. Base pay has increased with the addition of the three offices of Huntertown, Bowling Green and Sylvania, as well as from the operations of the Captive and through normal yearly increases to the remainder of the employees. Base pay was up $731.2 thousand for 2017 over the previous year and 2016 was up $669.7 thousand over 2015. The full time equivalent number of employees at each yearend increased to 275 for 2017, to 273 for 2016 compared to 2015’s 265.</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Incentive pay as it related to performance was up $234.2 thousand in 2017 over 2016 and up $177.4 thousand in 2016 over 2015. Measurements used for award incentive pay had improved in 2017 and 2016 and employees benefited accordingly. The expense for the restricted stock awards has also increased each of the last three years as more shares have been granted to a larger number of employees and the market value of the shares has increased. The market value of the Company’s stock increased significantly with the listing on NASDAQ and being included in the Russell 3000 Index during the second quarter of 2017. An equivalent number of restricted shares were awarded as compared to 2016 though the value of these rewards was higher; therefore the expense for 2017 was higher by $105.3 thousand as compared to 2016 and will likely be higher in 2018 due to the value of the 2017 awards. 2016’s cost for this program was $87.9 thousand higher than 2015.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Along with the salary and wage increase was an increase in employee benefits in 2017 as compared to 2016. Employee group insurance accounted for the largest portion of the cost, which was an increase of $181.9 thousand over 2016. This was due to an increase in the cost to provide to a larger number of employees along with a higher level of medical claims. The cost of the 401-K retirement plan also increased $72.7 thousand for 2017 as compared to 2016. Overall, employee benefits increased $312 thousand or 9.4% from 2016.</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Employee benefits decreased in 2016 which correlated directly to a lower level of medical expense. As the Bank is partially self-insured, lower claims during 2016 decreased the expense. The cost of the 401-K retirement plan increased each year as the profit share component increased along with the number of employees participating. Employee group insurance was down $266.9 thousand for 2016. Overall, employee benefits were down $232 thousand or 6.5% from 2015.</w:t>
      </w:r>
    </w:p>
    <w:p>
      <w:pPr>
        <w:spacing w:after="0" w:line="18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Net occupancy expense typically increases as the Company expands, which is what has occurred for 2017 and 2016. One factor that can offset occupancy expense is the receipt by the Company of building rent as it is netted out of occupancy expense. The greatest contributor to building rent comes from the division of FM Investments within the Bank. This division experienced a stronger 2017; however the department was short staffed most of 2015 and 2016. The improved performance of $85.9 thousand in 2017 assisted in keeping the overall increase to net occupancy to $30 thousand.</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1-4 family mortgage refinancing activity has been slow over the last three years though increasing slightly each year. A correlating expense to that activity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The line items for 2017 indicate a higher number of new loans versus refinances as compared to 2016. The net income for 2017 was $107 thousand; 2016 had net income of $136 thousand and was preceded by net income of $33 thousand for 2015. Of course, the value (or income) of the mortgage servicing right when sold also impacts the net position. As of December 31, 2017, 3,636 loans are being serviced with corresponding balances of $288.6 million. 2016 had 3,599 loans serviced with corresponding balances of $280.4 million. This was almost identical to the December 31, 2015 number and balance of loans 1-4 family being serviced. As of December 2015, 3,598 loans were being serviced with balances of $275.7 million.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mortgage servicing rights to both noninterest income and expense is shown in the following table:</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9"/>
              </w:rPr>
              <w:t>(In Thousands)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500" w:type="dxa"/>
            <w:vAlign w:val="bottom"/>
          </w:tcPr>
          <w:p>
            <w:pPr>
              <w:jc w:val="right"/>
              <w:ind w:right="33"/>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76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2016</w:t>
            </w:r>
          </w:p>
        </w:tc>
        <w:tc>
          <w:tcPr>
            <w:tcW w:w="300" w:type="dxa"/>
            <w:vAlign w:val="bottom"/>
          </w:tcPr>
          <w:p>
            <w:pPr>
              <w:spacing w:after="0"/>
              <w:rPr>
                <w:sz w:val="12"/>
                <w:szCs w:val="12"/>
                <w:color w:val="auto"/>
              </w:rPr>
            </w:pPr>
          </w:p>
        </w:tc>
        <w:tc>
          <w:tcPr>
            <w:tcW w:w="600" w:type="dxa"/>
            <w:vAlign w:val="bottom"/>
            <w:gridSpan w:val="2"/>
          </w:tcPr>
          <w:p>
            <w:pPr>
              <w:jc w:val="right"/>
              <w:ind w:right="3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Year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Capitalized Additions</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555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(419)</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2,192</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2,056</w:t>
            </w:r>
          </w:p>
        </w:tc>
      </w:tr>
      <w:tr>
        <w:trPr>
          <w:trHeight w:val="20"/>
        </w:trPr>
        <w:tc>
          <w:tcPr>
            <w:tcW w:w="7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Furniture and equipment steadily increases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Data processing costs were actually lower in 2017 as compared to 2016 by $196 thousand. Two reasons for the improvement was the negotiation of an extended contract with our core processor and 2016 had the additional cost of upgrading Bank customer debit cards to incorporate EMV chip card technology. Both already better align with our future strategies while controlling costs. Data processing expense increased $109 thousand during 2016 as compared to an increased $50 thousand during 2015.</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Bank began conducting a review of its core operating system in 2015 which culminated with a decision in the summer 2016 to extend the contract with the Bank’s existing provider, Fiserv, for an additional seven year period. The Bank saw a current reduction in monthly expenses, though that reduction will be utilized to provide additional new product offerings and fund growth. The pricing on many services, however, is based on number of accounts and the Bank fully expects those to increase with the growth from the newer offices and overall Bank growth. Overall, data processing expense for 2018 may be similar or slightly higher to 2017 with a wider variety of customer offerings.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FDIC assessment has a decreasing cost trend and that is expected to continue into 2018 as the fourth quarter 2017 assessment was again below that of the previous quarter. This line item speaks to the health of the Bank and the financial industry. The assessment for 2017 was down $77 thousand from 2016 and the assessment for 2016 was down $78 thousand from 2015.</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last line item with significant variation in noninterest expense to discuss is “other general and administrative.” Though 2017 did not increase by as large an amount as 2016 had when compared to 2015, it was still an increase of $200 thousand. The two main reasons behind the increase were the costs associated with listing on the NASDAQ stock market and the cost of offering the Insured Cash Sweep product. Both of these costs have been previously explained along with the benefits that have been provided by incurring said costs. The increase in 2016 over 2015 was much higher at $439 thousand. $249 thousand of the increased expense was a result of management’s decision to accelerate the issuance of “chip” debit cards along with the normal replacement of cards due to fraud and expiration dates. The chip enhanced cards were to help decrease fraud and establish liability with the merchant if the chip was not used in the transaction. The Bank’s cost due to fraud was not lower in 2016; however it helped to mitigate fraud losses in 2017. Advertising and public relations increased also in 2016 by $113 thousand. With the addition of new offices, the credit card launch in conjunction with Bowling Green State University’s athletic department, it was expected to be higher than 2015. The Bank also celebrates the anniversary of office openings with a special event in each community.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Provision expense decreased by $899 thousand for 2017 as compared to 2016. Provision expense increased by $496 thousand for 2016 in response to the significant loan growth for the period. The decrease for 2017 was due to the consistent strong asset quality of the Bank’s loan portfolio as evidenced by low levels of both net charge-offs and delinquencies. Sustained strong asset quality kept the provision expense lower than the growth alone would have warranted. Net charge-offs were $138, $394, and $473 thousand for 2017, 2016 and 2015, respectively. The consumer portfolios had the highest levels of charge-off activity in 2017 and 2016 at $263 and $310 thousand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respectively. Net charge offs in the consumer portfolio was $161 and $223 thousand for 2017 and 2016 respectively.</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segregates its Allowance for Credit Losses (ACL) into two reserves: The ACL and the Allowance for Unfunded Loan Commitments and Letters of Credit (AULC). When combined, these reserves constitute the total ACL. The AUCL is included in other liabilities on the consolidated balance sheets.</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 off amount are referenced as well. A matrix formed by loan type from these indicators is used in making ALLL adjustments.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Watch list loan balances are comprised of loans graded 5-8. At yearend December 31, 2017 these loans totaled $20.8 million and were $75.9 thousand lower than December 31, 2016. The balances were very similar; however, approximately $1.3 million moved from Agricultural to Commercial Real Estate between yearend 2017 and 2016. Grade 5 decreased $1.8 million in 2017 as compared to 2016 and Grade 6 increased in the same comparison. The majority of the downgrade is represented by one commercial customer. Those associated loans are adequately secured by collateral. These loan balances increased $14.3 million as of December 31, 2016 as compared to same date 2015. The largest increases occurring in the lowest risk grade of 5. The loan grades of 7, which have a greater likelihood of default, all decreased for 2016. All other measurements of asset quality improved during 2016.</w:t>
      </w:r>
    </w:p>
    <w:p>
      <w:pPr>
        <w:spacing w:after="0" w:line="16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At December 31, 2017, 49.8% of the watch list was classified as special mention, with an additional 49.3% classified as substandard. A very small 0.6% or $111.3 thousand of the $20.8 million watch list was classified as doubtful. At yearend 2016, 59.7% of the watch list was comprised of loans classified as special mention, with an additional 39.0% classified as substandard and the remaining 1.3% classified as doubtful. The large increases in special mention and substandard were mainly driven by two loan relationships in the Bank’s commercial real estate portfolio.</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Of the aggregate watch list loan balances, as of December 31, 2015, special mention accounted for 36.6% with substandard comprising 49.1% and doubtful accounting for the final 14.3%.</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response to these fluctuations and loan growth during 2015 through 2017, the Bank’s ALLL to outstanding loan coverage percentage changed to 0.83% as of December 31, 2017, 0.89% as of December 31, 2016, and 0.88% as of December 31, 2015.</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above indicators impacting ALLL are reviewed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At the end of each of 2015, 2016 and 2017, improvements were noted in unemployment figures.</w:t>
      </w:r>
    </w:p>
    <w:p>
      <w:pPr>
        <w:spacing w:after="0" w:line="19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aggregate commercial and agricultural credits including real estate loans of $250,000 and over are reviewed annually by both credit committees and internal loan review to look for early signs of deterioration.</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ACL increased $94, $736, and $153 thousand during 2017, 2016 and 2015 respectively. The large increase in 2016 directly correlates to the large increase in loan balances. With the improved asset quality, the metrics upon which the ACL is calculated did not support a larger increase in 2017 even though loan growth occurred. The percentage of ACL to the total loan portfolio was 0.91% as of December 31, 2015 and 0.92% as of December 31, 2016, and 0.86%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of December 31, 2017. December 31, 2017 had the lowest loans past due 30+ day percentage at 0.13% in the last ten years. December 31, 2015 and 2016 were still at respectable lows of 0.32% and 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4 in the consolidated financial statement for additional tables regarding the composition of the ACL.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2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Effective tax rates were 28.95%, 28.53%, and 26.97%, for 2017, 2016 and 2015 respectively. The effect of tax-exempt interest from holding tax-exempt securities and Industrial Development Bonds (IDBs) was $413, $468, and $554 thousand for 2017, 2016, and 2015, respectively. All years included an increase into a higher tax bracket for income over $10 million. Behind the decrease in 2015 is one of the benefits from the establishment of the Captive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12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shifts in the balance sheet during 2017 and 2016 have positioned the Company for continued improvement in profitability. On the asset side, interest income increased primarily from loan growth with funding for the increase provided by a decrease in the investment portfolio, growth in core deposits and growth in other borrowings generated in 2015 which carried over to 2016 and most of 2017. $5 million of other borrowings were paid off in December of 2017. The cost of funds was impacted by the increase of both interest bearing liabilities and noninterest bearing deposits. Both contributed to improved profitability in 2017 and 2016, and the Company expects continued improvement through 2018.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Average earning assets increased in balances throughout 2017 and 2016. Newer offices have contributed the most towards new loan production. Loan growth in both years was the main factor. 2016 had two offices open, one in each half of the year and operating fully throughout 2017. An additional office will open in early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2016, the Bank began to utilize Promontory’s ICS, product to replace pledged securities; thereby increasing liquidity. ICS utilizes a nation-wide bank network to provide FDIC insurance coverage to the Bank’s depositors. The Bank is using the product to replace pledged securities to the Bank’s Ohio public customers and for commercial sweep customers previously utilizing daily repurchase agreements to protect balances over $250 thousand. The majority of the commercial accounts converted in 2017 and is evidenced by the movement of funds out of repurchase agreements into interest bearing deposits.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All of the Bank’s security portfolio is categorized as available for sale and as such is recorded at market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Security balances as of December 31 are summarized below:</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Borders>
              <w:bottom w:val="single" w:sz="8" w:color="CCEEFF"/>
            </w:tcBorders>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2017</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2016</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38,505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80,466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82,474</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98,220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48,461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55,444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62,817</w:t>
            </w: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72,066</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196,398</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218,527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235,115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60" w:type="dxa"/>
            <w:vAlign w:val="bottom"/>
            <w:vMerge w:val="restart"/>
          </w:tcPr>
          <w:p>
            <w:pPr>
              <w:jc w:val="right"/>
              <w:ind w:right="1670"/>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sets forth the maturities of investment securities as of December 31, 2017 and the weighted average yields of such securities calculated on the basis of cost and effective yields weighted for the scheduled maturity of each security. Tax-equivalent adjustments, using a thirty-four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5"/>
          </w:tcPr>
          <w:p>
            <w:pPr>
              <w:jc w:val="right"/>
              <w:ind w:right="1020"/>
              <w:spacing w:after="0"/>
              <w:rPr>
                <w:sz w:val="20"/>
                <w:szCs w:val="20"/>
                <w:color w:val="auto"/>
              </w:rPr>
            </w:pPr>
            <w:r>
              <w:rPr>
                <w:rFonts w:ascii="Arial" w:cs="Arial" w:eastAsia="Arial" w:hAnsi="Arial"/>
                <w:sz w:val="14"/>
                <w:szCs w:val="14"/>
                <w:color w:val="auto"/>
              </w:rPr>
              <w:t>Maturities</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rPr>
              <w:t>(Amounts in Thousands)</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6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4"/>
              </w:rPr>
              <w:t>After One Year</w:t>
            </w:r>
          </w:p>
        </w:tc>
        <w:tc>
          <w:tcPr>
            <w:tcW w:w="200" w:type="dxa"/>
            <w:vAlign w:val="bottom"/>
          </w:tcPr>
          <w:p>
            <w:pPr>
              <w:spacing w:after="0"/>
              <w:rPr>
                <w:sz w:val="10"/>
                <w:szCs w:val="10"/>
                <w:color w:val="auto"/>
              </w:rPr>
            </w:pPr>
          </w:p>
        </w:tc>
      </w:tr>
      <w:tr>
        <w:trPr>
          <w:trHeight w:val="167"/>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color w:val="auto"/>
              </w:rPr>
              <w:t>Within One Year</w:t>
            </w:r>
          </w:p>
        </w:tc>
        <w:tc>
          <w:tcPr>
            <w:tcW w:w="22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color w:val="auto"/>
                <w:w w:val="94"/>
              </w:rPr>
              <w:t>Within Five Years</w:t>
            </w:r>
          </w:p>
        </w:tc>
      </w:tr>
      <w:tr>
        <w:trPr>
          <w:trHeight w:val="142"/>
        </w:trPr>
        <w:tc>
          <w:tcPr>
            <w:tcW w:w="69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Amount</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Amount</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$20,978</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10,449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1.27%</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42,818</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2,711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2.64%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11,169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1.65%</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16,813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2.16%</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Taxable state and local governments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3,076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2.19%</w:t>
            </w:r>
          </w:p>
        </w:tc>
      </w:tr>
      <w:tr>
        <w:trPr>
          <w:trHeight w:val="346"/>
        </w:trPr>
        <w:tc>
          <w:tcPr>
            <w:tcW w:w="6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color w:val="auto"/>
              </w:rPr>
              <w:t>After Five Years</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67"/>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color w:val="auto"/>
              </w:rPr>
              <w:t>Within Ten Years</w:t>
            </w:r>
          </w:p>
        </w:tc>
        <w:tc>
          <w:tcPr>
            <w:tcW w:w="220" w:type="dxa"/>
            <w:vAlign w:val="bottom"/>
          </w:tcPr>
          <w:p>
            <w:pPr>
              <w:spacing w:after="0"/>
              <w:rPr>
                <w:sz w:val="14"/>
                <w:szCs w:val="14"/>
                <w:color w:val="auto"/>
              </w:rPr>
            </w:pPr>
          </w:p>
        </w:tc>
        <w:tc>
          <w:tcPr>
            <w:tcW w:w="1600" w:type="dxa"/>
            <w:vAlign w:val="bottom"/>
            <w:gridSpan w:val="4"/>
          </w:tcPr>
          <w:p>
            <w:pPr>
              <w:jc w:val="center"/>
              <w:ind w:right="200"/>
              <w:spacing w:after="0"/>
              <w:rPr>
                <w:sz w:val="20"/>
                <w:szCs w:val="20"/>
                <w:color w:val="auto"/>
              </w:rPr>
            </w:pPr>
            <w:r>
              <w:rPr>
                <w:rFonts w:ascii="Arial" w:cs="Arial" w:eastAsia="Arial" w:hAnsi="Arial"/>
                <w:sz w:val="14"/>
                <w:szCs w:val="14"/>
                <w:color w:val="auto"/>
                <w:w w:val="93"/>
              </w:rPr>
              <w:t>After Ten Years</w:t>
            </w:r>
          </w:p>
        </w:tc>
      </w:tr>
      <w:tr>
        <w:trPr>
          <w:trHeight w:val="142"/>
        </w:trPr>
        <w:tc>
          <w:tcPr>
            <w:tcW w:w="69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Amount</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Amount</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Yield</w:t>
            </w:r>
          </w:p>
        </w:tc>
        <w:tc>
          <w:tcPr>
            <w:tcW w:w="200" w:type="dxa"/>
            <w:vAlign w:val="bottom"/>
            <w:tcBorders>
              <w:bottom w:val="single" w:sz="8" w:color="CCEEFF"/>
            </w:tcBorders>
          </w:tcPr>
          <w:p>
            <w:pPr>
              <w:spacing w:after="0"/>
              <w:rPr>
                <w:sz w:val="12"/>
                <w:szCs w:val="12"/>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27,199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34,681</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15,983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1.63%</w:t>
            </w: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2,775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2.03%</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Taxable state and local governments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0.00%</w:t>
            </w: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2017 the Bank did not hold a large block of any one investment security in excess of 10% of stockholders’ equity. The largest segment of holdings is in US Governments. The Bank also holds stock in the Federal Home Loan Bank of Cincinnati at a cost of $3.7 million. This is required in order to obtain Federal Home Loan Bank loans. The Bank also owns stock of Farmer Mac with a carrying value of $37.4 thousand which is required to participate loans in the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70"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Bank’s loan portfolio by category of loan as of December 31</w:t>
      </w:r>
      <w:r>
        <w:rPr>
          <w:rFonts w:ascii="Arial" w:cs="Arial" w:eastAsia="Arial" w:hAnsi="Arial"/>
          <w:sz w:val="15"/>
          <w:szCs w:val="15"/>
          <w:color w:val="auto"/>
        </w:rPr>
        <w:t>st</w:t>
      </w:r>
      <w:r>
        <w:rPr>
          <w:rFonts w:ascii="Arial" w:cs="Arial" w:eastAsia="Arial" w:hAnsi="Arial"/>
          <w:sz w:val="18"/>
          <w:szCs w:val="18"/>
          <w:color w:val="auto"/>
        </w:rPr>
        <w:t xml:space="preserve"> of each year, excluding loans held for sale: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gridSpan w:val="3"/>
            <w:vMerge w:val="restart"/>
          </w:tcPr>
          <w:p>
            <w:pPr>
              <w:spacing w:after="0"/>
              <w:rPr>
                <w:sz w:val="20"/>
                <w:szCs w:val="20"/>
                <w:color w:val="auto"/>
              </w:rPr>
            </w:pPr>
            <w:r>
              <w:rPr>
                <w:rFonts w:ascii="Arial" w:cs="Arial" w:eastAsia="Arial" w:hAnsi="Arial"/>
                <w:sz w:val="14"/>
                <w:szCs w:val="14"/>
                <w:color w:val="auto"/>
              </w:rPr>
              <w:t>Loans:</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60" w:type="dxa"/>
            <w:vAlign w:val="bottom"/>
            <w:tcBorders>
              <w:bottom w:val="single" w:sz="8" w:color="CCEEFF"/>
            </w:tcBorders>
            <w:gridSpan w:val="3"/>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2016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w w:val="96"/>
              </w:rPr>
              <w:t>2015</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3"/>
          </w:tcPr>
          <w:p>
            <w:pPr>
              <w:jc w:val="right"/>
              <w:ind w:right="212"/>
              <w:spacing w:after="0" w:line="142" w:lineRule="exact"/>
              <w:rPr>
                <w:sz w:val="20"/>
                <w:szCs w:val="20"/>
                <w:color w:val="auto"/>
              </w:rPr>
            </w:pPr>
            <w:r>
              <w:rPr>
                <w:rFonts w:ascii="Arial" w:cs="Arial" w:eastAsia="Arial" w:hAnsi="Arial"/>
                <w:sz w:val="14"/>
                <w:szCs w:val="14"/>
                <w:color w:val="auto"/>
              </w:rPr>
              <w:t>2014</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 w:type="dxa"/>
            <w:vAlign w:val="bottom"/>
            <w:tcBorders>
              <w:top w:val="single" w:sz="8" w:color="auto"/>
            </w:tcBorders>
            <w:shd w:val="clear" w:color="auto" w:fill="CCEEFF"/>
          </w:tcPr>
          <w:p>
            <w:pPr>
              <w:spacing w:after="0"/>
              <w:rPr>
                <w:sz w:val="16"/>
                <w:szCs w:val="16"/>
                <w:color w:val="auto"/>
              </w:rPr>
            </w:pPr>
          </w:p>
        </w:tc>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Consumer Real Estate</w:t>
            </w: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83,620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86,234</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88,189</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34"/>
              <w:spacing w:after="0" w:line="189" w:lineRule="exact"/>
              <w:rPr>
                <w:sz w:val="20"/>
                <w:szCs w:val="20"/>
                <w:color w:val="auto"/>
              </w:rPr>
            </w:pPr>
            <w:r>
              <w:rPr>
                <w:rFonts w:ascii="Arial" w:cs="Arial" w:eastAsia="Arial" w:hAnsi="Arial"/>
                <w:sz w:val="18"/>
                <w:szCs w:val="18"/>
                <w:color w:val="auto"/>
                <w:w w:val="79"/>
              </w:rPr>
              <w:t>$</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97,426</w:t>
            </w: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91,882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Agricultural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62,375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57,277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50,560</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44,301</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74,611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65,449</w:t>
            </w:r>
          </w:p>
        </w:tc>
        <w:tc>
          <w:tcPr>
            <w:tcW w:w="0" w:type="dxa"/>
            <w:vAlign w:val="bottom"/>
          </w:tcPr>
          <w:p>
            <w:pPr>
              <w:spacing w:after="0"/>
              <w:rPr>
                <w:sz w:val="1"/>
                <w:szCs w:val="1"/>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410,520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377,481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322,762</w:t>
            </w:r>
          </w:p>
        </w:tc>
        <w:tc>
          <w:tcPr>
            <w:tcW w:w="120" w:type="dxa"/>
            <w:vAlign w:val="bottom"/>
          </w:tcPr>
          <w:p>
            <w:pPr>
              <w:spacing w:after="0"/>
              <w:rPr>
                <w:sz w:val="18"/>
                <w:szCs w:val="18"/>
                <w:color w:val="auto"/>
              </w:rPr>
            </w:pPr>
          </w:p>
        </w:tc>
        <w:tc>
          <w:tcPr>
            <w:tcW w:w="1140" w:type="dxa"/>
            <w:vAlign w:val="bottom"/>
            <w:gridSpan w:val="4"/>
          </w:tcPr>
          <w:p>
            <w:pPr>
              <w:jc w:val="right"/>
              <w:ind w:right="260"/>
              <w:spacing w:after="0"/>
              <w:rPr>
                <w:sz w:val="20"/>
                <w:szCs w:val="20"/>
                <w:color w:val="auto"/>
              </w:rPr>
            </w:pPr>
            <w:r>
              <w:rPr>
                <w:rFonts w:ascii="Arial" w:cs="Arial" w:eastAsia="Arial" w:hAnsi="Arial"/>
                <w:sz w:val="18"/>
                <w:szCs w:val="18"/>
                <w:color w:val="auto"/>
              </w:rPr>
              <w:t>270,188</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248,893</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109,256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100,125</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100,126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99,498</w:t>
            </w:r>
          </w:p>
        </w:tc>
        <w:tc>
          <w:tcPr>
            <w:tcW w:w="0" w:type="dxa"/>
            <w:vAlign w:val="bottom"/>
          </w:tcPr>
          <w:p>
            <w:pPr>
              <w:spacing w:after="0"/>
              <w:rPr>
                <w:sz w:val="1"/>
                <w:szCs w:val="1"/>
                <w:color w:val="auto"/>
              </w:rPr>
            </w:pPr>
          </w:p>
        </w:tc>
      </w:tr>
      <w:tr>
        <w:trPr>
          <w:trHeight w:val="216"/>
        </w:trPr>
        <w:tc>
          <w:tcPr>
            <w:tcW w:w="5660" w:type="dxa"/>
            <w:vAlign w:val="bottom"/>
            <w:gridSpan w:val="3"/>
          </w:tcPr>
          <w:p>
            <w:pPr>
              <w:ind w:left="360"/>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37,757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33,179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27,770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24,277</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21,406</w:t>
            </w:r>
          </w:p>
        </w:tc>
        <w:tc>
          <w:tcPr>
            <w:tcW w:w="0" w:type="dxa"/>
            <w:vAlign w:val="bottom"/>
          </w:tcPr>
          <w:p>
            <w:pPr>
              <w:spacing w:after="0"/>
              <w:rPr>
                <w:sz w:val="1"/>
                <w:szCs w:val="1"/>
                <w:color w:val="auto"/>
              </w:rPr>
            </w:pPr>
          </w:p>
        </w:tc>
      </w:tr>
      <w:tr>
        <w:trPr>
          <w:trHeight w:val="216"/>
        </w:trPr>
        <w:tc>
          <w:tcPr>
            <w:tcW w:w="56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Industrial Development Bonds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823,771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758,820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685,268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  621,886</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575,787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Arial" w:cs="Arial" w:eastAsia="Arial" w:hAnsi="Arial"/>
                <w:sz w:val="18"/>
                <w:szCs w:val="18"/>
                <w:color w:val="auto"/>
                <w:w w:val="96"/>
              </w:rPr>
              <w:t>The following table shows the maturity of loans as of December 31, 2017:</w:t>
            </w: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1"/>
              </w:rPr>
              <w:t>(In Thousands)</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220"/>
              <w:spacing w:after="0" w:line="123" w:lineRule="exact"/>
              <w:rPr>
                <w:sz w:val="20"/>
                <w:szCs w:val="20"/>
                <w:color w:val="auto"/>
              </w:rPr>
            </w:pPr>
            <w:r>
              <w:rPr>
                <w:rFonts w:ascii="Arial" w:cs="Arial" w:eastAsia="Arial" w:hAnsi="Arial"/>
                <w:sz w:val="14"/>
                <w:szCs w:val="14"/>
                <w:color w:val="auto"/>
                <w:w w:val="96"/>
              </w:rPr>
              <w:t>After One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Within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6"/>
              </w:rPr>
              <w:t>Year Within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After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w w:val="93"/>
              </w:rPr>
              <w:t>One Year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Five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w w:val="89"/>
              </w:rPr>
              <w:t>Five Years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13,979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68,456</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756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57,407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60,164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25,499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29,728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125,694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255,098</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18,352</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Consumer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5,634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23,946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8,177</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169,788</w:t>
            </w:r>
          </w:p>
        </w:tc>
        <w:tc>
          <w:tcPr>
            <w:tcW w:w="20" w:type="dxa"/>
            <w:vAlign w:val="bottom"/>
            <w:tcBorders>
              <w:bottom w:val="single" w:sz="8" w:color="auto"/>
            </w:tcBorders>
          </w:tcPr>
          <w:p>
            <w:pPr>
              <w:spacing w:after="0"/>
              <w:rPr>
                <w:sz w:val="19"/>
                <w:szCs w:val="19"/>
                <w:color w:val="auto"/>
              </w:rPr>
            </w:pP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231,495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422,488</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total of loans due after one year which has either 1) predetermined interest rates (fixed) or 2) floating or adjustable interest rates (variable):</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6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rPr>
              <w:t>Fixed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360"/>
              <w:spacing w:after="0" w:line="123" w:lineRule="exact"/>
              <w:rPr>
                <w:sz w:val="20"/>
                <w:szCs w:val="20"/>
                <w:color w:val="auto"/>
              </w:rPr>
            </w:pPr>
            <w:r>
              <w:rPr>
                <w:rFonts w:ascii="Arial" w:cs="Arial" w:eastAsia="Arial" w:hAnsi="Arial"/>
                <w:sz w:val="14"/>
                <w:szCs w:val="14"/>
                <w:color w:val="auto"/>
              </w:rPr>
              <w:t>Variable</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color w:val="auto"/>
              </w:rPr>
              <w:t>Rate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Rate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50,971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12,346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63,317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34,947</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289,452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91,340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380,792</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54,754</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Consumer</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32,101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32,123</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5,615</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534,953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653,983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800" w:type="dxa"/>
            <w:vAlign w:val="bottom"/>
            <w:vMerge w:val="restart"/>
          </w:tcPr>
          <w:p>
            <w:pPr>
              <w:jc w:val="right"/>
              <w:ind w:right="1290"/>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nonaccrual, past due 90 days or more and still accruing loans, and accruing troubled debt restructurings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of the last five years: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5"/>
              </w:rPr>
              <w:t>(In Thousands)</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4"/>
              <w:spacing w:after="0" w:line="142" w:lineRule="exact"/>
              <w:rPr>
                <w:sz w:val="20"/>
                <w:szCs w:val="20"/>
                <w:color w:val="auto"/>
              </w:rPr>
            </w:pPr>
            <w:r>
              <w:rPr>
                <w:rFonts w:ascii="Arial" w:cs="Arial" w:eastAsia="Arial" w:hAnsi="Arial"/>
                <w:sz w:val="14"/>
                <w:szCs w:val="14"/>
                <w:color w:val="auto"/>
              </w:rPr>
              <w:t>2017</w:t>
            </w:r>
          </w:p>
        </w:tc>
        <w:tc>
          <w:tcPr>
            <w:tcW w:w="20" w:type="dxa"/>
            <w:vAlign w:val="bottom"/>
          </w:tcPr>
          <w:p>
            <w:pPr>
              <w:spacing w:after="0"/>
              <w:rPr>
                <w:sz w:val="12"/>
                <w:szCs w:val="12"/>
                <w:color w:val="auto"/>
              </w:rPr>
            </w:pPr>
          </w:p>
        </w:tc>
        <w:tc>
          <w:tcPr>
            <w:tcW w:w="76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2016</w:t>
            </w:r>
          </w:p>
        </w:tc>
        <w:tc>
          <w:tcPr>
            <w:tcW w:w="40" w:type="dxa"/>
            <w:vAlign w:val="bottom"/>
          </w:tcPr>
          <w:p>
            <w:pPr>
              <w:spacing w:after="0"/>
              <w:rPr>
                <w:sz w:val="12"/>
                <w:szCs w:val="12"/>
                <w:color w:val="auto"/>
              </w:rPr>
            </w:pPr>
          </w:p>
        </w:tc>
        <w:tc>
          <w:tcPr>
            <w:tcW w:w="72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2015</w:t>
            </w:r>
          </w:p>
        </w:tc>
        <w:tc>
          <w:tcPr>
            <w:tcW w:w="240" w:type="dxa"/>
            <w:vAlign w:val="bottom"/>
          </w:tcPr>
          <w:p>
            <w:pPr>
              <w:spacing w:after="0"/>
              <w:rPr>
                <w:sz w:val="12"/>
                <w:szCs w:val="12"/>
                <w:color w:val="auto"/>
              </w:rPr>
            </w:pPr>
          </w:p>
        </w:tc>
        <w:tc>
          <w:tcPr>
            <w:tcW w:w="54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2014</w:t>
            </w:r>
          </w:p>
        </w:tc>
        <w:tc>
          <w:tcPr>
            <w:tcW w:w="140" w:type="dxa"/>
            <w:vAlign w:val="bottom"/>
          </w:tcPr>
          <w:p>
            <w:pPr>
              <w:spacing w:after="0"/>
              <w:rPr>
                <w:sz w:val="12"/>
                <w:szCs w:val="12"/>
                <w:color w:val="auto"/>
              </w:rPr>
            </w:pPr>
          </w:p>
        </w:tc>
        <w:tc>
          <w:tcPr>
            <w:tcW w:w="62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2"/>
                <w:szCs w:val="12"/>
                <w:color w:val="auto"/>
              </w:rPr>
            </w:pPr>
          </w:p>
        </w:tc>
      </w:t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$1,003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$1,384</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$2,041</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Accruing loans past due 90 days or more</w:t>
            </w:r>
          </w:p>
        </w:tc>
        <w:tc>
          <w:tcPr>
            <w:tcW w:w="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Restructurings, not included above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878</w:t>
            </w: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1,537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2,919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2,176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3,814</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$205.4 thousand for 2017, $116.1 for 2016 and $117.1 thousand for 2015. Any collections of interest on nonaccrual loans are included in interest income when collected unless it is on an impaired loan with a specific allocation. A collection of interest on an impaired loan with a specific allocation is applied to the loan balance to decrease the allocation. Total interest collections, whether on an accrued or cash basis, amounted to $57 thousand for 2017, $64 thousand for 2016, $96 thousand for 2015 and $87 thousand for 2014.</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Loans are placed on nonaccrual status in the event that the loan is in past due status for more than 90 days or payment in full of principal and interest is not expected. The Bank had nonaccrual loan balances of $1.0 million at December 31, 2017 compared to balances of $1.4 and $2.0 million as of year-end 2016 and 2015. All of the balances of nonaccrual loans for the past three years were collaterally secured.</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As of December 31, 2017 the Bank had $20.8 million of loans which it considers to be “potential problem loans” in that the borrowers are experiencing financial difficulties. At December 31, 2016, the Bank had $20.6 million of these loans. The increase in 2016 relates to mainly two relationships. At December 31, 2015, the Bank had $7.0 million of these loans. These loans are subject to constant management attention and are reviewed at least monthly. The amount of the potential problem loans was considered in management’s review of the loan loss reserve at December 31, 2017 and 2016.</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2017, the Bank had loans outstanding to individuals and firms engaged in the various fields of agriculture in the amount of $95.1 million with an additional $64.1 million in agricultural real estate loans these compared to $84.6 and $62.4 million respectively as of December 31, 2016. The ratio of this segment of loans to the total loan portfolio is not considered unusual for a bank engaged in and servicing rural communities.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2017, the Bank had $0.7 million of its loans that were classified as troubled debt restructurings, of which $149.1 thousand are included in non-accrual loans. This compares to $0.7 million as of same date 2016 and the Bank had $1.1 million classified as such as of December 31, 2015.</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Updated appraisals are required on all collateral dependent loans once they are deemed impaired. The Bank may also require an updated appraisal of a watch list loan which the Bank monitors under their loan policy. On a quarterly basis, Bank management reviews properties supporting asset dependent loans to consider market events that may indicate a change in value has occurred.</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determine observable market value, collateral asset values securing an impaired loan are periodically evaluated. Maximum time of re-evaluation is every 12 months for chattels and titled vehicles and every two years for real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estate. In this process, third party evaluations are obtained and heavily relied upon. Until such time that updated appraisals are received, the Bank may discount the existing collateral value used.</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to value are addressed at that time.</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4 of the Consolidated Financial Statements may also be reviewed for additional tables dealing with the Bank’s loans and ALLL.</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ALLL is evaluated based on an assessment of the losses inherent in the loan portfolio. This assessment results in an allowance consisting of two components, allocated and unallocated.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presented in the table on the next page, charge-offs decreased to $288 thousand for 2017, the lowest level of the five years presented. 91.3% of the charge-offs stemmed from the consumer related portfolios. Charge-offs were $550 thousand for 2016, $1.0 million for 2015, preceded by $778 thousand for 2014 and $1.3 million for 2013. Recoveries were also the lowest in 2017 at $150 thousand compared to $156, $557, $298, and $374 thousand for 2016, 2015, 2014 and 2013, respectively. The net charge-offs for the last five years were all under $1 million. 2017 was the lowest at $138 thousand.</w:t>
      </w:r>
    </w:p>
    <w:p>
      <w:pPr>
        <w:spacing w:after="0" w:line="15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Higher provision expense was used to fund the ALLL for loan growth in 2014 and 2016. For 2013 and 2015, the provision was used to replenish the balance decreased by the net charge-off activity. Overall, the ALLL increased from $5.2 million at yearend 2013 to $6.9 million at yearend 2017. After adding the allowance for unfunded loan commitments, the ACL ended 2017 just under $7.1 million. As the ratios on the bottom of the following table show, the trends for each have continually improved over the five years shown. Asset quality and the ACL are both strong and emphasize the level of credit quality.</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reviewing the bigger picture of the allowance for credit loss, the years with the higher percentage of ACL to total nonperforming loans ratio account for the lower level of nonaccrual and watch list loans. This demonstrates the extended time period with which it has taken to achieve resolution and/or collection of these loans. 2014’s significant and continued loan growth since fourth quarter 2013 was the reason behind 2014’s higher balances as asset quality remained strong. The ratio of ACL to nonperforming loans increased significantly in 2014 which is why provision loan expense was lower in 2015 in comparison. The ACL to nonperforming loans for 2015 remained more than adequate and emphasizes the existing strong level of credit quality. 2017 did not warrant a large provision as the asset quality continued to strengthen. Loan growth occurred, though not at the double digit percentage increases of 2015 and 2016.</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the allowance for credit losses for the years ended December 31, 2017, 2016, 2015, 2014 and 2013: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w w:val="97"/>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11"/>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2015</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823,024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758,094</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684,630</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621,467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575,557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783,140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724,076</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627,194</w:t>
            </w:r>
          </w:p>
        </w:tc>
        <w:tc>
          <w:tcPr>
            <w:tcW w:w="3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581,483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507,126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Losses-Jan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Loans Charged off:</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Loan Recoveries: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Net Charge Offs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loan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Acquisition provision for loan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&amp; Lease Losses—Dec 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6,784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Allowance for Unfunded Loan Commitments &amp; Letters of Credit Dec 31</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Credit Losses—Dec 31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Ratio of net charge-offs to average Loans outstanding</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Ratio of the Allowance for Loan Loss to Nonperforming Loans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293.75%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620" w:right="2920" w:hanging="5612"/>
        <w:spacing w:after="0" w:line="449" w:lineRule="auto"/>
        <w:tabs>
          <w:tab w:leader="none" w:pos="4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due 90 days not on nonaccrual. 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Allocation of ALLL per Loan Category in terms of dollars and percentage of loans in each category to total loans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w w:val="89"/>
              </w:rPr>
              <w:t>2017</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w w:val="89"/>
              </w:rPr>
              <w:t>2016</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w w:val="89"/>
              </w:rPr>
              <w:t>2015</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w w:val="89"/>
              </w:rPr>
              <w:t>2014</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w w:val="89"/>
              </w:rPr>
              <w:t>2013</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64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464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color w:val="auto"/>
                <w:w w:val="98"/>
              </w:rPr>
              <w:t>(000’s)</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center"/>
              <w:ind w:right="160"/>
              <w:spacing w:after="0"/>
              <w:rPr>
                <w:sz w:val="20"/>
                <w:szCs w:val="20"/>
                <w:color w:val="auto"/>
              </w:rPr>
            </w:pPr>
            <w:r>
              <w:rPr>
                <w:rFonts w:ascii="Arial" w:cs="Arial" w:eastAsia="Arial" w:hAnsi="Arial"/>
                <w:sz w:val="14"/>
                <w:szCs w:val="14"/>
                <w:color w:val="auto"/>
                <w:w w:val="98"/>
              </w:rPr>
              <w:t>(000’s)</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(000’s)</w:t>
            </w:r>
          </w:p>
        </w:tc>
        <w:tc>
          <w:tcPr>
            <w:tcW w:w="56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(000’s)</w:t>
            </w: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(000’s)</w:t>
            </w:r>
          </w:p>
        </w:tc>
        <w:tc>
          <w:tcPr>
            <w:tcW w:w="54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End of Period Applicable To:</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10.11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338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540" w:type="dxa"/>
            <w:vAlign w:val="bottom"/>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Pr>
          <w:p>
            <w:pPr>
              <w:spacing w:after="0"/>
              <w:rPr>
                <w:sz w:val="18"/>
                <w:szCs w:val="18"/>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15.97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Agricultural</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11.57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12.09</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547</w:t>
            </w:r>
          </w:p>
        </w:tc>
        <w:tc>
          <w:tcPr>
            <w:tcW w:w="54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11.37</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3,149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3,250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2,516</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2,367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2,107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1,546</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1,318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1,229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15.58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1,421</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1,359</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18.04</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844</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526</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722</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7"/>
        </w:trPr>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Loan &amp; Lease Losses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6,868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6,784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6,057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5,905</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100.00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5,194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100.00</w:t>
            </w: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Off Balance Sheet Commitments</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Allowance for Credit Losses</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7,095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7,001</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6,265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6,112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5,357</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 of outstanding time certificates of deposits and other time deposits in amounts of $100,000 or more by maturity as of December 31, 2017 are as follows: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rPr>
              <w:t>(In Thousands)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jc w:val="center"/>
              <w:ind w:right="500"/>
              <w:spacing w:after="0" w:line="123" w:lineRule="exact"/>
              <w:rPr>
                <w:sz w:val="20"/>
                <w:szCs w:val="20"/>
                <w:color w:val="auto"/>
              </w:rPr>
            </w:pPr>
            <w:r>
              <w:rPr>
                <w:rFonts w:ascii="Arial" w:cs="Arial" w:eastAsia="Arial" w:hAnsi="Arial"/>
                <w:sz w:val="14"/>
                <w:szCs w:val="14"/>
                <w:color w:val="auto"/>
                <w:w w:val="93"/>
              </w:rPr>
              <w:t>Over Three</w:t>
            </w:r>
          </w:p>
        </w:tc>
        <w:tc>
          <w:tcPr>
            <w:tcW w:w="126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93"/>
              </w:rPr>
              <w:t>Over Six</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5"/>
              </w:rPr>
              <w:t>Months</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Months Less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Over</w:t>
            </w:r>
          </w:p>
        </w:tc>
      </w:tr>
      <w:tr>
        <w:trPr>
          <w:trHeight w:val="149"/>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Under</w:t>
            </w: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Less than</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93"/>
              </w:rPr>
              <w:t>Than One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One</w:t>
            </w:r>
          </w:p>
        </w:tc>
      </w:tr>
      <w:tr>
        <w:trPr>
          <w:trHeight w:val="167"/>
        </w:trPr>
        <w:tc>
          <w:tcPr>
            <w:tcW w:w="60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Three Months</w:t>
            </w: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Six Months</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Year</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87"/>
              </w:rPr>
              <w:t>Year</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$ 18,821</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  15,858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48,424</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amount of and average rate paid on each deposit category:</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1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88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14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40" w:type="dxa"/>
            <w:vAlign w:val="bottom"/>
            <w:gridSpan w:val="2"/>
          </w:tcPr>
          <w:p>
            <w:pPr>
              <w:jc w:val="center"/>
              <w:ind w:right="340"/>
              <w:spacing w:after="0" w:line="123" w:lineRule="exact"/>
              <w:rPr>
                <w:sz w:val="20"/>
                <w:szCs w:val="20"/>
                <w:color w:val="auto"/>
              </w:rPr>
            </w:pPr>
            <w:r>
              <w:rPr>
                <w:rFonts w:ascii="Arial" w:cs="Arial" w:eastAsia="Arial" w:hAnsi="Arial"/>
                <w:sz w:val="14"/>
                <w:szCs w:val="14"/>
                <w:color w:val="auto"/>
                <w:w w:val="98"/>
              </w:rPr>
              <w:t>Non-</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49"/>
        </w:trPr>
        <w:tc>
          <w:tcPr>
            <w:tcW w:w="1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Interest</w:t>
            </w:r>
          </w:p>
        </w:tc>
        <w:tc>
          <w:tcPr>
            <w:tcW w:w="200" w:type="dxa"/>
            <w:vAlign w:val="bottom"/>
          </w:tcPr>
          <w:p>
            <w:pPr>
              <w:spacing w:after="0"/>
              <w:rPr>
                <w:sz w:val="12"/>
                <w:szCs w:val="12"/>
                <w:color w:val="auto"/>
              </w:rPr>
            </w:pPr>
          </w:p>
        </w:tc>
        <w:tc>
          <w:tcPr>
            <w:tcW w:w="124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Interest</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Savings</w:t>
            </w:r>
          </w:p>
        </w:tc>
        <w:tc>
          <w:tcPr>
            <w:tcW w:w="2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Time</w:t>
            </w:r>
          </w:p>
        </w:tc>
      </w:tr>
      <w:tr>
        <w:trPr>
          <w:trHeight w:val="167"/>
        </w:trPr>
        <w:tc>
          <w:tcPr>
            <w:tcW w:w="1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color w:val="auto"/>
              </w:rPr>
              <w:t>DDAs</w:t>
            </w:r>
          </w:p>
        </w:tc>
        <w:tc>
          <w:tcPr>
            <w:tcW w:w="200" w:type="dxa"/>
            <w:vAlign w:val="bottom"/>
          </w:tcPr>
          <w:p>
            <w:pPr>
              <w:spacing w:after="0"/>
              <w:rPr>
                <w:sz w:val="14"/>
                <w:szCs w:val="14"/>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4"/>
                <w:szCs w:val="14"/>
                <w:color w:val="auto"/>
              </w:rPr>
              <w:t>DDAs</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Accounts</w:t>
            </w:r>
          </w:p>
        </w:tc>
        <w:tc>
          <w:tcPr>
            <w:tcW w:w="2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Accounts</w:t>
            </w:r>
          </w:p>
        </w:tc>
      </w:tr>
      <w:tr>
        <w:trPr>
          <w:trHeight w:val="156"/>
        </w:trPr>
        <w:tc>
          <w:tcPr>
            <w:tcW w:w="33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December 31, 2017:</w:t>
            </w:r>
          </w:p>
        </w:tc>
        <w:tc>
          <w:tcPr>
            <w:tcW w:w="25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Average balance</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$180,129</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$286,912</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$232,668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$188,443</w:t>
            </w:r>
          </w:p>
        </w:tc>
        <w:tc>
          <w:tcPr>
            <w:tcW w:w="20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rate</w:t>
            </w:r>
          </w:p>
        </w:tc>
        <w:tc>
          <w:tcPr>
            <w:tcW w:w="3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0.76%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176"/>
        </w:trPr>
        <w:tc>
          <w:tcPr>
            <w:tcW w:w="336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2016:</w:t>
            </w:r>
          </w:p>
        </w:tc>
        <w:tc>
          <w:tcPr>
            <w:tcW w:w="2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
        </w:trPr>
        <w:tc>
          <w:tcPr>
            <w:tcW w:w="142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balance</w:t>
            </w:r>
          </w:p>
        </w:tc>
        <w:tc>
          <w:tcPr>
            <w:tcW w:w="3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$169,510</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$207,057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$239,939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$194,753</w:t>
            </w:r>
          </w:p>
        </w:tc>
        <w:tc>
          <w:tcPr>
            <w:tcW w:w="200" w:type="dxa"/>
            <w:vAlign w:val="bottom"/>
            <w:shd w:val="clear" w:color="auto" w:fill="CCEEFF"/>
          </w:tcPr>
          <w:p>
            <w:pPr>
              <w:spacing w:after="0"/>
              <w:rPr>
                <w:sz w:val="18"/>
                <w:szCs w:val="18"/>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Average rate</w:t>
            </w:r>
          </w:p>
        </w:tc>
        <w:tc>
          <w:tcPr>
            <w:tcW w:w="3560" w:type="dxa"/>
            <w:vAlign w:val="bottom"/>
            <w:gridSpan w:val="3"/>
          </w:tcPr>
          <w:p>
            <w:pPr>
              <w:jc w:val="right"/>
              <w:ind w:right="200"/>
              <w:spacing w:after="0"/>
              <w:rPr>
                <w:sz w:val="20"/>
                <w:szCs w:val="20"/>
                <w:color w:val="auto"/>
              </w:rPr>
            </w:pPr>
            <w:r>
              <w:rPr>
                <w:rFonts w:ascii="Arial" w:cs="Arial" w:eastAsia="Arial" w:hAnsi="Arial"/>
                <w:sz w:val="18"/>
                <w:szCs w:val="18"/>
                <w:color w:val="auto"/>
              </w:rPr>
              <w:t>0.00%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0.61%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0.99%</w:t>
            </w:r>
          </w:p>
        </w:tc>
      </w:tr>
      <w:tr>
        <w:trPr>
          <w:trHeight w:val="176"/>
        </w:trPr>
        <w:tc>
          <w:tcPr>
            <w:tcW w:w="33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December 31, 2015:</w:t>
            </w:r>
          </w:p>
        </w:tc>
        <w:tc>
          <w:tcPr>
            <w:tcW w:w="25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
        </w:trPr>
        <w:tc>
          <w:tcPr>
            <w:tcW w:w="1420" w:type="dxa"/>
            <w:vAlign w:val="bottom"/>
            <w:tcBorders>
              <w:top w:val="single" w:sz="8" w:color="auto"/>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360" w:type="dxa"/>
            <w:vAlign w:val="bottom"/>
            <w:gridSpan w:val="2"/>
          </w:tcPr>
          <w:p>
            <w:pPr>
              <w:ind w:left="360"/>
              <w:spacing w:after="0"/>
              <w:rPr>
                <w:sz w:val="20"/>
                <w:szCs w:val="20"/>
                <w:color w:val="auto"/>
              </w:rPr>
            </w:pPr>
            <w:r>
              <w:rPr>
                <w:rFonts w:ascii="Arial" w:cs="Arial" w:eastAsia="Arial" w:hAnsi="Arial"/>
                <w:sz w:val="18"/>
                <w:szCs w:val="18"/>
                <w:color w:val="auto"/>
              </w:rPr>
              <w:t>Average balance</w:t>
            </w:r>
          </w:p>
        </w:tc>
        <w:tc>
          <w:tcPr>
            <w:tcW w:w="3560" w:type="dxa"/>
            <w:vAlign w:val="bottom"/>
            <w:gridSpan w:val="3"/>
          </w:tcPr>
          <w:p>
            <w:pPr>
              <w:jc w:val="right"/>
              <w:ind w:right="340"/>
              <w:spacing w:after="0"/>
              <w:rPr>
                <w:sz w:val="20"/>
                <w:szCs w:val="20"/>
                <w:color w:val="auto"/>
              </w:rPr>
            </w:pPr>
            <w:r>
              <w:rPr>
                <w:rFonts w:ascii="Arial" w:cs="Arial" w:eastAsia="Arial" w:hAnsi="Arial"/>
                <w:sz w:val="18"/>
                <w:szCs w:val="18"/>
                <w:color w:val="auto"/>
              </w:rPr>
              <w:t>$162,028</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$184,941</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$227,328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$189,822</w:t>
            </w:r>
          </w:p>
        </w:tc>
        <w:tc>
          <w:tcPr>
            <w:tcW w:w="200" w:type="dxa"/>
            <w:vAlign w:val="bottom"/>
          </w:tcPr>
          <w:p>
            <w:pPr>
              <w:spacing w:after="0"/>
              <w:rPr>
                <w:sz w:val="18"/>
                <w:szCs w:val="18"/>
                <w:color w:val="auto"/>
              </w:rPr>
            </w:pPr>
          </w:p>
        </w:tc>
      </w:tr>
      <w:tr>
        <w:trPr>
          <w:trHeight w:val="216"/>
        </w:trPr>
        <w:tc>
          <w:tcPr>
            <w:tcW w:w="3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Average rate</w:t>
            </w:r>
          </w:p>
        </w:tc>
        <w:tc>
          <w:tcPr>
            <w:tcW w:w="3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0.62%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r>
      <w:tr>
        <w:trPr>
          <w:trHeight w:val="365"/>
        </w:trPr>
        <w:tc>
          <w:tcPr>
            <w:tcW w:w="1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20" w:type="dxa"/>
            <w:vAlign w:val="bottom"/>
          </w:tcPr>
          <w:p>
            <w:pPr>
              <w:jc w:val="right"/>
              <w:ind w:right="450"/>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Liquidity remains adequate though down from prior years as the Bank has decreased the investment portfolio to fund loans. The Bank has access to $69 million of unsecured borrowings through correspondent banks and $94.6 million of unpledged securities which may be sold or used as collateral. The amount of unpledged securities increase almost $22.8 million as compared to 2016. This was accomplished with utilizing Promontory’s ICS product to protect Ohio public fund depositors and commercial sweep customers with FDIC coverage rather than pledged securities. For the Bank, an additional $5.7 million is also available from the Federal Home Loan Bank based on current collateral pledging with up to $116.8 million available provided adequate collateral is pledged.</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$206.3 for 2017, $228.0 for 2016 and $262.1 million for 2015. This represented 19.2%, 22.3%, and 28.0% of total average assets, respectively. Of the almost $196.4 million of debt securities in the bank’s portfolio as of December 31, 2017, $21.6 million, or 11.0% of the portfolio, is expected to receive payments or mature in 2018. This liquidity provides the opportunity to fund loan growth by analysis of the lowest cost and source of funds whether by increasing deposits, sales or runoff of investments or utilizing debt.</w:t>
      </w:r>
    </w:p>
    <w:p>
      <w:pPr>
        <w:spacing w:after="0" w:line="17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addition to the Bank’s investment portfolio, the Company has $18.9 million held in the holding company’s investment portfolio. $5.1 million of those investments will mature or receive payments in the next twelve months. These funds provide liquidity to the Company. The Bank has been declaring additional dividends each quarter to provide this liquidity to the Company. The Captive has also upstreamed dividends to the Company and is expected to continue annually as long as reserve levels are adequately provided for. This provides additional liquidity for Company activities.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Historically, the primary source of liquidity has been core deposits that include noninterest bearing and interest bearing demand deposits, savings, money market accounts and time deposits of individuals. Core deposit balances increased in all categories with the exception of time deposits as of December 31, 2017 compared to same date 2016. Average total savings balances increased $72.6 million in 2017 as compared to 2016. Core deposit balances as of year-end 2016 increased in all categories. Overall deposits increased an average of $47.1 million in 2016 and $2.6 million in 2015. The Bank also utilized Federal Funds purchased at times during 2015 through 2017. The average balance for 2017 was $2.2 million, for 2016 and 2015 was $1.9 million and $1.2 million respectively. The Bank used this temporary funding source heavier in December 2015 while it secured more permanent funding. During 2016, it was used heavily in the third quarter. The Bank is comfortable accessing these funds on a regular basis.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88.2% for 2017, 87.9% for 2016, and 80.7% for 2015. The Bank’s goal is for this ratio to be higher in the 80-90 percent range with loan growth being the driver. The Bank ended the year 2017 at an 89.6% loan to deposit ratio.</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Short-term debt such as federal funds purchased and securities sold under agreement to repurchase also provides the Company with liquidity. Short-term debt for both federal funds purchased and securities sold under agreement to repurchase amounted to $39.5 million at December 31, 2017, $70.3 million at December 31, 2016, and $78.8 million at the end of 2015. These accounts are used to provide a sweep product to the Bank’s commercial customers and for some term deposits. As ICS was implemented, the sweep balances moved into interest bearing deposits and for yearend 2017 the repurchase agreements are for term deposits only.</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borrowings” are also a source of funds. Other borrowings consist of loans from the Federal Home Loan Bank of Cincinnati. These funds are then used to provide loans in our community. The Bank utilized this funding source in December 2015 by borrowing $10 million. These remained consistent borrowings during 2016 and in December of 2017 $5 million matured and was paid off.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Management</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7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instant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Contractual Obligations of the Company totaled $569 million as of December 31, 2017. Excluded from the chart is Federal Funds Purchased of $10.4 million which are immediately payable the next business day. Time deposits represent contractual agreements for certificates of deposits held by its customers. Long term debt represents the borrowings with the Federal Home Loan Bank and is further defined in Note 4 and 9 of the Consolidated Financial Statements.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center"/>
              <w:ind w:right="180"/>
              <w:spacing w:after="0"/>
              <w:rPr>
                <w:sz w:val="20"/>
                <w:szCs w:val="20"/>
                <w:color w:val="auto"/>
              </w:rPr>
            </w:pPr>
            <w:r>
              <w:rPr>
                <w:rFonts w:ascii="Arial" w:cs="Arial" w:eastAsia="Arial" w:hAnsi="Arial"/>
                <w:sz w:val="14"/>
                <w:szCs w:val="14"/>
                <w:color w:val="auto"/>
                <w:w w:val="92"/>
              </w:rPr>
              <w:t>Payment Due by Period (In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tcPr>
          <w:p>
            <w:pPr>
              <w:jc w:val="right"/>
              <w:ind w:right="220"/>
              <w:spacing w:after="0" w:line="123" w:lineRule="exact"/>
              <w:rPr>
                <w:sz w:val="20"/>
                <w:szCs w:val="20"/>
                <w:color w:val="auto"/>
              </w:rPr>
            </w:pPr>
            <w:r>
              <w:rPr>
                <w:rFonts w:ascii="Arial" w:cs="Arial" w:eastAsia="Arial" w:hAnsi="Arial"/>
                <w:sz w:val="14"/>
                <w:szCs w:val="14"/>
                <w:color w:val="auto"/>
                <w:w w:val="98"/>
              </w:rPr>
              <w:t>Less than</w:t>
            </w:r>
          </w:p>
        </w:tc>
        <w:tc>
          <w:tcPr>
            <w:tcW w:w="100" w:type="dxa"/>
            <w:vAlign w:val="bottom"/>
          </w:tcPr>
          <w:p>
            <w:pPr>
              <w:spacing w:after="0"/>
              <w:rPr>
                <w:sz w:val="10"/>
                <w:szCs w:val="10"/>
                <w:color w:val="auto"/>
              </w:rPr>
            </w:pPr>
          </w:p>
        </w:tc>
        <w:tc>
          <w:tcPr>
            <w:tcW w:w="600" w:type="dxa"/>
            <w:vAlign w:val="bottom"/>
          </w:tcPr>
          <w:p>
            <w:pPr>
              <w:jc w:val="center"/>
              <w:ind w:right="14"/>
              <w:spacing w:after="0" w:line="123" w:lineRule="exact"/>
              <w:rPr>
                <w:sz w:val="20"/>
                <w:szCs w:val="20"/>
                <w:color w:val="auto"/>
              </w:rPr>
            </w:pPr>
            <w:r>
              <w:rPr>
                <w:rFonts w:ascii="Arial" w:cs="Arial" w:eastAsia="Arial" w:hAnsi="Arial"/>
                <w:sz w:val="14"/>
                <w:szCs w:val="14"/>
                <w:color w:val="auto"/>
                <w:w w:val="88"/>
              </w:rPr>
              <w:t>1-3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4"/>
              <w:spacing w:after="0" w:line="123" w:lineRule="exact"/>
              <w:rPr>
                <w:sz w:val="20"/>
                <w:szCs w:val="20"/>
                <w:color w:val="auto"/>
              </w:rPr>
            </w:pPr>
            <w:r>
              <w:rPr>
                <w:rFonts w:ascii="Arial" w:cs="Arial" w:eastAsia="Arial" w:hAnsi="Arial"/>
                <w:sz w:val="14"/>
                <w:szCs w:val="14"/>
                <w:color w:val="auto"/>
              </w:rPr>
              <w:t>3-5</w:t>
            </w:r>
          </w:p>
        </w:tc>
        <w:tc>
          <w:tcPr>
            <w:tcW w:w="160" w:type="dxa"/>
            <w:vAlign w:val="bottom"/>
          </w:tcPr>
          <w:p>
            <w:pPr>
              <w:spacing w:after="0"/>
              <w:rPr>
                <w:sz w:val="10"/>
                <w:szCs w:val="10"/>
                <w:color w:val="auto"/>
              </w:rPr>
            </w:pPr>
          </w:p>
        </w:tc>
        <w:tc>
          <w:tcPr>
            <w:tcW w:w="680" w:type="dxa"/>
            <w:vAlign w:val="bottom"/>
            <w:gridSpan w:val="2"/>
          </w:tcPr>
          <w:p>
            <w:pPr>
              <w:ind w:left="40"/>
              <w:spacing w:after="0" w:line="123" w:lineRule="exact"/>
              <w:rPr>
                <w:sz w:val="20"/>
                <w:szCs w:val="20"/>
                <w:color w:val="auto"/>
              </w:rPr>
            </w:pPr>
            <w:r>
              <w:rPr>
                <w:rFonts w:ascii="Arial" w:cs="Arial" w:eastAsia="Arial" w:hAnsi="Arial"/>
                <w:sz w:val="14"/>
                <w:szCs w:val="14"/>
                <w:color w:val="auto"/>
                <w:w w:val="98"/>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80" w:type="dxa"/>
            <w:vAlign w:val="bottom"/>
            <w:gridSpan w:val="2"/>
          </w:tcPr>
          <w:p>
            <w:pPr>
              <w:spacing w:after="0"/>
              <w:rPr>
                <w:sz w:val="20"/>
                <w:szCs w:val="20"/>
                <w:color w:val="auto"/>
              </w:rPr>
            </w:pPr>
            <w:r>
              <w:rPr>
                <w:rFonts w:ascii="Arial" w:cs="Arial" w:eastAsia="Arial" w:hAnsi="Arial"/>
                <w:sz w:val="14"/>
                <w:szCs w:val="14"/>
                <w:color w:val="auto"/>
              </w:rPr>
              <w:t>Contractual Obligations</w:t>
            </w: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1 year</w:t>
            </w: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Years</w:t>
            </w: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Years</w:t>
            </w:r>
          </w:p>
        </w:tc>
        <w:tc>
          <w:tcPr>
            <w:tcW w:w="1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5 years</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shd w:val="clear" w:color="auto" w:fill="000000"/>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29,070</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27,060</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Securities sold under agreement to repurchase</w:t>
            </w:r>
          </w:p>
        </w:tc>
        <w:tc>
          <w:tcPr>
            <w:tcW w:w="28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187,566</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83,734</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64,061</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39,142</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99"/>
              </w:rPr>
              <w:t>629</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Building Leases</w:t>
            </w: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345,818</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66,818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72,000</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77,000</w:t>
            </w:r>
          </w:p>
        </w:tc>
        <w:tc>
          <w:tcPr>
            <w:tcW w:w="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95"/>
              </w:rPr>
              <w:t>130,000</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569,054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184,212</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138,071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116,142</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130,629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0" w:type="dxa"/>
            <w:vAlign w:val="bottom"/>
            <w:vMerge w:val="restart"/>
          </w:tcPr>
          <w:p>
            <w:pPr>
              <w:jc w:val="right"/>
              <w:ind w:right="139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Stockholders’ equity was $134.1 million as of December 31, 2017 compared to $125.6 million at December 31, 2016. Dividends declared during 2017 were $0.50 per share totaling $4.6 million and dividends declared during 2016 were $0.46 per share totaling $4.2 million. Throughout 2017, the Company awarded 32,000 shares of restricted stock awards to 74 employees. During 2016, the Company purchased 14,000 shares and awarded 32,300 shares of restricted stock to 74 employees. For a summary of activity as it relates to the Company’s restricted stock awards, please refer to Note 11: Employee Benefit Plans in the consolidated financial statements. On December 31, 2017 the Company held 1,134,120 shares in Treasury Stock and 92,350 unvested shares of restricted stock. At yearend 2016, the Company held 1,158,250 shares in Treasury stock and 86,300 unvested shares of restricted stock. On January 19, 2018 the Company announced the authorization by its Board of Directors for the Company’s repurchase, either on the open market, or in privately negotiated transactions, of up to 400,000 shares of its outstanding common stock commencing January 19, 2018 and ending December 31, 2018. The Company has a history of approving a similar resolution to be in effect each year for at least the last five years.</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continues to have a strong capital base and maintains regulatory capital ratios that are above the defined regulatory capital ratios. At December 31, 2017, the Bank and the Company had total risk-based capital ratios of 12.84% and 15.52%, respectively. Core capital to risk-based asset ratios of 12.04% and 14.73% for the Bank and the Company, respectively, are well in excess of regulatory guidelines. The Bank’s leverage ratio of 9.92% is also substantially in excess of regulatory guidelines, as is the Company’s at 12.02%. Under Basel III, the common equity Tier 1 Capital to risk-weighted assets ratios are also well above the required 4.50% and the 6.50% well capitalized levels with the Company at 14.73% and the Bank at 12.04%. For further discussion and analysis of regulatory capital requirements, refer to Note 15 of the Audited Financial Statements.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275"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u w:val="single" w:color="auto"/>
          <w:color w:val="auto"/>
        </w:rPr>
        <w:t xml:space="preserve">ITEM 7a. QUANTITATIVE AND QUALITATIVE DISCLOSURES ABOUT MARKET RISK </w:t>
      </w:r>
      <w:r>
        <w:rPr>
          <w:rFonts w:ascii="Arial" w:cs="Arial" w:eastAsia="Arial" w:hAnsi="Arial"/>
          <w:sz w:val="18"/>
          <w:szCs w:val="18"/>
          <w:b w:val="1"/>
          <w:bCs w:val="1"/>
          <w:color w:val="auto"/>
        </w:rPr>
        <w:t>Market Risk</w:t>
      </w:r>
    </w:p>
    <w:p>
      <w:pPr>
        <w:ind w:right="140"/>
        <w:spacing w:after="0" w:line="257"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8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40" w:type="dxa"/>
            <w:vAlign w:val="bottom"/>
          </w:tcPr>
          <w:p>
            <w:pPr>
              <w:ind w:left="460"/>
              <w:spacing w:after="0"/>
              <w:rPr>
                <w:sz w:val="20"/>
                <w:szCs w:val="20"/>
                <w:color w:val="auto"/>
              </w:rPr>
            </w:pPr>
            <w:r>
              <w:rPr>
                <w:rFonts w:ascii="Arial" w:cs="Arial" w:eastAsia="Arial" w:hAnsi="Arial"/>
                <w:sz w:val="14"/>
                <w:szCs w:val="14"/>
                <w:color w:val="auto"/>
              </w:rPr>
              <w:t>Net Interest Margin</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00" w:type="dxa"/>
            <w:vAlign w:val="bottom"/>
            <w:gridSpan w:val="2"/>
            <w:vMerge w:val="restart"/>
          </w:tcPr>
          <w:p>
            <w:pPr>
              <w:jc w:val="center"/>
              <w:ind w:right="1120"/>
              <w:spacing w:after="0"/>
              <w:rPr>
                <w:sz w:val="20"/>
                <w:szCs w:val="20"/>
                <w:color w:val="auto"/>
              </w:rPr>
            </w:pPr>
            <w:r>
              <w:rPr>
                <w:rFonts w:ascii="Arial" w:cs="Arial" w:eastAsia="Arial" w:hAnsi="Arial"/>
                <w:sz w:val="14"/>
                <w:szCs w:val="14"/>
                <w:color w:val="auto"/>
                <w:w w:val="87"/>
              </w:rPr>
              <w:t>Rate</w:t>
            </w:r>
          </w:p>
        </w:tc>
        <w:tc>
          <w:tcPr>
            <w:tcW w:w="1940" w:type="dxa"/>
            <w:vAlign w:val="bottom"/>
            <w:gridSpan w:val="2"/>
            <w:vMerge w:val="restart"/>
          </w:tcPr>
          <w:p>
            <w:pPr>
              <w:jc w:val="right"/>
              <w:ind w:right="1480"/>
              <w:spacing w:after="0"/>
              <w:rPr>
                <w:sz w:val="20"/>
                <w:szCs w:val="20"/>
                <w:color w:val="auto"/>
              </w:rPr>
            </w:pPr>
            <w:r>
              <w:rPr>
                <w:rFonts w:ascii="Arial" w:cs="Arial" w:eastAsia="Arial" w:hAnsi="Arial"/>
                <w:sz w:val="14"/>
                <w:szCs w:val="14"/>
                <w:color w:val="auto"/>
              </w:rPr>
              <w:t>Rate</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3"/>
          </w:tcPr>
          <w:p>
            <w:pPr>
              <w:jc w:val="right"/>
              <w:ind w:right="880"/>
              <w:spacing w:after="0"/>
              <w:rPr>
                <w:sz w:val="20"/>
                <w:szCs w:val="20"/>
                <w:color w:val="auto"/>
              </w:rPr>
            </w:pPr>
            <w:r>
              <w:rPr>
                <w:rFonts w:ascii="Arial" w:cs="Arial" w:eastAsia="Arial" w:hAnsi="Arial"/>
                <w:sz w:val="14"/>
                <w:szCs w:val="14"/>
                <w:color w:val="auto"/>
                <w:w w:val="91"/>
              </w:rPr>
              <w:t>Net Interest Income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rPr>
              <w:t>Net Interest</w:t>
            </w: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 Change</w:t>
            </w:r>
          </w:p>
        </w:tc>
        <w:tc>
          <w:tcPr>
            <w:tcW w:w="128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6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4"/>
              </w:rPr>
              <w:t>Cumulative</w:t>
            </w:r>
          </w:p>
        </w:tc>
        <w:tc>
          <w:tcPr>
            <w:tcW w:w="1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4"/>
              </w:rPr>
              <w:t>% Change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20" w:type="dxa"/>
            <w:vAlign w:val="bottom"/>
            <w:gridSpan w:val="3"/>
          </w:tcPr>
          <w:p>
            <w:pPr>
              <w:spacing w:after="0"/>
              <w:rPr>
                <w:sz w:val="20"/>
                <w:szCs w:val="20"/>
                <w:color w:val="auto"/>
              </w:rPr>
            </w:pPr>
            <w:r>
              <w:rPr>
                <w:rFonts w:ascii="Arial" w:cs="Arial" w:eastAsia="Arial" w:hAnsi="Arial"/>
                <w:sz w:val="14"/>
                <w:szCs w:val="14"/>
                <w:color w:val="auto"/>
              </w:rPr>
              <w:t>Margin (Ratio)</w:t>
            </w:r>
          </w:p>
        </w:tc>
        <w:tc>
          <w:tcPr>
            <w:tcW w:w="1960" w:type="dxa"/>
            <w:vAlign w:val="bottom"/>
            <w:gridSpan w:val="2"/>
          </w:tcPr>
          <w:p>
            <w:pPr>
              <w:jc w:val="right"/>
              <w:ind w:right="1280"/>
              <w:spacing w:after="0"/>
              <w:rPr>
                <w:sz w:val="20"/>
                <w:szCs w:val="20"/>
                <w:color w:val="auto"/>
              </w:rPr>
            </w:pPr>
            <w:r>
              <w:rPr>
                <w:rFonts w:ascii="Arial" w:cs="Arial" w:eastAsia="Arial" w:hAnsi="Arial"/>
                <w:sz w:val="14"/>
                <w:szCs w:val="14"/>
                <w:color w:val="auto"/>
                <w:w w:val="91"/>
              </w:rPr>
              <w:t>to Flat Rate</w:t>
            </w:r>
          </w:p>
        </w:tc>
        <w:tc>
          <w:tcPr>
            <w:tcW w:w="1700" w:type="dxa"/>
            <w:vAlign w:val="bottom"/>
            <w:gridSpan w:val="2"/>
          </w:tcPr>
          <w:p>
            <w:pPr>
              <w:jc w:val="center"/>
              <w:ind w:right="1120"/>
              <w:spacing w:after="0"/>
              <w:rPr>
                <w:sz w:val="20"/>
                <w:szCs w:val="20"/>
                <w:color w:val="auto"/>
              </w:rPr>
            </w:pPr>
            <w:r>
              <w:rPr>
                <w:rFonts w:ascii="Arial" w:cs="Arial" w:eastAsia="Arial" w:hAnsi="Arial"/>
                <w:sz w:val="14"/>
                <w:szCs w:val="14"/>
                <w:color w:val="auto"/>
                <w:w w:val="97"/>
              </w:rPr>
              <w:t>Direction</w:t>
            </w:r>
          </w:p>
        </w:tc>
        <w:tc>
          <w:tcPr>
            <w:tcW w:w="1940" w:type="dxa"/>
            <w:vAlign w:val="bottom"/>
            <w:gridSpan w:val="2"/>
          </w:tcPr>
          <w:p>
            <w:pPr>
              <w:jc w:val="right"/>
              <w:ind w:right="1280"/>
              <w:spacing w:after="0"/>
              <w:rPr>
                <w:sz w:val="20"/>
                <w:szCs w:val="20"/>
                <w:color w:val="auto"/>
              </w:rPr>
            </w:pPr>
            <w:r>
              <w:rPr>
                <w:rFonts w:ascii="Arial" w:cs="Arial" w:eastAsia="Arial" w:hAnsi="Arial"/>
                <w:sz w:val="14"/>
                <w:szCs w:val="14"/>
                <w:color w:val="auto"/>
                <w:w w:val="89"/>
              </w:rPr>
              <w:t>changes by</w:t>
            </w:r>
          </w:p>
        </w:tc>
        <w:tc>
          <w:tcPr>
            <w:tcW w:w="680" w:type="dxa"/>
            <w:vAlign w:val="bottom"/>
            <w:gridSpan w:val="2"/>
          </w:tcPr>
          <w:p>
            <w:pPr>
              <w:ind w:left="20"/>
              <w:spacing w:after="0"/>
              <w:rPr>
                <w:sz w:val="20"/>
                <w:szCs w:val="20"/>
                <w:color w:val="auto"/>
              </w:rPr>
            </w:pPr>
            <w:r>
              <w:rPr>
                <w:rFonts w:ascii="Arial" w:cs="Arial" w:eastAsia="Arial" w:hAnsi="Arial"/>
                <w:sz w:val="14"/>
                <w:szCs w:val="14"/>
                <w:color w:val="auto"/>
                <w:w w:val="94"/>
              </w:rPr>
              <w:t>Total (000)</w:t>
            </w:r>
          </w:p>
        </w:tc>
        <w:tc>
          <w:tcPr>
            <w:tcW w:w="1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to Flat Rate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shd w:val="clear" w:color="auto" w:fill="CCEEFF"/>
          </w:tcPr>
          <w:p>
            <w:pPr>
              <w:spacing w:after="0" w:line="20" w:lineRule="exact"/>
              <w:rPr>
                <w:sz w:val="1"/>
                <w:szCs w:val="1"/>
                <w:color w:val="auto"/>
              </w:rPr>
            </w:pPr>
          </w:p>
        </w:tc>
        <w:tc>
          <w:tcPr>
            <w:tcW w:w="224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shd w:val="clear" w:color="auto" w:fill="CCEEFF"/>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1120" w:type="dxa"/>
            <w:vAlign w:val="bottom"/>
            <w:tcBorders>
              <w:bottom w:val="single" w:sz="8" w:color="CCEEFF"/>
            </w:tcBorders>
            <w:shd w:val="clear" w:color="auto" w:fill="CCEEFF"/>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2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14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3.05%</w:t>
            </w:r>
          </w:p>
        </w:tc>
        <w:tc>
          <w:tcPr>
            <w:tcW w:w="224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1120"/>
              <w:spacing w:after="0" w:line="189" w:lineRule="exact"/>
              <w:rPr>
                <w:sz w:val="20"/>
                <w:szCs w:val="20"/>
                <w:color w:val="auto"/>
              </w:rPr>
            </w:pPr>
            <w:r>
              <w:rPr>
                <w:rFonts w:ascii="Arial" w:cs="Arial" w:eastAsia="Arial" w:hAnsi="Arial"/>
                <w:sz w:val="18"/>
                <w:szCs w:val="18"/>
                <w:color w:val="auto"/>
              </w:rPr>
              <w:t>0.13%</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Rising</w:t>
            </w:r>
          </w:p>
        </w:tc>
        <w:tc>
          <w:tcPr>
            <w:tcW w:w="11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right"/>
              <w:ind w:right="1140"/>
              <w:spacing w:after="0" w:line="189" w:lineRule="exact"/>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30,955</w:t>
            </w:r>
          </w:p>
        </w:tc>
        <w:tc>
          <w:tcPr>
            <w:tcW w:w="1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3.03%</w:t>
            </w:r>
          </w:p>
        </w:tc>
        <w:tc>
          <w:tcPr>
            <w:tcW w:w="2240" w:type="dxa"/>
            <w:vAlign w:val="bottom"/>
          </w:tcPr>
          <w:p>
            <w:pPr>
              <w:spacing w:after="0"/>
              <w:rPr>
                <w:sz w:val="18"/>
                <w:szCs w:val="18"/>
                <w:color w:val="auto"/>
              </w:rPr>
            </w:pPr>
          </w:p>
        </w:tc>
        <w:tc>
          <w:tcPr>
            <w:tcW w:w="1960" w:type="dxa"/>
            <w:vAlign w:val="bottom"/>
            <w:gridSpan w:val="2"/>
          </w:tcPr>
          <w:p>
            <w:pPr>
              <w:jc w:val="right"/>
              <w:ind w:right="1120"/>
              <w:spacing w:after="0"/>
              <w:rPr>
                <w:sz w:val="20"/>
                <w:szCs w:val="20"/>
                <w:color w:val="auto"/>
              </w:rPr>
            </w:pPr>
            <w:r>
              <w:rPr>
                <w:rFonts w:ascii="Arial" w:cs="Arial" w:eastAsia="Arial" w:hAnsi="Arial"/>
                <w:sz w:val="18"/>
                <w:szCs w:val="18"/>
                <w:color w:val="auto"/>
              </w:rPr>
              <w:t>-0.59%</w:t>
            </w:r>
          </w:p>
        </w:tc>
        <w:tc>
          <w:tcPr>
            <w:tcW w:w="1700" w:type="dxa"/>
            <w:vAlign w:val="bottom"/>
            <w:gridSpan w:val="2"/>
          </w:tcPr>
          <w:p>
            <w:pPr>
              <w:jc w:val="right"/>
              <w:ind w:right="1120"/>
              <w:spacing w:after="0"/>
              <w:rPr>
                <w:sz w:val="20"/>
                <w:szCs w:val="20"/>
                <w:color w:val="auto"/>
              </w:rPr>
            </w:pPr>
            <w:r>
              <w:rPr>
                <w:rFonts w:ascii="Arial" w:cs="Arial" w:eastAsia="Arial" w:hAnsi="Arial"/>
                <w:sz w:val="18"/>
                <w:szCs w:val="18"/>
                <w:color w:val="auto"/>
              </w:rPr>
              <w:t>Rising</w:t>
            </w:r>
          </w:p>
        </w:tc>
        <w:tc>
          <w:tcPr>
            <w:tcW w:w="1940" w:type="dxa"/>
            <w:vAlign w:val="bottom"/>
            <w:gridSpan w:val="2"/>
          </w:tcPr>
          <w:p>
            <w:pPr>
              <w:jc w:val="right"/>
              <w:ind w:right="114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30,742</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3.02%</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-0.71%</w:t>
            </w: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Rising</w:t>
            </w:r>
          </w:p>
        </w:tc>
        <w:tc>
          <w:tcPr>
            <w:tcW w:w="19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30,714</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3.05%</w:t>
            </w:r>
          </w:p>
        </w:tc>
        <w:tc>
          <w:tcPr>
            <w:tcW w:w="2240" w:type="dxa"/>
            <w:vAlign w:val="bottom"/>
          </w:tcPr>
          <w:p>
            <w:pPr>
              <w:spacing w:after="0"/>
              <w:rPr>
                <w:sz w:val="18"/>
                <w:szCs w:val="18"/>
                <w:color w:val="auto"/>
              </w:rPr>
            </w:pPr>
          </w:p>
        </w:tc>
        <w:tc>
          <w:tcPr>
            <w:tcW w:w="196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0"/>
              <w:spacing w:after="0"/>
              <w:rPr>
                <w:sz w:val="20"/>
                <w:szCs w:val="20"/>
                <w:color w:val="auto"/>
              </w:rPr>
            </w:pPr>
            <w:r>
              <w:rPr>
                <w:rFonts w:ascii="Arial" w:cs="Arial" w:eastAsia="Arial" w:hAnsi="Arial"/>
                <w:sz w:val="18"/>
                <w:szCs w:val="18"/>
                <w:color w:val="auto"/>
              </w:rPr>
              <w:t>Flat</w:t>
            </w:r>
          </w:p>
        </w:tc>
        <w:tc>
          <w:tcPr>
            <w:tcW w:w="194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30,947</w:t>
            </w:r>
          </w:p>
        </w:tc>
        <w:tc>
          <w:tcPr>
            <w:tcW w:w="2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3.29%</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7.87%</w:t>
            </w: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Falling</w:t>
            </w:r>
          </w:p>
        </w:tc>
        <w:tc>
          <w:tcPr>
            <w:tcW w:w="19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33,430</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3.18%</w:t>
            </w:r>
          </w:p>
        </w:tc>
        <w:tc>
          <w:tcPr>
            <w:tcW w:w="2240" w:type="dxa"/>
            <w:vAlign w:val="bottom"/>
          </w:tcPr>
          <w:p>
            <w:pPr>
              <w:spacing w:after="0"/>
              <w:rPr>
                <w:sz w:val="18"/>
                <w:szCs w:val="18"/>
                <w:color w:val="auto"/>
              </w:rPr>
            </w:pPr>
          </w:p>
        </w:tc>
        <w:tc>
          <w:tcPr>
            <w:tcW w:w="1960" w:type="dxa"/>
            <w:vAlign w:val="bottom"/>
            <w:gridSpan w:val="2"/>
          </w:tcPr>
          <w:p>
            <w:pPr>
              <w:jc w:val="right"/>
              <w:ind w:right="1120"/>
              <w:spacing w:after="0"/>
              <w:rPr>
                <w:sz w:val="20"/>
                <w:szCs w:val="20"/>
                <w:color w:val="auto"/>
              </w:rPr>
            </w:pPr>
            <w:r>
              <w:rPr>
                <w:rFonts w:ascii="Arial" w:cs="Arial" w:eastAsia="Arial" w:hAnsi="Arial"/>
                <w:sz w:val="18"/>
                <w:szCs w:val="18"/>
                <w:color w:val="auto"/>
              </w:rPr>
              <w:t>4.44%</w:t>
            </w:r>
          </w:p>
        </w:tc>
        <w:tc>
          <w:tcPr>
            <w:tcW w:w="1700" w:type="dxa"/>
            <w:vAlign w:val="bottom"/>
            <w:gridSpan w:val="2"/>
          </w:tcPr>
          <w:p>
            <w:pPr>
              <w:jc w:val="right"/>
              <w:ind w:right="1120"/>
              <w:spacing w:after="0"/>
              <w:rPr>
                <w:sz w:val="20"/>
                <w:szCs w:val="20"/>
                <w:color w:val="auto"/>
              </w:rPr>
            </w:pPr>
            <w:r>
              <w:rPr>
                <w:rFonts w:ascii="Arial" w:cs="Arial" w:eastAsia="Arial" w:hAnsi="Arial"/>
                <w:sz w:val="18"/>
                <w:szCs w:val="18"/>
                <w:color w:val="auto"/>
              </w:rPr>
              <w:t>Falling</w:t>
            </w:r>
          </w:p>
        </w:tc>
        <w:tc>
          <w:tcPr>
            <w:tcW w:w="1940" w:type="dxa"/>
            <w:vAlign w:val="bottom"/>
            <w:gridSpan w:val="2"/>
          </w:tcPr>
          <w:p>
            <w:pPr>
              <w:jc w:val="right"/>
              <w:ind w:right="114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32,363</w:t>
            </w:r>
          </w:p>
        </w:tc>
        <w:tc>
          <w:tcPr>
            <w:tcW w:w="2020" w:type="dxa"/>
            <w:vAlign w:val="bottom"/>
            <w:gridSpan w:val="3"/>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3.04%</w:t>
            </w:r>
          </w:p>
        </w:tc>
        <w:tc>
          <w:tcPr>
            <w:tcW w:w="2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-0.08%</w:t>
            </w:r>
          </w:p>
        </w:tc>
        <w:tc>
          <w:tcPr>
            <w:tcW w:w="170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Falling</w:t>
            </w:r>
          </w:p>
        </w:tc>
        <w:tc>
          <w:tcPr>
            <w:tcW w:w="194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30,950</w:t>
            </w:r>
          </w:p>
        </w:tc>
        <w:tc>
          <w:tcPr>
            <w:tcW w:w="2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shock chart currently shows a slight tightening in net interest margin over the next twelve months in an increasing rate environment and an increase in a falling rate environment. Due to five rate increases since December 2015, the model predicts an expansion in a falling rate of 100 and 200 basis points. At a 300 basis falling rate, the margin will tighten because the cost of funds cannot price below 0% so only asset yield erodes at the higher falling rate environment. The 100 and 200 basis rising rates scenarios are predicted to tighten the net interest margin and produce lower levels of net interest income. This would indicate that the assets yield is predicted to increase slower than the cost of funds will rise. Fixed rate assets or those with a fixed feature in the beginning have a longer time frame than 12 months until they reprice. At a 300 basis point rising environment, the net interest margin and net interest income reverse to a breakeven and widening margin position. The Bank continues to enhance its use of the software model and performs additional stress tests whose results management and the director’s review. Both directional changes are well within risk exposure guidelines. The effect of the rate shocks may be mitigated to the extent that not all lines of business are directly tied to an external index and actual balance sheet composition may differ from prediction.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for the years ended December 31, 2017,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Changes to Shareholders’ Equity for the years ended December 31, 2017,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 for the years ended December 31, 2017,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437515</wp:posOffset>
            </wp:positionV>
            <wp:extent cx="5445760" cy="823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457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Farmers &amp; Merchants Bancorp, Inc. (Company) as of December 31, 2017 and 2016, the related consolidated statements of income and comprehensive income, changes to stockholders’ equity and cash flows for each of the years in the three-year period ended December 31, 2017, and the related notes (collectively referred to as the financial statements). In our opinion, the consolidated financial statements referred to above present fairly, in all material respects, the financial position of the Company as of December 31, 2017 and 2016, and the results of its operations and its cash flows for each of the years in the three-year period ended December 31, 2017, in conformity with accounting principles generally accepted in the United States of America.</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2013 Internal Control-Integrated Framework issued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Committee of Sponsoring Organizations of the Treadway Commission </w:t>
      </w:r>
      <w:r>
        <w:rPr>
          <w:rFonts w:ascii="Arial" w:cs="Arial" w:eastAsia="Arial" w:hAnsi="Arial"/>
          <w:sz w:val="18"/>
          <w:szCs w:val="18"/>
          <w:color w:val="auto"/>
        </w:rPr>
        <w:t>and our report dated February 28, 2018, expressed an unqualified opinion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Company’s internal control over financial reporting.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21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BKD,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BKD, LLP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283210</wp:posOffset>
            </wp:positionV>
            <wp:extent cx="5445760" cy="823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457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have audited Farmers &amp; Merchants Bancorp, Inc.’s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 (2013) issued by the Committee of Sponsoring Organizations of the Treadway Commission</w:t>
      </w:r>
      <w:r>
        <w:rPr>
          <w:rFonts w:ascii="Arial" w:cs="Arial" w:eastAsia="Arial" w:hAnsi="Arial"/>
          <w:sz w:val="16"/>
          <w:szCs w:val="16"/>
          <w:color w:val="auto"/>
        </w:rPr>
        <w:t xml:space="preserve"> (COSO).</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2017, based on criteria established in Internal Control – Integrated Framework: (2013) issued by COSO.</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and our report dated February 28, 2018, expressed an unqualified opinion.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 and Limitations of Internal Control Over Financial Reporting</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BKD,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BKD, LLP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00"/>
          </w:cols>
          <w:pgMar w:left="240" w:top="459" w:right="25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5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and 2016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ind w:left="43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27,348</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Federal Funds Sold</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974</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28,322</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Interest-bearing time deposits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1,915</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Securities—available-for-sale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196,398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218,527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Other Securities, at cost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3,717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816,156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751,310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Real Estate Owned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Bank Owned Life Insurance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14,523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14,376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7,176</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1,107,009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1,055,895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ind w:left="31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700"/>
              <w:spacing w:after="0"/>
              <w:rPr>
                <w:sz w:val="20"/>
                <w:szCs w:val="20"/>
                <w:color w:val="auto"/>
              </w:rPr>
            </w:pPr>
            <w:r>
              <w:rPr>
                <w:rFonts w:ascii="Arial" w:cs="Arial" w:eastAsia="Arial" w:hAnsi="Arial"/>
                <w:sz w:val="18"/>
                <w:szCs w:val="18"/>
                <w:color w:val="auto"/>
              </w:rPr>
              <w:t>Noninterest-bearing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199,114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186,390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Interest-bearing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298,711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230,446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Savings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233,949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226,537</w:t>
            </w:r>
          </w:p>
        </w:tc>
      </w:tr>
      <w:tr>
        <w:trPr>
          <w:trHeight w:val="216"/>
        </w:trPr>
        <w:tc>
          <w:tcPr>
            <w:tcW w:w="20" w:type="dxa"/>
            <w:vAlign w:val="bottom"/>
          </w:tcPr>
          <w:p>
            <w:pPr>
              <w:spacing w:after="0"/>
              <w:rPr>
                <w:sz w:val="18"/>
                <w:szCs w:val="18"/>
                <w:color w:val="auto"/>
              </w:rPr>
            </w:pPr>
          </w:p>
        </w:tc>
        <w:tc>
          <w:tcPr>
            <w:tcW w:w="9320" w:type="dxa"/>
            <w:vAlign w:val="bottom"/>
          </w:tcPr>
          <w:p>
            <w:pPr>
              <w:ind w:left="1060"/>
              <w:spacing w:after="0"/>
              <w:rPr>
                <w:sz w:val="20"/>
                <w:szCs w:val="20"/>
                <w:color w:val="auto"/>
              </w:rPr>
            </w:pPr>
            <w:r>
              <w:rPr>
                <w:rFonts w:ascii="Arial" w:cs="Arial" w:eastAsia="Arial" w:hAnsi="Arial"/>
                <w:sz w:val="18"/>
                <w:szCs w:val="18"/>
                <w:color w:val="auto"/>
              </w:rPr>
              <w:t>Time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187,566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198,830</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919,340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842,203</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Federal Funds Purchased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 to repurchase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70,324</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Federal Home Loan Bank (FHLB) Advances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6,738</w:t>
            </w: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930,318</w:t>
            </w:r>
          </w:p>
        </w:tc>
      </w:tr>
      <w:tr>
        <w:trPr>
          <w:trHeight w:val="223"/>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320" w:type="dxa"/>
            <w:vAlign w:val="bottom"/>
          </w:tcPr>
          <w:p>
            <w:pPr>
              <w:ind w:left="340"/>
              <w:spacing w:after="0" w:line="201" w:lineRule="exact"/>
              <w:rPr>
                <w:sz w:val="20"/>
                <w:szCs w:val="20"/>
                <w:color w:val="auto"/>
              </w:rPr>
            </w:pPr>
            <w:r>
              <w:rPr>
                <w:rFonts w:ascii="Arial" w:cs="Arial" w:eastAsia="Arial" w:hAnsi="Arial"/>
                <w:sz w:val="18"/>
                <w:szCs w:val="18"/>
                <w:color w:val="auto"/>
                <w:w w:val="97"/>
              </w:rPr>
              <w:t>Common shares No par value 20,000,000 shares authorized; issued &amp; outstanding 10,400,000 shares 12/31/17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340" w:type="dxa"/>
            <w:vAlign w:val="bottom"/>
            <w:gridSpan w:val="2"/>
          </w:tcPr>
          <w:p>
            <w:pPr>
              <w:jc w:val="right"/>
              <w:ind w:right="7850"/>
              <w:spacing w:after="0"/>
              <w:rPr>
                <w:sz w:val="20"/>
                <w:szCs w:val="20"/>
                <w:color w:val="auto"/>
              </w:rPr>
            </w:pPr>
            <w:r>
              <w:rPr>
                <w:rFonts w:ascii="Arial" w:cs="Arial" w:eastAsia="Arial" w:hAnsi="Arial"/>
                <w:sz w:val="18"/>
                <w:szCs w:val="18"/>
                <w:color w:val="auto"/>
              </w:rPr>
              <w:t xml:space="preserve">12/31/16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11,546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11,947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Treasury Stock -1,134,120 shares 12/31/17, 1,158,250 shares 12/31/16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(12,267)</w:t>
            </w: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136,577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127,869</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r>
      <w:tr>
        <w:trPr>
          <w:trHeight w:val="230"/>
        </w:trPr>
        <w:tc>
          <w:tcPr>
            <w:tcW w:w="20" w:type="dxa"/>
            <w:vAlign w:val="bottom"/>
          </w:tcPr>
          <w:p>
            <w:pPr>
              <w:spacing w:after="0"/>
              <w:rPr>
                <w:sz w:val="20"/>
                <w:szCs w:val="20"/>
                <w:color w:val="auto"/>
              </w:rPr>
            </w:pPr>
          </w:p>
        </w:tc>
        <w:tc>
          <w:tcPr>
            <w:tcW w:w="9320" w:type="dxa"/>
            <w:vAlign w:val="bottom"/>
          </w:tcPr>
          <w:p>
            <w:pPr>
              <w:ind w:left="14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134,137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1,107,009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1,055,895</w:t>
            </w: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40"/>
        <w:spacing w:after="0" w:line="461" w:lineRule="auto"/>
        <w:rPr>
          <w:sz w:val="20"/>
          <w:szCs w:val="20"/>
          <w:color w:val="auto"/>
        </w:rPr>
      </w:pPr>
      <w:r>
        <w:rPr>
          <w:rFonts w:ascii="Arial" w:cs="Arial" w:eastAsia="Arial" w:hAnsi="Arial"/>
          <w:sz w:val="18"/>
          <w:szCs w:val="18"/>
          <w:color w:val="auto"/>
        </w:rPr>
        <w:t>(1) Share data has been adjusted to reflect a 2-for-1 stock split on September 20, 2017 See 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Income &amp; Comprehensive Income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2017</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Loans, including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37,195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33,703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106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Municipalities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Federal funds sold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interest income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41,248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37,727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Borrowed funds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r>
              <w:rPr>
                <w:rFonts w:ascii="Arial" w:cs="Arial" w:eastAsia="Arial" w:hAnsi="Arial"/>
                <w:sz w:val="18"/>
                <w:szCs w:val="18"/>
                <w:color w:val="auto"/>
              </w:rPr>
              <w:t>—Before provision for loan losses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36,121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33,504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b w:val="1"/>
                <w:bCs w:val="1"/>
                <w:color w:val="auto"/>
              </w:rPr>
              <w:t>For Loan Losses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35,899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32,383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Income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Customer service fees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service charges and fees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Net gain on sale of loans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gain on sale of available-for-sale securities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noninterest income</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10,735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11,368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12,613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11,620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benefits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Net occupancy expense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Furniture and equipment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1,213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Franchise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Net loss on sale of other assets owned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FDIC Assessment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Mortgage servicing rights amortization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Total other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28,731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17,903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16,320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Income Taxes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10,340</w:t>
            </w:r>
          </w:p>
        </w:tc>
        <w:tc>
          <w:tcPr>
            <w:tcW w:w="0" w:type="dxa"/>
            <w:vAlign w:val="bottom"/>
          </w:tcPr>
          <w:p>
            <w:pPr>
              <w:spacing w:after="0"/>
              <w:rPr>
                <w:sz w:val="1"/>
                <w:szCs w:val="1"/>
                <w:color w:val="auto"/>
              </w:rPr>
            </w:pPr>
          </w:p>
        </w:tc>
      </w:tr>
      <w:tr>
        <w:trPr>
          <w:trHeight w:val="223"/>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unrealized gain (loss) on available-for-sale securities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(2,721)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 for gain on sale of available-for-sale securities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unrealized gain (loss) on available-for-sale securities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(2,184)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10,108</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Earnings Per Share—Basic and Diluted </w:t>
            </w:r>
            <w:r>
              <w:rPr>
                <w:rFonts w:ascii="Arial" w:cs="Arial" w:eastAsia="Arial" w:hAnsi="Arial"/>
                <w:sz w:val="15"/>
                <w:szCs w:val="15"/>
                <w:b w:val="1"/>
                <w:bCs w:val="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040" w:firstLine="8"/>
        <w:spacing w:after="0" w:line="461" w:lineRule="auto"/>
        <w:tabs>
          <w:tab w:leader="none" w:pos="446" w:val="left"/>
        </w:tabs>
        <w:numPr>
          <w:ilvl w:val="0"/>
          <w:numId w:val="11"/>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 See Notes to Consolidated Financial Statements</w:t>
      </w: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Changes to Stockholders’ Equity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color w:val="auto"/>
                <w:w w:val="96"/>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Shares of</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6"/>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Common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Treasury</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Stock</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Stock</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color w:val="auto"/>
                <w:w w:val="92"/>
              </w:rPr>
              <w:t>Income (Loss)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 January 1, 2015 </w:t>
            </w:r>
            <w:r>
              <w:rPr>
                <w:rFonts w:ascii="Arial" w:cs="Arial" w:eastAsia="Arial" w:hAnsi="Arial"/>
                <w:sz w:val="15"/>
                <w:szCs w:val="15"/>
                <w:b w:val="1"/>
                <w:bCs w:val="1"/>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9,254,676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(11,928)</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$ 113,755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10,340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(61,370)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(803)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Issuance of 32,000 shares of restricted stock (Net of Forfeitures -</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200 Repurchases - 38)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31,762</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342</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 $0.44 per share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Balance - December 31, 2015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9,225,068</w:t>
            </w: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$(12,389)</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$120,188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340"/>
              <w:spacing w:after="0" w:line="201" w:lineRule="exact"/>
              <w:rPr>
                <w:sz w:val="20"/>
                <w:szCs w:val="20"/>
                <w:color w:val="auto"/>
              </w:rPr>
            </w:pPr>
            <w:r>
              <w:rPr>
                <w:rFonts w:ascii="Arial" w:cs="Arial" w:eastAsia="Arial" w:hAnsi="Arial"/>
                <w:sz w:val="18"/>
                <w:szCs w:val="18"/>
                <w:color w:val="auto"/>
                <w:w w:val="96"/>
              </w:rPr>
              <w:t>Issuance of 32,300 shares of restricted stock (Net of Forfeitures -</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ind w:left="520"/>
              <w:spacing w:after="0"/>
              <w:rPr>
                <w:sz w:val="20"/>
                <w:szCs w:val="20"/>
                <w:color w:val="auto"/>
              </w:rPr>
            </w:pPr>
            <w:r>
              <w:rPr>
                <w:rFonts w:ascii="Arial" w:cs="Arial" w:eastAsia="Arial" w:hAnsi="Arial"/>
                <w:sz w:val="18"/>
                <w:szCs w:val="18"/>
                <w:color w:val="auto"/>
              </w:rPr>
              <w:t>1,546 Repurchases - 72)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30,682</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316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dividends declared - $0.46 per share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9,241,750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11,947</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(12,267)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127,869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income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Purchase of Treasury Stock</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 related to stock award</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tcPr>
          <w:p>
            <w:pPr>
              <w:ind w:left="340"/>
              <w:spacing w:after="0" w:line="201" w:lineRule="exact"/>
              <w:rPr>
                <w:sz w:val="20"/>
                <w:szCs w:val="20"/>
                <w:color w:val="auto"/>
              </w:rPr>
            </w:pPr>
            <w:r>
              <w:rPr>
                <w:rFonts w:ascii="Arial" w:cs="Arial" w:eastAsia="Arial" w:hAnsi="Arial"/>
                <w:sz w:val="18"/>
                <w:szCs w:val="18"/>
                <w:color w:val="auto"/>
                <w:w w:val="96"/>
              </w:rPr>
              <w:t>Issuance of 32,000 shares of restricted stock (Net of Forfeitures -</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540"/>
              <w:spacing w:after="0"/>
              <w:rPr>
                <w:sz w:val="20"/>
                <w:szCs w:val="20"/>
                <w:color w:val="auto"/>
              </w:rPr>
            </w:pPr>
            <w:r>
              <w:rPr>
                <w:rFonts w:ascii="Arial" w:cs="Arial" w:eastAsia="Arial" w:hAnsi="Arial"/>
                <w:sz w:val="18"/>
                <w:szCs w:val="18"/>
                <w:color w:val="auto"/>
              </w:rPr>
              <w:t>1,080)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30,920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(908)</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Cash dividends declared - $0.50 per share</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9,265,880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11,546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(12,160)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136,577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Years Ended December 31, 2017, 2016 and 2015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(000’s Omitted)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2016</w:t>
            </w: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12,720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11,664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available-for-sale securities,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intangible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Gain on sale of loans held for sale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(888)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Originations of loans held for sale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(57,391)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(66,014)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(52,706)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Proceeds from sale of loans held for sale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59,520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63,988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other assets owned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Gain on sales of available-for sale securities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assets and other liabilities,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19,258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Activity in securities: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prepayments and calls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23,064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41,825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Sales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13,562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85,723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(15,335)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(114,819)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Change in interest-bearing time deposits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(1,915)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other assets owned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Additions to premises and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(2,406)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originations and principal collections,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(67,197)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(72,639)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(64,483)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(49,782)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(64,190)</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(53,972)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change in deposits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77,137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70,864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(30,829)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(8,491)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Proceeds of FHLB advances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Repayment of FHLB advances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on common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36,669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58,064</w:t>
            </w: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6,304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Beginning of Year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28,322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22,018</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End of Year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34,467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28,322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22,018</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Interest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4,151</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5,102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3,079</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activities: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Transfer of loans to other real estate owned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419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800" w:right="140"/>
        <w:spacing w:after="0" w:line="308" w:lineRule="auto"/>
        <w:rPr>
          <w:sz w:val="20"/>
          <w:szCs w:val="20"/>
          <w:color w:val="auto"/>
        </w:rPr>
      </w:pPr>
      <w:r>
        <w:rPr>
          <w:rFonts w:ascii="Arial" w:cs="Arial" w:eastAsia="Arial" w:hAnsi="Arial"/>
          <w:sz w:val="17"/>
          <w:szCs w:val="17"/>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Consolidation Policy</w:t>
      </w:r>
    </w:p>
    <w:p>
      <w:pPr>
        <w:spacing w:after="0" w:line="121" w:lineRule="exact"/>
        <w:rPr>
          <w:sz w:val="20"/>
          <w:szCs w:val="20"/>
          <w:color w:val="auto"/>
        </w:rPr>
      </w:pPr>
    </w:p>
    <w:p>
      <w:pPr>
        <w:ind w:left="800" w:right="120"/>
        <w:spacing w:after="0" w:line="286" w:lineRule="auto"/>
        <w:rPr>
          <w:sz w:val="20"/>
          <w:szCs w:val="20"/>
          <w:color w:val="auto"/>
        </w:rPr>
      </w:pPr>
      <w:r>
        <w:rPr>
          <w:rFonts w:ascii="Arial" w:cs="Arial" w:eastAsia="Arial" w:hAnsi="Arial"/>
          <w:sz w:val="17"/>
          <w:szCs w:val="17"/>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All significant inter-company balances and transactions have been eliminated.</w:t>
      </w:r>
    </w:p>
    <w:p>
      <w:pPr>
        <w:spacing w:after="0" w:line="27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800" w:right="60"/>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and the valuation of mortgage servicing rights, goodwill, available for sale investment securities, other real estate owned and impaired loans. Actual results could differ from those estimates.</w:t>
      </w:r>
    </w:p>
    <w:p>
      <w:pPr>
        <w:spacing w:after="0" w:line="85" w:lineRule="exact"/>
        <w:rPr>
          <w:sz w:val="20"/>
          <w:szCs w:val="20"/>
          <w:color w:val="auto"/>
        </w:rPr>
      </w:pPr>
    </w:p>
    <w:p>
      <w:pPr>
        <w:ind w:left="800" w:right="120"/>
        <w:spacing w:after="0" w:line="264" w:lineRule="auto"/>
        <w:rPr>
          <w:sz w:val="20"/>
          <w:szCs w:val="20"/>
          <w:color w:val="auto"/>
        </w:rPr>
      </w:pPr>
      <w:r>
        <w:rPr>
          <w:rFonts w:ascii="Arial" w:cs="Arial" w:eastAsia="Arial" w:hAnsi="Arial"/>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73" w:lineRule="exact"/>
        <w:rPr>
          <w:sz w:val="20"/>
          <w:szCs w:val="20"/>
          <w:color w:val="auto"/>
        </w:rPr>
      </w:pPr>
    </w:p>
    <w:p>
      <w:pPr>
        <w:ind w:left="800" w:right="60"/>
        <w:spacing w:after="0" w:line="264" w:lineRule="auto"/>
        <w:rPr>
          <w:sz w:val="20"/>
          <w:szCs w:val="20"/>
          <w:color w:val="auto"/>
        </w:rPr>
      </w:pPr>
      <w:r>
        <w:rPr>
          <w:rFonts w:ascii="Arial" w:cs="Arial" w:eastAsia="Arial" w:hAnsi="Arial"/>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73" w:lineRule="exact"/>
        <w:rPr>
          <w:sz w:val="20"/>
          <w:szCs w:val="20"/>
          <w:color w:val="auto"/>
        </w:rPr>
      </w:pPr>
    </w:p>
    <w:p>
      <w:pPr>
        <w:ind w:left="800" w:right="80"/>
        <w:spacing w:after="0" w:line="297" w:lineRule="auto"/>
        <w:rPr>
          <w:sz w:val="20"/>
          <w:szCs w:val="20"/>
          <w:color w:val="auto"/>
        </w:rPr>
      </w:pPr>
      <w:r>
        <w:rPr>
          <w:rFonts w:ascii="Arial" w:cs="Arial" w:eastAsia="Arial" w:hAnsi="Arial"/>
          <w:sz w:val="16"/>
          <w:szCs w:val="16"/>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6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left="800" w:right="260"/>
        <w:spacing w:after="0" w:line="264" w:lineRule="auto"/>
        <w:rPr>
          <w:sz w:val="20"/>
          <w:szCs w:val="20"/>
          <w:color w:val="auto"/>
        </w:rPr>
      </w:pPr>
      <w:r>
        <w:rPr>
          <w:rFonts w:ascii="Arial" w:cs="Arial" w:eastAsia="Arial" w:hAnsi="Arial"/>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are purchased for one day periods.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Restrictions on Cash and Amounts Due from Banks</w:t>
      </w:r>
    </w:p>
    <w:p>
      <w:pPr>
        <w:spacing w:after="0" w:line="121" w:lineRule="exact"/>
        <w:rPr>
          <w:sz w:val="20"/>
          <w:szCs w:val="20"/>
          <w:color w:val="auto"/>
        </w:rPr>
      </w:pPr>
    </w:p>
    <w:p>
      <w:pPr>
        <w:ind w:left="800" w:right="280"/>
        <w:spacing w:after="0" w:line="264" w:lineRule="auto"/>
        <w:rPr>
          <w:sz w:val="20"/>
          <w:szCs w:val="20"/>
          <w:color w:val="auto"/>
        </w:rPr>
      </w:pPr>
      <w:r>
        <w:rPr>
          <w:rFonts w:ascii="Arial" w:cs="Arial" w:eastAsia="Arial" w:hAnsi="Arial"/>
          <w:sz w:val="18"/>
          <w:szCs w:val="18"/>
          <w:color w:val="auto"/>
        </w:rPr>
        <w:t>The Bank is required to maintain average balances on hand with the Federal Reserve Bank. The aggregate reserve was $11.4 million for December 31, 2017 and it was $5.0 million for December 31, 2016. The Company and its subsidiaries maintain cash balances with high quality credit institutions. At times such balances may be in excess of the federally insured limits.</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Securities</w:t>
      </w:r>
    </w:p>
    <w:p>
      <w:pPr>
        <w:spacing w:after="0" w:line="121" w:lineRule="exact"/>
        <w:rPr>
          <w:sz w:val="20"/>
          <w:szCs w:val="20"/>
          <w:color w:val="auto"/>
        </w:rPr>
      </w:pPr>
    </w:p>
    <w:p>
      <w:pPr>
        <w:ind w:left="800" w:right="40"/>
        <w:spacing w:after="0" w:line="259" w:lineRule="auto"/>
        <w:rPr>
          <w:sz w:val="20"/>
          <w:szCs w:val="20"/>
          <w:color w:val="auto"/>
        </w:rPr>
      </w:pPr>
      <w:r>
        <w:rPr>
          <w:rFonts w:ascii="Arial" w:cs="Arial" w:eastAsia="Arial" w:hAnsi="Arial"/>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(expense) and, when applicable, are reported as a reclassification adjustment, net of tax, in other comprehensive income (loss). Gains and losses on sales of securities are determined on the specific-identification method.</w:t>
      </w:r>
    </w:p>
    <w:p>
      <w:pPr>
        <w:spacing w:after="0" w:line="79" w:lineRule="exact"/>
        <w:rPr>
          <w:sz w:val="20"/>
          <w:szCs w:val="20"/>
          <w:color w:val="auto"/>
        </w:rPr>
      </w:pPr>
    </w:p>
    <w:p>
      <w:pPr>
        <w:ind w:left="800" w:right="160"/>
        <w:spacing w:after="0" w:line="257" w:lineRule="auto"/>
        <w:rPr>
          <w:sz w:val="20"/>
          <w:szCs w:val="20"/>
          <w:color w:val="auto"/>
        </w:rPr>
      </w:pPr>
      <w:r>
        <w:rPr>
          <w:rFonts w:ascii="Arial" w:cs="Arial" w:eastAsia="Arial" w:hAnsi="Arial"/>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29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Other Securities consists of Federal Home Loan Bank of Cincinnati stock and Farmer Mac stock. These stocks are carried at cost and are held to enable the Bank to conduct business with the entities. The Federal Home Loan Bank sells and purchases their stock at par. The Federal Home Loan Bank of Cincinnati stock is held as collateral security for all indebtedness of the Bank to the Federal Home Loan Bank. The Federal Home Loan Bank of Cincinnati is evaluated for impairment as conditions warrant.</w:t>
      </w:r>
    </w:p>
    <w:p>
      <w:pPr>
        <w:spacing w:after="0" w:line="29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 amount of unpaid principal, reduced by unearned discounts and deferred loan fees and costs, as well as, by the allowance for loan losses. Interest income is accrued on a daily basis based on the principal outstanding.</w:t>
      </w:r>
    </w:p>
    <w:p>
      <w:pPr>
        <w:spacing w:after="0" w:line="73" w:lineRule="exact"/>
        <w:rPr>
          <w:sz w:val="20"/>
          <w:szCs w:val="20"/>
          <w:color w:val="auto"/>
        </w:rPr>
      </w:pPr>
    </w:p>
    <w:p>
      <w:pPr>
        <w:ind w:left="800"/>
        <w:spacing w:after="0" w:line="302" w:lineRule="auto"/>
        <w:rPr>
          <w:sz w:val="20"/>
          <w:szCs w:val="20"/>
          <w:color w:val="auto"/>
        </w:rPr>
      </w:pPr>
      <w:r>
        <w:rPr>
          <w:rFonts w:ascii="Arial" w:cs="Arial" w:eastAsia="Arial" w:hAnsi="Arial"/>
          <w:sz w:val="16"/>
          <w:szCs w:val="16"/>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46"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Allowance for Loan Losses</w:t>
      </w:r>
    </w:p>
    <w:p>
      <w:pPr>
        <w:spacing w:after="0" w:line="121" w:lineRule="exact"/>
        <w:rPr>
          <w:sz w:val="20"/>
          <w:szCs w:val="20"/>
          <w:color w:val="auto"/>
        </w:rPr>
      </w:pPr>
    </w:p>
    <w:p>
      <w:pPr>
        <w:ind w:left="800" w:right="80"/>
        <w:spacing w:after="0" w:line="264" w:lineRule="auto"/>
        <w:rPr>
          <w:sz w:val="20"/>
          <w:szCs w:val="20"/>
          <w:color w:val="auto"/>
        </w:rPr>
      </w:pPr>
      <w:r>
        <w:rPr>
          <w:rFonts w:ascii="Arial" w:cs="Arial" w:eastAsia="Arial" w:hAnsi="Arial"/>
          <w:sz w:val="18"/>
          <w:szCs w:val="18"/>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62" w:lineRule="exact"/>
        <w:rPr>
          <w:sz w:val="20"/>
          <w:szCs w:val="20"/>
          <w:color w:val="auto"/>
        </w:rPr>
      </w:pPr>
    </w:p>
    <w:p>
      <w:pPr>
        <w:ind w:left="800" w:right="40"/>
        <w:spacing w:after="0" w:line="259"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79" w:lineRule="exact"/>
        <w:rPr>
          <w:sz w:val="20"/>
          <w:szCs w:val="20"/>
          <w:color w:val="auto"/>
        </w:rPr>
      </w:pPr>
    </w:p>
    <w:p>
      <w:pPr>
        <w:ind w:left="800" w:right="80"/>
        <w:spacing w:after="0" w:line="257" w:lineRule="auto"/>
        <w:rPr>
          <w:sz w:val="20"/>
          <w:szCs w:val="20"/>
          <w:color w:val="auto"/>
        </w:rPr>
      </w:pPr>
      <w:r>
        <w:rPr>
          <w:rFonts w:ascii="Arial" w:cs="Arial" w:eastAsia="Arial" w:hAnsi="Arial"/>
          <w:sz w:val="18"/>
          <w:szCs w:val="18"/>
          <w:color w:val="auto"/>
        </w:rPr>
        <w:t>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or observable market price)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w:t>
      </w:r>
    </w:p>
    <w:p>
      <w:pPr>
        <w:spacing w:after="0" w:line="80" w:lineRule="exact"/>
        <w:rPr>
          <w:sz w:val="20"/>
          <w:szCs w:val="20"/>
          <w:color w:val="auto"/>
        </w:rPr>
      </w:pPr>
    </w:p>
    <w:p>
      <w:pPr>
        <w:ind w:left="800" w:right="80"/>
        <w:spacing w:after="0" w:line="270" w:lineRule="auto"/>
        <w:rPr>
          <w:sz w:val="20"/>
          <w:szCs w:val="20"/>
          <w:color w:val="auto"/>
        </w:rPr>
      </w:pPr>
      <w:r>
        <w:rPr>
          <w:rFonts w:ascii="Arial" w:cs="Arial" w:eastAsia="Arial" w:hAnsi="Arial"/>
          <w:sz w:val="17"/>
          <w:szCs w:val="17"/>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the loan’s obtainable market price, or the fair value of the collateral if the loan is collateral dependent.</w:t>
      </w:r>
    </w:p>
    <w:p>
      <w:pPr>
        <w:spacing w:after="0" w:line="74" w:lineRule="exact"/>
        <w:rPr>
          <w:sz w:val="20"/>
          <w:szCs w:val="20"/>
          <w:color w:val="auto"/>
        </w:rPr>
      </w:pPr>
    </w:p>
    <w:p>
      <w:pPr>
        <w:jc w:val="both"/>
        <w:ind w:left="800" w:right="60"/>
        <w:spacing w:after="0" w:line="264" w:lineRule="auto"/>
        <w:rPr>
          <w:sz w:val="20"/>
          <w:szCs w:val="20"/>
          <w:color w:val="auto"/>
        </w:rPr>
      </w:pPr>
      <w:r>
        <w:rPr>
          <w:rFonts w:ascii="Arial" w:cs="Arial" w:eastAsia="Arial" w:hAnsi="Arial"/>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73"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80" w:lineRule="exact"/>
        <w:rPr>
          <w:sz w:val="20"/>
          <w:szCs w:val="20"/>
          <w:color w:val="auto"/>
        </w:rPr>
      </w:pPr>
    </w:p>
    <w:p>
      <w:pPr>
        <w:ind w:left="800" w:right="460"/>
        <w:spacing w:after="0" w:line="342" w:lineRule="auto"/>
        <w:rPr>
          <w:sz w:val="20"/>
          <w:szCs w:val="20"/>
          <w:color w:val="auto"/>
        </w:rPr>
      </w:pPr>
      <w:r>
        <w:rPr>
          <w:rFonts w:ascii="Arial" w:cs="Arial" w:eastAsia="Arial" w:hAnsi="Arial"/>
          <w:sz w:val="16"/>
          <w:szCs w:val="16"/>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16" w:lineRule="exact"/>
        <w:rPr>
          <w:sz w:val="20"/>
          <w:szCs w:val="20"/>
          <w:color w:val="auto"/>
        </w:rPr>
      </w:pPr>
    </w:p>
    <w:p>
      <w:pPr>
        <w:ind w:left="800" w:right="360"/>
        <w:spacing w:after="0" w:line="277" w:lineRule="auto"/>
        <w:rPr>
          <w:sz w:val="20"/>
          <w:szCs w:val="20"/>
          <w:color w:val="auto"/>
        </w:rPr>
      </w:pPr>
      <w:r>
        <w:rPr>
          <w:rFonts w:ascii="Arial" w:cs="Arial" w:eastAsia="Arial" w:hAnsi="Arial"/>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left="800" w:right="640"/>
        <w:spacing w:after="0" w:line="277" w:lineRule="auto"/>
        <w:rPr>
          <w:sz w:val="20"/>
          <w:szCs w:val="20"/>
          <w:color w:val="auto"/>
        </w:rPr>
      </w:pPr>
      <w:r>
        <w:rPr>
          <w:rFonts w:ascii="Arial" w:cs="Arial" w:eastAsia="Arial" w:hAnsi="Arial"/>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Servicing Assets</w:t>
      </w:r>
    </w:p>
    <w:p>
      <w:pPr>
        <w:spacing w:after="0" w:line="121" w:lineRule="exact"/>
        <w:rPr>
          <w:sz w:val="20"/>
          <w:szCs w:val="20"/>
          <w:color w:val="auto"/>
        </w:rPr>
      </w:pPr>
    </w:p>
    <w:p>
      <w:pPr>
        <w:ind w:left="800"/>
        <w:spacing w:after="0" w:line="290" w:lineRule="auto"/>
        <w:rPr>
          <w:sz w:val="20"/>
          <w:szCs w:val="20"/>
          <w:color w:val="auto"/>
        </w:rPr>
      </w:pPr>
      <w:r>
        <w:rPr>
          <w:rFonts w:ascii="Arial" w:cs="Arial" w:eastAsia="Arial" w:hAnsi="Arial"/>
          <w:sz w:val="16"/>
          <w:szCs w:val="16"/>
          <w:color w:val="auto"/>
        </w:rPr>
        <w:t>Servicing assets are recognized as separate assets when rights are acquired through purchase or sale of financial assets. 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Fair value is determined using prices for similar assets with similar characteristics, when available, or based upon discounted cash flows using market 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27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800"/>
        <w:spacing w:after="0" w:line="284" w:lineRule="auto"/>
        <w:rPr>
          <w:sz w:val="20"/>
          <w:szCs w:val="20"/>
          <w:color w:val="auto"/>
        </w:rPr>
      </w:pPr>
      <w:r>
        <w:rPr>
          <w:rFonts w:ascii="Arial" w:cs="Arial" w:eastAsia="Arial" w:hAnsi="Arial"/>
          <w:sz w:val="16"/>
          <w:szCs w:val="16"/>
          <w:color w:val="auto"/>
        </w:rPr>
        <w:t>Goodwill results from business acquisitions and represents the excess of the purchase price over the fair value of acquired tangible assets and liabilities and identifiable intangible assets. Goodwill is assessed at least annually. If possible impairment is likely, the Bank will utilize the assistance of an independent third party for impairment and any such impairment is recognized in the period identified. Periodically the Bank will have an independent third party assess the possibility of impairment of Goodwill. Such an assessment was performed as of September 30, 2017. The goodwill impairment analysis consisted of a first step goodwill impairment test which was used to identify potential impairment by comparing the fair value of the relevant reporting unity with its carrying value, including goodwill. The analysis was performed under guidance of FASB ASC</w:t>
      </w:r>
    </w:p>
    <w:p>
      <w:pPr>
        <w:spacing w:after="0" w:line="5" w:lineRule="exact"/>
        <w:rPr>
          <w:sz w:val="20"/>
          <w:szCs w:val="20"/>
          <w:color w:val="auto"/>
        </w:rPr>
      </w:pPr>
    </w:p>
    <w:p>
      <w:pPr>
        <w:jc w:val="both"/>
        <w:ind w:left="800" w:right="440" w:firstLine="7"/>
        <w:spacing w:after="0" w:line="302"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engagement would have expanded to the second step goodwill impairment valuation if necessary; however the findings showed the second step was not warranted. The analysis confirmed no impairment was likely. Therefore, the Bank concluded it is unlikely impairment of Goodwill has occurred from the goodwill established from the Bank’s acquisition which occurred on December 31, 2007.</w:t>
      </w:r>
    </w:p>
    <w:p>
      <w:pPr>
        <w:spacing w:after="0" w:line="47" w:lineRule="exact"/>
        <w:rPr>
          <w:sz w:val="20"/>
          <w:szCs w:val="20"/>
          <w:color w:val="auto"/>
        </w:rPr>
      </w:pPr>
    </w:p>
    <w:p>
      <w:pPr>
        <w:ind w:left="800" w:right="320"/>
        <w:spacing w:after="0" w:line="264" w:lineRule="auto"/>
        <w:rPr>
          <w:sz w:val="20"/>
          <w:szCs w:val="20"/>
          <w:color w:val="auto"/>
        </w:rPr>
      </w:pPr>
      <w:r>
        <w:rPr>
          <w:rFonts w:ascii="Arial" w:cs="Arial" w:eastAsia="Arial" w:hAnsi="Arial"/>
          <w:sz w:val="18"/>
          <w:szCs w:val="18"/>
          <w:color w:val="auto"/>
        </w:rPr>
        <w:t>Other intangible assets consist of core deposit intangible assets arising from business acquisitions. They are initially measured at fair value and then are amortized on a straight line method over their estimated useful lives and evaluated for impairment. These assets are included in other assets on the consolidated balance sheets.</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Off Balance Sheet Instruments</w:t>
      </w:r>
    </w:p>
    <w:p>
      <w:pPr>
        <w:spacing w:after="0" w:line="121" w:lineRule="exact"/>
        <w:rPr>
          <w:sz w:val="20"/>
          <w:szCs w:val="20"/>
          <w:color w:val="auto"/>
        </w:rPr>
      </w:pPr>
    </w:p>
    <w:p>
      <w:pPr>
        <w:ind w:left="800" w:right="940"/>
        <w:spacing w:after="0" w:line="342" w:lineRule="auto"/>
        <w:rPr>
          <w:sz w:val="20"/>
          <w:szCs w:val="20"/>
          <w:color w:val="auto"/>
        </w:rPr>
      </w:pPr>
      <w:r>
        <w:rPr>
          <w:rFonts w:ascii="Arial" w:cs="Arial" w:eastAsia="Arial" w:hAnsi="Arial"/>
          <w:sz w:val="16"/>
          <w:szCs w:val="16"/>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22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Foreclosed Real Estate</w:t>
      </w:r>
    </w:p>
    <w:p>
      <w:pPr>
        <w:spacing w:after="0" w:line="121" w:lineRule="exact"/>
        <w:rPr>
          <w:sz w:val="20"/>
          <w:szCs w:val="20"/>
          <w:color w:val="auto"/>
        </w:rPr>
      </w:pPr>
    </w:p>
    <w:p>
      <w:pPr>
        <w:ind w:left="800" w:right="60"/>
        <w:spacing w:after="0" w:line="273" w:lineRule="auto"/>
        <w:rPr>
          <w:sz w:val="20"/>
          <w:szCs w:val="20"/>
          <w:color w:val="auto"/>
        </w:rPr>
      </w:pPr>
      <w:r>
        <w:rPr>
          <w:rFonts w:ascii="Arial" w:cs="Arial" w:eastAsia="Arial" w:hAnsi="Arial"/>
          <w:sz w:val="17"/>
          <w:szCs w:val="17"/>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At December 31, the Bank’s holding of other real estate owned totaled $674 thousand and approximately $774 thousand for 2017 and 2016,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Bank Premises and Equipment</w:t>
      </w:r>
    </w:p>
    <w:p>
      <w:pPr>
        <w:spacing w:after="0" w:line="121"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Federal Income Tax</w:t>
      </w:r>
    </w:p>
    <w:p>
      <w:pPr>
        <w:spacing w:after="0" w:line="121" w:lineRule="exact"/>
        <w:rPr>
          <w:sz w:val="20"/>
          <w:szCs w:val="20"/>
          <w:color w:val="auto"/>
        </w:rPr>
      </w:pPr>
    </w:p>
    <w:p>
      <w:pPr>
        <w:ind w:left="800" w:right="220"/>
        <w:spacing w:after="0" w:line="257" w:lineRule="auto"/>
        <w:rPr>
          <w:sz w:val="20"/>
          <w:szCs w:val="20"/>
          <w:color w:val="auto"/>
        </w:rPr>
      </w:pPr>
      <w:r>
        <w:rPr>
          <w:rFonts w:ascii="Arial" w:cs="Arial" w:eastAsia="Arial" w:hAnsi="Arial"/>
          <w:sz w:val="18"/>
          <w:szCs w:val="18"/>
          <w:color w:val="auto"/>
        </w:rPr>
        <w:t>The Company’s income tax expense consists of the following components: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80" w:lineRule="exact"/>
        <w:rPr>
          <w:sz w:val="20"/>
          <w:szCs w:val="20"/>
          <w:color w:val="auto"/>
        </w:rPr>
      </w:pPr>
    </w:p>
    <w:p>
      <w:pPr>
        <w:ind w:left="800"/>
        <w:spacing w:after="0" w:line="270" w:lineRule="auto"/>
        <w:rPr>
          <w:sz w:val="20"/>
          <w:szCs w:val="20"/>
          <w:color w:val="auto"/>
        </w:rPr>
      </w:pPr>
      <w:r>
        <w:rPr>
          <w:rFonts w:ascii="Arial" w:cs="Arial" w:eastAsia="Arial" w:hAnsi="Arial"/>
          <w:sz w:val="17"/>
          <w:szCs w:val="17"/>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74" w:lineRule="exact"/>
        <w:rPr>
          <w:sz w:val="20"/>
          <w:szCs w:val="20"/>
          <w:color w:val="auto"/>
        </w:rPr>
      </w:pPr>
    </w:p>
    <w:p>
      <w:pPr>
        <w:ind w:left="800" w:right="60"/>
        <w:spacing w:after="0" w:line="264" w:lineRule="auto"/>
        <w:rPr>
          <w:sz w:val="20"/>
          <w:szCs w:val="20"/>
          <w:color w:val="auto"/>
        </w:rPr>
      </w:pPr>
      <w:r>
        <w:rPr>
          <w:rFonts w:ascii="Arial" w:cs="Arial" w:eastAsia="Arial" w:hAnsi="Arial"/>
          <w:sz w:val="18"/>
          <w:szCs w:val="18"/>
          <w:color w:val="auto"/>
        </w:rPr>
        <w:t>The Company recognizes interest and penalties, if any, related to unrecognized tax benefits in tax expense. Based on management’s analysis, the Company did not have any uncertain tax positions as of December 31, 2017 and 2016. With a few exceptions, the Company is no longer subject to U.S. Federal, state or local examinations by tax authorities for years before 2014.</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left="800" w:right="720"/>
        <w:spacing w:after="0" w:line="286" w:lineRule="auto"/>
        <w:rPr>
          <w:sz w:val="20"/>
          <w:szCs w:val="20"/>
          <w:color w:val="auto"/>
        </w:rPr>
      </w:pPr>
      <w:r>
        <w:rPr>
          <w:rFonts w:ascii="Arial" w:cs="Arial" w:eastAsia="Arial" w:hAnsi="Arial"/>
          <w:sz w:val="17"/>
          <w:szCs w:val="17"/>
          <w:color w:val="auto"/>
        </w:rPr>
        <w:t>Basic earnings per share represent income available to common stockholders divided by the weighted-average number of common shares outstanding during the period. On August 18, 2017, the Company’s Board of Directors authorized a two-for-one stock split payable on September 20, 2017, for shareholders of record on September 5, 2017. See Note 12 for additional information.</w:t>
      </w:r>
    </w:p>
    <w:p>
      <w:pPr>
        <w:spacing w:after="0" w:line="27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800" w:right="180"/>
        <w:spacing w:after="0" w:line="264" w:lineRule="auto"/>
        <w:rPr>
          <w:sz w:val="20"/>
          <w:szCs w:val="20"/>
          <w:color w:val="auto"/>
        </w:rPr>
      </w:pPr>
      <w:r>
        <w:rPr>
          <w:rFonts w:ascii="Arial" w:cs="Arial" w:eastAsia="Arial" w:hAnsi="Arial"/>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shares repurchased are recorded at market value on date of purchase.</w:t>
      </w:r>
    </w:p>
    <w:p>
      <w:pPr>
        <w:spacing w:after="0" w:line="3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Comprehensive Income (Loss)</w:t>
      </w:r>
    </w:p>
    <w:p>
      <w:pPr>
        <w:spacing w:after="0" w:line="121" w:lineRule="exact"/>
        <w:rPr>
          <w:sz w:val="20"/>
          <w:szCs w:val="20"/>
          <w:color w:val="auto"/>
        </w:rPr>
      </w:pPr>
    </w:p>
    <w:p>
      <w:pPr>
        <w:ind w:left="800" w:right="60"/>
        <w:spacing w:after="0" w:line="286" w:lineRule="auto"/>
        <w:rPr>
          <w:sz w:val="20"/>
          <w:szCs w:val="20"/>
          <w:color w:val="auto"/>
        </w:rPr>
      </w:pPr>
      <w:r>
        <w:rPr>
          <w:rFonts w:ascii="Arial" w:cs="Arial" w:eastAsia="Arial" w:hAnsi="Arial"/>
          <w:sz w:val="17"/>
          <w:szCs w:val="17"/>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5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other comprehensive income (loss) and related tax effects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160" w:type="dxa"/>
            <w:vAlign w:val="bottom"/>
          </w:tcPr>
          <w:p>
            <w:pPr>
              <w:spacing w:after="0"/>
              <w:rPr>
                <w:sz w:val="12"/>
                <w:szCs w:val="12"/>
                <w:color w:val="auto"/>
              </w:rPr>
            </w:pPr>
          </w:p>
        </w:tc>
        <w:tc>
          <w:tcPr>
            <w:tcW w:w="780" w:type="dxa"/>
            <w:vAlign w:val="bottom"/>
            <w:gridSpan w:val="2"/>
          </w:tcPr>
          <w:p>
            <w:pPr>
              <w:jc w:val="right"/>
              <w:ind w:right="50"/>
              <w:spacing w:after="0" w:line="142" w:lineRule="exact"/>
              <w:rPr>
                <w:sz w:val="20"/>
                <w:szCs w:val="20"/>
                <w:color w:val="auto"/>
              </w:rPr>
            </w:pPr>
            <w:r>
              <w:rPr>
                <w:rFonts w:ascii="Arial" w:cs="Arial" w:eastAsia="Arial" w:hAnsi="Arial"/>
                <w:sz w:val="14"/>
                <w:szCs w:val="14"/>
                <w:color w:val="auto"/>
              </w:rPr>
              <w:t>2016</w:t>
            </w:r>
          </w:p>
        </w:tc>
        <w:tc>
          <w:tcPr>
            <w:tcW w:w="3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gain (loss) on available-for-sale securities</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$267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$(2,721)</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Reclassification adjustment for gain on sale of available-for-sale securities</w:t>
            </w:r>
          </w:p>
        </w:tc>
        <w:tc>
          <w:tcPr>
            <w:tcW w:w="10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(588)</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Tax expense (benefit)</w:t>
            </w:r>
          </w:p>
        </w:tc>
        <w:tc>
          <w:tcPr>
            <w:tcW w:w="10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(1,125)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r>
      <w:tr>
        <w:trPr>
          <w:trHeight w:val="27"/>
        </w:trPr>
        <w:tc>
          <w:tcPr>
            <w:tcW w:w="6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(2,184)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(232)</w:t>
            </w:r>
          </w:p>
        </w:tc>
      </w:tr>
      <w:tr>
        <w:trPr>
          <w:trHeight w:val="20"/>
        </w:trPr>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800" w:right="480"/>
        <w:spacing w:after="0" w:line="277" w:lineRule="auto"/>
        <w:rPr>
          <w:sz w:val="20"/>
          <w:szCs w:val="20"/>
          <w:color w:val="auto"/>
        </w:rPr>
      </w:pPr>
      <w:r>
        <w:rPr>
          <w:rFonts w:ascii="Arial" w:cs="Arial" w:eastAsia="Arial" w:hAnsi="Arial"/>
          <w:sz w:val="18"/>
          <w:szCs w:val="18"/>
          <w:color w:val="auto"/>
        </w:rPr>
        <w:t>Certain amounts in the 2016 and 2015 consolidated financial statements have been reclassified to conform with the 2017 presentation. These reclassifications had no effect on net income.</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800" w:right="40"/>
        <w:spacing w:after="0" w:line="264" w:lineRule="auto"/>
        <w:rPr>
          <w:sz w:val="20"/>
          <w:szCs w:val="20"/>
          <w:color w:val="auto"/>
        </w:rPr>
      </w:pPr>
      <w:r>
        <w:rPr>
          <w:rFonts w:ascii="Arial" w:cs="Arial" w:eastAsia="Arial" w:hAnsi="Arial"/>
          <w:sz w:val="18"/>
          <w:szCs w:val="18"/>
          <w:color w:val="auto"/>
        </w:rPr>
        <w:t>On January 19, 2018, the Company announced the authorization by its Board of Directors for the Company’s repurchase, either on the open market, or in privately negotiated transactions, of up to 400,000 shares of its outstanding common stock commencing January 19, 2018 and ending December 31, 2018.</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800" w:right="60"/>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requires that an entity recognize revenue to depict the transfer of promised goods or services to customers in an amount that reflects the consideration to which the entity expects to be entitled in exchange for those goods and services. On July 9, 2015, the FASB approved amendments deferring the effective date by one year. ASU 2014-09 is now effective for annual reporting periods beginning after December 15, 2017, including interim periods within that reporting period. The amendments can be applied retrospectively to each prior reporting period or retrospectively with the cumulative effect of initially applying this Update recognized at the date of initial application. Early application was permitted but not before the original public entity effective date, </w:t>
      </w:r>
      <w:r>
        <w:rPr>
          <w:rFonts w:ascii="Arial" w:cs="Arial" w:eastAsia="Arial" w:hAnsi="Arial"/>
          <w:sz w:val="17"/>
          <w:szCs w:val="17"/>
          <w:i w:val="1"/>
          <w:iCs w:val="1"/>
          <w:color w:val="auto"/>
        </w:rPr>
        <w:t>i.e</w:t>
      </w:r>
      <w:r>
        <w:rPr>
          <w:rFonts w:ascii="Arial" w:cs="Arial" w:eastAsia="Arial" w:hAnsi="Arial"/>
          <w:sz w:val="17"/>
          <w:szCs w:val="17"/>
          <w:color w:val="auto"/>
        </w:rPr>
        <w:t>., annual periods beginning after December 15, 2016. The Company has determined, based on analysis performed, that ASU No 2014-09 will not have a significant impact on its financial statements. Several of the Company’s revenue streams are scoped out of the standard. However, there will be some additional disclosures that will be required.</w:t>
      </w:r>
    </w:p>
    <w:p>
      <w:pPr>
        <w:spacing w:after="0" w:line="74" w:lineRule="exact"/>
        <w:rPr>
          <w:sz w:val="20"/>
          <w:szCs w:val="20"/>
          <w:color w:val="auto"/>
        </w:rPr>
      </w:pPr>
    </w:p>
    <w:p>
      <w:pPr>
        <w:ind w:left="800" w:right="60"/>
        <w:spacing w:after="0" w:line="259" w:lineRule="auto"/>
        <w:rPr>
          <w:sz w:val="20"/>
          <w:szCs w:val="20"/>
          <w:color w:val="auto"/>
        </w:rPr>
      </w:pPr>
      <w:r>
        <w:rPr>
          <w:rFonts w:ascii="Arial" w:cs="Arial" w:eastAsia="Arial" w:hAnsi="Arial"/>
          <w:sz w:val="18"/>
          <w:szCs w:val="18"/>
          <w:color w:val="auto"/>
        </w:rPr>
        <w:t>In January 2016, the Financial Accounting Standards Board (FASB) issued ASU No.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ASU 2016-01 is intended to improve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instruments by requiring equity investments to be measured at fair value with changes in fair value recognized in net income;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62" w:lineRule="exact"/>
        <w:rPr>
          <w:sz w:val="20"/>
          <w:szCs w:val="20"/>
          <w:color w:val="auto"/>
        </w:rPr>
      </w:pPr>
    </w:p>
    <w:p>
      <w:pPr>
        <w:ind w:left="800"/>
        <w:spacing w:after="0" w:line="269" w:lineRule="auto"/>
        <w:rPr>
          <w:sz w:val="20"/>
          <w:szCs w:val="20"/>
          <w:color w:val="auto"/>
        </w:rPr>
      </w:pPr>
      <w:r>
        <w:rPr>
          <w:rFonts w:ascii="Arial" w:cs="Arial" w:eastAsia="Arial" w:hAnsi="Arial"/>
          <w:sz w:val="17"/>
          <w:szCs w:val="17"/>
          <w:color w:val="auto"/>
        </w:rPr>
        <w:t>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is assessing the impact of ASU 2016-01 on its accounting and disclosures. We will fully implement in first quarter 2018 as we work with third party vendors.</w:t>
      </w:r>
    </w:p>
    <w:p>
      <w:pPr>
        <w:spacing w:after="0" w:line="72" w:lineRule="exact"/>
        <w:rPr>
          <w:sz w:val="20"/>
          <w:szCs w:val="20"/>
          <w:color w:val="auto"/>
        </w:rPr>
      </w:pPr>
    </w:p>
    <w:p>
      <w:pPr>
        <w:ind w:left="800" w:right="100"/>
        <w:spacing w:after="0" w:line="270"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70" w:lineRule="exact"/>
        <w:rPr>
          <w:sz w:val="20"/>
          <w:szCs w:val="20"/>
          <w:color w:val="auto"/>
        </w:rPr>
      </w:pPr>
    </w:p>
    <w:p>
      <w:pPr>
        <w:ind w:left="800" w:right="60"/>
        <w:spacing w:after="0" w:line="270" w:lineRule="auto"/>
        <w:rPr>
          <w:sz w:val="20"/>
          <w:szCs w:val="20"/>
          <w:color w:val="auto"/>
        </w:rPr>
      </w:pPr>
      <w:r>
        <w:rPr>
          <w:rFonts w:ascii="Arial" w:cs="Arial" w:eastAsia="Arial" w:hAnsi="Arial"/>
          <w:sz w:val="17"/>
          <w:szCs w:val="17"/>
          <w:color w:val="auto"/>
        </w:rPr>
        <w:t>In June 2016, FASB issued 2016-13, Financial Instruments—Credit Losses (Topic 326): Measurement of Credit Losses on Financial Instruments. The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70" w:lineRule="exact"/>
        <w:rPr>
          <w:sz w:val="20"/>
          <w:szCs w:val="20"/>
          <w:color w:val="auto"/>
        </w:rPr>
      </w:pPr>
    </w:p>
    <w:p>
      <w:pPr>
        <w:ind w:left="800" w:right="180"/>
        <w:spacing w:after="0" w:line="273" w:lineRule="auto"/>
        <w:rPr>
          <w:sz w:val="20"/>
          <w:szCs w:val="20"/>
          <w:color w:val="auto"/>
        </w:rPr>
      </w:pPr>
      <w:r>
        <w:rPr>
          <w:rFonts w:ascii="Arial" w:cs="Arial" w:eastAsia="Arial" w:hAnsi="Arial"/>
          <w:sz w:val="17"/>
          <w:szCs w:val="17"/>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 At this time an additional external advisor has not been contracted, though the Bank has been reviewing the use of external software.</w:t>
      </w:r>
    </w:p>
    <w:p>
      <w:pPr>
        <w:spacing w:after="0" w:line="70" w:lineRule="exact"/>
        <w:rPr>
          <w:sz w:val="20"/>
          <w:szCs w:val="20"/>
          <w:color w:val="auto"/>
        </w:rPr>
      </w:pPr>
    </w:p>
    <w:p>
      <w:pPr>
        <w:ind w:left="800" w:right="260"/>
        <w:spacing w:after="0" w:line="259" w:lineRule="auto"/>
        <w:rPr>
          <w:sz w:val="20"/>
          <w:szCs w:val="20"/>
          <w:color w:val="auto"/>
        </w:rPr>
      </w:pPr>
      <w:r>
        <w:rPr>
          <w:rFonts w:ascii="Arial" w:cs="Arial" w:eastAsia="Arial" w:hAnsi="Arial"/>
          <w:sz w:val="18"/>
          <w:szCs w:val="18"/>
          <w:color w:val="auto"/>
        </w:rPr>
        <w:t>In November 2016, the FASB issued ASU No. 2016-18 “</w:t>
      </w:r>
      <w:r>
        <w:rPr>
          <w:rFonts w:ascii="Arial" w:cs="Arial" w:eastAsia="Arial" w:hAnsi="Arial"/>
          <w:sz w:val="18"/>
          <w:szCs w:val="18"/>
          <w:i w:val="1"/>
          <w:iCs w:val="1"/>
          <w:color w:val="auto"/>
        </w:rPr>
        <w:t>Statement of Cash Flows (Topic 230) – Restricted Cash.”</w:t>
      </w:r>
      <w:r>
        <w:rPr>
          <w:rFonts w:ascii="Arial" w:cs="Arial" w:eastAsia="Arial" w:hAnsi="Arial"/>
          <w:sz w:val="18"/>
          <w:szCs w:val="18"/>
          <w:color w:val="auto"/>
        </w:rPr>
        <w:t xml:space="preserve"> 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62" w:lineRule="exact"/>
        <w:rPr>
          <w:sz w:val="20"/>
          <w:szCs w:val="20"/>
          <w:color w:val="auto"/>
        </w:rPr>
      </w:pPr>
    </w:p>
    <w:p>
      <w:pPr>
        <w:jc w:val="both"/>
        <w:ind w:left="800" w:right="300"/>
        <w:spacing w:after="0" w:line="312" w:lineRule="auto"/>
        <w:rPr>
          <w:sz w:val="20"/>
          <w:szCs w:val="20"/>
          <w:color w:val="auto"/>
        </w:rPr>
      </w:pPr>
      <w:r>
        <w:rPr>
          <w:rFonts w:ascii="Arial" w:cs="Arial" w:eastAsia="Arial" w:hAnsi="Arial"/>
          <w:sz w:val="16"/>
          <w:szCs w:val="16"/>
          <w:color w:val="auto"/>
        </w:rPr>
        <w:t>December 15, 2017, and interim periods within those fiscal years and should be applied using a retrospective transition method to each period presented. Early adoption is permitted including adoption in an interim period. The Company has assessed ASU 2016-18 and does not expect a material impact on its accounting and disclosures as it currently does not have what would be considered “Restricted cash” at this time.</w:t>
      </w:r>
    </w:p>
    <w:p>
      <w:pPr>
        <w:spacing w:after="0" w:line="39" w:lineRule="exact"/>
        <w:rPr>
          <w:sz w:val="20"/>
          <w:szCs w:val="20"/>
          <w:color w:val="auto"/>
        </w:rPr>
      </w:pPr>
    </w:p>
    <w:p>
      <w:pPr>
        <w:ind w:left="800" w:right="80"/>
        <w:spacing w:after="0" w:line="273" w:lineRule="auto"/>
        <w:rPr>
          <w:sz w:val="20"/>
          <w:szCs w:val="20"/>
          <w:color w:val="auto"/>
        </w:rPr>
      </w:pPr>
      <w:r>
        <w:rPr>
          <w:rFonts w:ascii="Arial" w:cs="Arial" w:eastAsia="Arial" w:hAnsi="Arial"/>
          <w:sz w:val="17"/>
          <w:szCs w:val="17"/>
          <w:color w:val="auto"/>
        </w:rPr>
        <w:t>In January 2017, the FASB issued ASU No. 2017-01 “</w:t>
      </w:r>
      <w:r>
        <w:rPr>
          <w:rFonts w:ascii="Arial" w:cs="Arial" w:eastAsia="Arial" w:hAnsi="Arial"/>
          <w:sz w:val="17"/>
          <w:szCs w:val="17"/>
          <w:i w:val="1"/>
          <w:iCs w:val="1"/>
          <w:color w:val="auto"/>
        </w:rPr>
        <w:t>Business Combinations (Topic 805) – Clarifying the Definition of a Business.”</w:t>
      </w:r>
      <w:r>
        <w:rPr>
          <w:rFonts w:ascii="Arial" w:cs="Arial" w:eastAsia="Arial" w:hAnsi="Arial"/>
          <w:sz w:val="17"/>
          <w:szCs w:val="17"/>
          <w:color w:val="auto"/>
        </w:rPr>
        <w:t xml:space="preserve"> 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assessed ASU 2017-01 and does not expect it to have a material impact on its accounting and disclosures.</w:t>
      </w:r>
    </w:p>
    <w:p>
      <w:pPr>
        <w:spacing w:after="0" w:line="70" w:lineRule="exact"/>
        <w:rPr>
          <w:sz w:val="20"/>
          <w:szCs w:val="20"/>
          <w:color w:val="auto"/>
        </w:rPr>
      </w:pPr>
    </w:p>
    <w:p>
      <w:pPr>
        <w:ind w:left="800"/>
        <w:spacing w:after="0" w:line="270"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 An independent third party performed step 1 of the testing in 2017 and the company will perform a self-assessment in the next year.</w:t>
      </w:r>
    </w:p>
    <w:p>
      <w:pPr>
        <w:spacing w:after="0" w:line="74" w:lineRule="exact"/>
        <w:rPr>
          <w:sz w:val="20"/>
          <w:szCs w:val="20"/>
          <w:color w:val="auto"/>
        </w:rPr>
      </w:pPr>
    </w:p>
    <w:p>
      <w:pPr>
        <w:ind w:left="800" w:right="40"/>
        <w:spacing w:after="0" w:line="287" w:lineRule="auto"/>
        <w:rPr>
          <w:sz w:val="20"/>
          <w:szCs w:val="20"/>
          <w:color w:val="auto"/>
        </w:rPr>
      </w:pPr>
      <w:r>
        <w:rPr>
          <w:rFonts w:ascii="Arial" w:cs="Arial" w:eastAsia="Arial" w:hAnsi="Arial"/>
          <w:sz w:val="16"/>
          <w:szCs w:val="16"/>
          <w:color w:val="auto"/>
        </w:rPr>
        <w:t xml:space="preserve">In March 2017, the FASB issued Accounting Standards Update (ASU) No. 2017-08 </w:t>
      </w:r>
      <w:r>
        <w:rPr>
          <w:rFonts w:ascii="Arial" w:cs="Arial" w:eastAsia="Arial" w:hAnsi="Arial"/>
          <w:sz w:val="16"/>
          <w:szCs w:val="16"/>
          <w:i w:val="1"/>
          <w:iCs w:val="1"/>
          <w:color w:val="auto"/>
        </w:rPr>
        <w:t>“Receivables – Nonrefundable Fees and Other Cost (Subtopic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310-20), Premium Amortization on Purchased Callable Debit Securities.” </w:t>
      </w:r>
      <w:r>
        <w:rPr>
          <w:rFonts w:ascii="Arial" w:cs="Arial" w:eastAsia="Arial" w:hAnsi="Arial"/>
          <w:sz w:val="16"/>
          <w:szCs w:val="16"/>
          <w:color w:val="auto"/>
        </w:rPr>
        <w:t>These amendments shorten the amortization period for certain callable</w:t>
      </w:r>
      <w:r>
        <w:rPr>
          <w:rFonts w:ascii="Arial" w:cs="Arial" w:eastAsia="Arial" w:hAnsi="Arial"/>
          <w:sz w:val="16"/>
          <w:szCs w:val="16"/>
          <w:i w:val="1"/>
          <w:iCs w:val="1"/>
          <w:color w:val="auto"/>
        </w:rPr>
        <w:t xml:space="preserve"> </w:t>
      </w:r>
      <w:r>
        <w:rPr>
          <w:rFonts w:ascii="Arial" w:cs="Arial" w:eastAsia="Arial" w:hAnsi="Arial"/>
          <w:sz w:val="16"/>
          <w:szCs w:val="16"/>
          <w:color w:val="auto"/>
        </w:rPr>
        <w:t>debit securities held at a premium. 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does plan to choose early adoption of this standard as of January 1, 2018. Overall, the impact to the Company is not material. Just over $30 thousand of accelerated amortization expense will be booked and the adjustment run through retained earnings. This will not alter the Bank or Company’s well capitalized status. The Bank’s Municipal Tax-Exempt category of securities was the only category affected by the adoption.</w:t>
      </w:r>
    </w:p>
    <w:p>
      <w:pPr>
        <w:spacing w:after="0" w:line="65" w:lineRule="exact"/>
        <w:rPr>
          <w:sz w:val="20"/>
          <w:szCs w:val="20"/>
          <w:color w:val="auto"/>
        </w:rPr>
      </w:pPr>
    </w:p>
    <w:p>
      <w:pPr>
        <w:ind w:left="800"/>
        <w:spacing w:after="0" w:line="290" w:lineRule="auto"/>
        <w:rPr>
          <w:sz w:val="20"/>
          <w:szCs w:val="20"/>
          <w:color w:val="auto"/>
        </w:rPr>
      </w:pPr>
      <w:r>
        <w:rPr>
          <w:rFonts w:ascii="Arial" w:cs="Arial" w:eastAsia="Arial" w:hAnsi="Arial"/>
          <w:sz w:val="16"/>
          <w:szCs w:val="16"/>
          <w:color w:val="auto"/>
        </w:rPr>
        <w:t>In May 2017, the Financial Accounting Standards Board (FASB) issued Accounting Standards Update (ASU) No. 2017-09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Scope of Modification Accounting.” </w:t>
      </w:r>
      <w:r>
        <w:rPr>
          <w:rFonts w:ascii="Arial" w:cs="Arial" w:eastAsia="Arial" w:hAnsi="Arial"/>
          <w:sz w:val="16"/>
          <w:szCs w:val="16"/>
          <w:color w:val="auto"/>
        </w:rPr>
        <w:t>These amendments provide guidance on determining which changes to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conditions of share-based payment awards require an entity to apply modification accounting under Topic 7l8. The guidance is effective for public business entities for fiscal years, and interim periods within those fiscal years, beginning after December 15, 2017. Early adoption is permitted, including adoption in an interim period. The amendments should be applied on a prospective basis to an award modified on or after the adoption date. The Company adopted ASU 2016-09 on January 1, 2017. ASU 2016-09 also requires that companies make an accounting policy election regarding forfeitures, to either estimate the number of awards that are expected to vest or account for them when they occur. The impact of this change and that of the remaining provisions of ASU 2016-09 did not have a significant impact on our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162" w:lineRule="exact"/>
        <w:rPr>
          <w:sz w:val="20"/>
          <w:szCs w:val="20"/>
          <w:color w:val="auto"/>
        </w:rPr>
      </w:pPr>
    </w:p>
    <w:p>
      <w:pPr>
        <w:ind w:left="800"/>
        <w:spacing w:after="0" w:line="276" w:lineRule="auto"/>
        <w:rPr>
          <w:sz w:val="20"/>
          <w:szCs w:val="20"/>
          <w:color w:val="auto"/>
        </w:rPr>
      </w:pPr>
      <w:r>
        <w:rPr>
          <w:rFonts w:ascii="Arial" w:cs="Arial" w:eastAsia="Arial" w:hAnsi="Arial"/>
          <w:sz w:val="17"/>
          <w:szCs w:val="17"/>
          <w:color w:val="auto"/>
        </w:rPr>
        <w:t>In December 2017, President Trump signed into law a tax reform act. Under the current accounting guidance in Accounting Standards Codification (ASC) 740, Income Taxes, the Company and its subsidiaries were required to account for the effect of the change in income tax rates and deferred balances in the period when the legislation is enacted which was December 2017. The adjustment of the deferred tax assets was less than $8 thousand on a consolidated basis. The Company is currently waiting to evaluate FASB’s possible accounting rule regarding treatment of the remaining stranded tax effects. The Company will choose to adopt such treatment as of January 1,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w:t>
      </w:r>
    </w:p>
    <w:p>
      <w:pPr>
        <w:spacing w:after="0" w:line="121" w:lineRule="exact"/>
        <w:rPr>
          <w:sz w:val="20"/>
          <w:szCs w:val="20"/>
          <w:color w:val="auto"/>
        </w:rPr>
      </w:pPr>
    </w:p>
    <w:p>
      <w:pPr>
        <w:ind w:left="800" w:right="140"/>
        <w:spacing w:after="0" w:line="259" w:lineRule="auto"/>
        <w:rPr>
          <w:sz w:val="20"/>
          <w:szCs w:val="20"/>
          <w:color w:val="auto"/>
        </w:rPr>
      </w:pPr>
      <w:r>
        <w:rPr>
          <w:rFonts w:ascii="Arial" w:cs="Arial" w:eastAsia="Arial" w:hAnsi="Arial"/>
          <w:sz w:val="18"/>
          <w:szCs w:val="18"/>
          <w:color w:val="auto"/>
        </w:rPr>
        <w:t>The Company recognized core deposit intangible assets of $2.26 million with the purchase of offices. $1.17 million was recognized with the purchase of the Custar office on December 13, 2013 and $1.09 million with the Hicksville office on July 9, 2010. These are being amortized over an estimated remaining economic useful life of the deposits of 7 years on a straight line basis. The core deposit intangible is included in other assets on the consolidated balance sheets.</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amortization expense for the years ended December 31, 2017, 2016 and 2015 was $245, $323, and $323 thousand, respectively.</w:t>
      </w:r>
    </w:p>
    <w:p>
      <w:pPr>
        <w:spacing w:after="0" w:line="1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Amortization expense of the core deposit intangible assets remaining is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8240" w:type="dxa"/>
            <w:vAlign w:val="bottom"/>
          </w:tcPr>
          <w:p>
            <w:pPr>
              <w:spacing w:after="0"/>
              <w:rPr>
                <w:sz w:val="14"/>
                <w:szCs w:val="14"/>
                <w:color w:val="auto"/>
              </w:rPr>
            </w:pPr>
          </w:p>
        </w:tc>
        <w:tc>
          <w:tcPr>
            <w:tcW w:w="440" w:type="dxa"/>
            <w:vAlign w:val="bottom"/>
            <w:gridSpan w:val="3"/>
          </w:tcPr>
          <w:p>
            <w:pPr>
              <w:spacing w:after="0"/>
              <w:rPr>
                <w:sz w:val="20"/>
                <w:szCs w:val="20"/>
                <w:color w:val="auto"/>
              </w:rPr>
            </w:pPr>
            <w:r>
              <w:rPr>
                <w:rFonts w:ascii="Arial" w:cs="Arial" w:eastAsia="Arial" w:hAnsi="Arial"/>
                <w:sz w:val="14"/>
                <w:szCs w:val="14"/>
                <w:color w:val="auto"/>
              </w:rPr>
              <w:t>Custar</w:t>
            </w:r>
          </w:p>
        </w:tc>
      </w:tr>
      <w:tr>
        <w:trPr>
          <w:trHeight w:val="210"/>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2019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495</w:t>
            </w:r>
          </w:p>
        </w:tc>
        <w:tc>
          <w:tcPr>
            <w:tcW w:w="60" w:type="dxa"/>
            <w:vAlign w:val="bottom"/>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amortized cost and fair value of securities, with gross unrealized gains and losses,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2017</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4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500"/>
              <w:spacing w:after="0" w:line="123" w:lineRule="exact"/>
              <w:rPr>
                <w:sz w:val="20"/>
                <w:szCs w:val="20"/>
                <w:color w:val="auto"/>
              </w:rPr>
            </w:pPr>
            <w:r>
              <w:rPr>
                <w:rFonts w:ascii="Arial" w:cs="Arial" w:eastAsia="Arial" w:hAnsi="Arial"/>
                <w:sz w:val="14"/>
                <w:szCs w:val="14"/>
                <w:color w:val="auto"/>
                <w:w w:val="96"/>
              </w:rPr>
              <w:t>Gross</w:t>
            </w:r>
          </w:p>
        </w:tc>
        <w:tc>
          <w:tcPr>
            <w:tcW w:w="10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9"/>
              </w:rPr>
              <w:t>Fair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8"/>
              </w:rPr>
              <w:t>Amortized</w:t>
            </w:r>
          </w:p>
        </w:tc>
        <w:tc>
          <w:tcPr>
            <w:tcW w:w="20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w w:val="89"/>
              </w:rPr>
              <w:t>Unrealized</w:t>
            </w:r>
          </w:p>
        </w:tc>
        <w:tc>
          <w:tcPr>
            <w:tcW w:w="3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Market</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Cost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3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21,219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20,978</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82,198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80,466</w:t>
            </w:r>
          </w:p>
        </w:tc>
        <w:tc>
          <w:tcPr>
            <w:tcW w:w="0" w:type="dxa"/>
            <w:vAlign w:val="bottom"/>
          </w:tcPr>
          <w:p>
            <w:pPr>
              <w:spacing w:after="0"/>
              <w:rPr>
                <w:sz w:val="1"/>
                <w:szCs w:val="1"/>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40,236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39,510</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3"/>
              </w:rPr>
              <w:t>437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55,444</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3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199,165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501</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196,398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520" w:type="dxa"/>
            <w:vAlign w:val="bottom"/>
            <w:vMerge w:val="restart"/>
          </w:tcPr>
          <w:p>
            <w:pPr>
              <w:jc w:val="right"/>
              <w:ind w:right="165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color w:val="auto"/>
                <w:w w:val="93"/>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3"/>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Gross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580"/>
              <w:spacing w:after="0" w:line="123" w:lineRule="exact"/>
              <w:rPr>
                <w:sz w:val="20"/>
                <w:szCs w:val="20"/>
                <w:color w:val="auto"/>
              </w:rPr>
            </w:pPr>
            <w:r>
              <w:rPr>
                <w:rFonts w:ascii="Arial" w:cs="Arial" w:eastAsia="Arial" w:hAnsi="Arial"/>
                <w:sz w:val="14"/>
                <w:szCs w:val="14"/>
                <w:color w:val="auto"/>
                <w:w w:val="96"/>
              </w:rPr>
              <w:t>Gross</w:t>
            </w:r>
          </w:p>
        </w:tc>
        <w:tc>
          <w:tcPr>
            <w:tcW w:w="100" w:type="dxa"/>
            <w:vAlign w:val="bottom"/>
          </w:tcPr>
          <w:p>
            <w:pPr>
              <w:spacing w:after="0"/>
              <w:rPr>
                <w:sz w:val="10"/>
                <w:szCs w:val="10"/>
                <w:color w:val="auto"/>
              </w:rPr>
            </w:pPr>
          </w:p>
        </w:tc>
        <w:tc>
          <w:tcPr>
            <w:tcW w:w="580" w:type="dxa"/>
            <w:vAlign w:val="bottom"/>
          </w:tcPr>
          <w:p>
            <w:pPr>
              <w:jc w:val="center"/>
              <w:ind w:right="17"/>
              <w:spacing w:after="0" w:line="123" w:lineRule="exact"/>
              <w:rPr>
                <w:sz w:val="20"/>
                <w:szCs w:val="20"/>
                <w:color w:val="auto"/>
              </w:rPr>
            </w:pPr>
            <w:r>
              <w:rPr>
                <w:rFonts w:ascii="Arial" w:cs="Arial" w:eastAsia="Arial" w:hAnsi="Arial"/>
                <w:sz w:val="14"/>
                <w:szCs w:val="14"/>
                <w:color w:val="auto"/>
                <w:w w:val="99"/>
              </w:rPr>
              <w:t>Fair</w:t>
            </w:r>
          </w:p>
        </w:tc>
        <w:tc>
          <w:tcPr>
            <w:tcW w:w="60" w:type="dxa"/>
            <w:vAlign w:val="bottom"/>
          </w:tcPr>
          <w:p>
            <w:pPr>
              <w:spacing w:after="0"/>
              <w:rPr>
                <w:sz w:val="10"/>
                <w:szCs w:val="10"/>
                <w:color w:val="auto"/>
              </w:rPr>
            </w:pPr>
          </w:p>
        </w:tc>
      </w:tr>
      <w:tr>
        <w:trPr>
          <w:trHeight w:val="149"/>
        </w:trPr>
        <w:tc>
          <w:tcPr>
            <w:tcW w:w="64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8"/>
              </w:rPr>
              <w:t>Amortized</w:t>
            </w:r>
          </w:p>
        </w:tc>
        <w:tc>
          <w:tcPr>
            <w:tcW w:w="4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color w:val="auto"/>
                <w:w w:val="98"/>
              </w:rPr>
              <w:t>Unrealized</w:t>
            </w:r>
          </w:p>
        </w:tc>
        <w:tc>
          <w:tcPr>
            <w:tcW w:w="3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8"/>
              </w:rPr>
              <w:t>Market</w:t>
            </w:r>
          </w:p>
        </w:tc>
      </w:tr>
      <w:tr>
        <w:trPr>
          <w:trHeight w:val="167"/>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Cost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color w:val="auto"/>
              </w:rPr>
              <w:t>Gains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w w:val="90"/>
              </w:rPr>
              <w:t>Losses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U.S. Treasury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24,920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24,775</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82,474</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49,155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48,461</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 and local governments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63,173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62,817</w:t>
            </w: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221,514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218,527</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800" w:right="140"/>
        <w:spacing w:after="0" w:line="342" w:lineRule="auto"/>
        <w:rPr>
          <w:sz w:val="20"/>
          <w:szCs w:val="20"/>
          <w:color w:val="auto"/>
        </w:rPr>
      </w:pPr>
      <w:r>
        <w:rPr>
          <w:rFonts w:ascii="Arial" w:cs="Arial" w:eastAsia="Arial" w:hAnsi="Arial"/>
          <w:sz w:val="16"/>
          <w:szCs w:val="16"/>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an other than temporary impairment.</w:t>
      </w:r>
    </w:p>
    <w:p>
      <w:pPr>
        <w:spacing w:after="0" w:line="29" w:lineRule="exact"/>
        <w:rPr>
          <w:sz w:val="20"/>
          <w:szCs w:val="20"/>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30" w:lineRule="exact"/>
        <w:rPr>
          <w:rFonts w:ascii="Arial" w:cs="Arial" w:eastAsia="Arial" w:hAnsi="Arial"/>
          <w:sz w:val="18"/>
          <w:szCs w:val="18"/>
          <w:color w:val="auto"/>
        </w:rPr>
      </w:pPr>
    </w:p>
    <w:p>
      <w:pPr>
        <w:ind w:left="1920" w:right="660" w:hanging="440"/>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30" w:lineRule="exact"/>
        <w:rPr>
          <w:rFonts w:ascii="Arial" w:cs="Arial" w:eastAsia="Arial" w:hAnsi="Arial"/>
          <w:sz w:val="18"/>
          <w:szCs w:val="18"/>
          <w:color w:val="auto"/>
        </w:rPr>
      </w:pPr>
    </w:p>
    <w:p>
      <w:pPr>
        <w:ind w:left="1920" w:right="640" w:hanging="440"/>
        <w:spacing w:after="0" w:line="277" w:lineRule="auto"/>
        <w:tabs>
          <w:tab w:leader="none" w:pos="1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62" w:lineRule="exact"/>
        <w:rPr>
          <w:sz w:val="20"/>
          <w:szCs w:val="20"/>
          <w:color w:val="auto"/>
        </w:rPr>
      </w:pPr>
    </w:p>
    <w:p>
      <w:pPr>
        <w:ind w:left="800" w:right="12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80"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Information pertaining to securities with gross unrealized losses at December 31, 2017 and 2016, aggregated by investment category and length of time that individual securities have been in a continuous loss position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5"/>
          </w:tcPr>
          <w:p>
            <w:pPr>
              <w:jc w:val="right"/>
              <w:ind w:right="380"/>
              <w:spacing w:after="0" w:line="123"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tcPr>
          <w:p>
            <w:pPr>
              <w:jc w:val="right"/>
              <w:ind w:right="330"/>
              <w:spacing w:after="0" w:line="123" w:lineRule="exact"/>
              <w:rPr>
                <w:sz w:val="20"/>
                <w:szCs w:val="20"/>
                <w:color w:val="auto"/>
              </w:rPr>
            </w:pPr>
            <w:r>
              <w:rPr>
                <w:rFonts w:ascii="Arial" w:cs="Arial" w:eastAsia="Arial" w:hAnsi="Arial"/>
                <w:sz w:val="14"/>
                <w:szCs w:val="14"/>
                <w:color w:val="auto"/>
              </w:rPr>
              <w:t>(In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color w:val="auto"/>
                <w:w w:val="95"/>
              </w:rPr>
              <w:t>Less Than Twelve Months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240"/>
              <w:spacing w:after="0"/>
              <w:rPr>
                <w:sz w:val="20"/>
                <w:szCs w:val="20"/>
                <w:color w:val="auto"/>
              </w:rPr>
            </w:pPr>
            <w:r>
              <w:rPr>
                <w:rFonts w:ascii="Arial" w:cs="Arial" w:eastAsia="Arial" w:hAnsi="Arial"/>
                <w:sz w:val="14"/>
                <w:szCs w:val="14"/>
                <w:color w:val="auto"/>
              </w:rPr>
              <w:t>Twelve Months &amp; Over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540"/>
              <w:spacing w:after="0" w:line="123" w:lineRule="exact"/>
              <w:rPr>
                <w:sz w:val="20"/>
                <w:szCs w:val="20"/>
                <w:color w:val="auto"/>
              </w:rPr>
            </w:pPr>
            <w:r>
              <w:rPr>
                <w:rFonts w:ascii="Arial" w:cs="Arial" w:eastAsia="Arial" w:hAnsi="Arial"/>
                <w:sz w:val="14"/>
                <w:szCs w:val="14"/>
                <w:color w:val="auto"/>
                <w:w w:val="96"/>
              </w:rPr>
              <w:t>Gross</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560"/>
              <w:spacing w:after="0" w:line="123" w:lineRule="exact"/>
              <w:rPr>
                <w:sz w:val="20"/>
                <w:szCs w:val="20"/>
                <w:color w:val="auto"/>
              </w:rPr>
            </w:pPr>
            <w:r>
              <w:rPr>
                <w:rFonts w:ascii="Arial" w:cs="Arial" w:eastAsia="Arial" w:hAnsi="Arial"/>
                <w:sz w:val="14"/>
                <w:szCs w:val="14"/>
                <w:color w:val="auto"/>
                <w:w w:val="96"/>
              </w:rPr>
              <w:t>Gross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Fair</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auto"/>
              </w:rPr>
              <w:t>Value</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Losses</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2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27,328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24,999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available-for-sales securities</w:t>
            </w:r>
          </w:p>
        </w:tc>
        <w:tc>
          <w:tcPr>
            <w:tcW w:w="268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66,400</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106,840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580" w:type="dxa"/>
            <w:vAlign w:val="bottom"/>
            <w:vMerge w:val="restart"/>
          </w:tcPr>
          <w:p>
            <w:pPr>
              <w:jc w:val="right"/>
              <w:ind w:right="970"/>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-977265</wp:posOffset>
            </wp:positionV>
            <wp:extent cx="260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gridSpan w:val="5"/>
          </w:tcPr>
          <w:p>
            <w:pPr>
              <w:jc w:val="right"/>
              <w:ind w:right="900"/>
              <w:spacing w:after="0" w:line="123" w:lineRule="exact"/>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0"/>
                <w:szCs w:val="10"/>
                <w:color w:val="auto"/>
              </w:rPr>
            </w:pPr>
          </w:p>
        </w:tc>
        <w:tc>
          <w:tcPr>
            <w:tcW w:w="1520" w:type="dxa"/>
            <w:vAlign w:val="bottom"/>
            <w:gridSpan w:val="3"/>
          </w:tcPr>
          <w:p>
            <w:pPr>
              <w:jc w:val="center"/>
              <w:ind w:right="35"/>
              <w:spacing w:after="0" w:line="123" w:lineRule="exact"/>
              <w:rPr>
                <w:sz w:val="20"/>
                <w:szCs w:val="20"/>
                <w:color w:val="auto"/>
              </w:rPr>
            </w:pPr>
            <w:r>
              <w:rPr>
                <w:rFonts w:ascii="Arial" w:cs="Arial" w:eastAsia="Arial" w:hAnsi="Arial"/>
                <w:sz w:val="14"/>
                <w:szCs w:val="14"/>
                <w:color w:val="auto"/>
                <w:w w:val="93"/>
              </w:rPr>
              <w:t>(In Thousands)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color w:val="auto"/>
              </w:rPr>
              <w:t>Less Than Twelve Months</w:t>
            </w:r>
          </w:p>
        </w:tc>
        <w:tc>
          <w:tcPr>
            <w:tcW w:w="120" w:type="dxa"/>
            <w:vAlign w:val="bottom"/>
          </w:tcPr>
          <w:p>
            <w:pPr>
              <w:spacing w:after="0"/>
              <w:rPr>
                <w:sz w:val="14"/>
                <w:szCs w:val="14"/>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4"/>
                <w:szCs w:val="14"/>
                <w:color w:val="auto"/>
                <w:w w:val="96"/>
              </w:rPr>
              <w:t>Twelve Months &amp; Over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40"/>
              <w:spacing w:after="0" w:line="123" w:lineRule="exact"/>
              <w:rPr>
                <w:sz w:val="20"/>
                <w:szCs w:val="20"/>
                <w:color w:val="auto"/>
              </w:rPr>
            </w:pPr>
            <w:r>
              <w:rPr>
                <w:rFonts w:ascii="Arial" w:cs="Arial" w:eastAsia="Arial" w:hAnsi="Arial"/>
                <w:sz w:val="14"/>
                <w:szCs w:val="14"/>
                <w:color w:val="auto"/>
              </w:rPr>
              <w:t>Gross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640"/>
              <w:spacing w:after="0" w:line="123" w:lineRule="exact"/>
              <w:rPr>
                <w:sz w:val="20"/>
                <w:szCs w:val="20"/>
                <w:color w:val="auto"/>
              </w:rPr>
            </w:pPr>
            <w:r>
              <w:rPr>
                <w:rFonts w:ascii="Arial" w:cs="Arial" w:eastAsia="Arial" w:hAnsi="Arial"/>
                <w:sz w:val="14"/>
                <w:szCs w:val="14"/>
                <w:color w:val="auto"/>
                <w:w w:val="90"/>
              </w:rPr>
              <w:t>Gross</w:t>
            </w: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w w:val="95"/>
              </w:rPr>
              <w:t>Unrealized</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1120" w:type="dxa"/>
            <w:vAlign w:val="bottom"/>
            <w:gridSpan w:val="3"/>
          </w:tcPr>
          <w:p>
            <w:pPr>
              <w:jc w:val="right"/>
              <w:ind w:right="480"/>
              <w:spacing w:after="0"/>
              <w:rPr>
                <w:sz w:val="20"/>
                <w:szCs w:val="20"/>
                <w:color w:val="auto"/>
              </w:rPr>
            </w:pPr>
            <w:r>
              <w:rPr>
                <w:rFonts w:ascii="Arial" w:cs="Arial" w:eastAsia="Arial" w:hAnsi="Arial"/>
                <w:sz w:val="14"/>
                <w:szCs w:val="14"/>
                <w:color w:val="auto"/>
                <w:w w:val="97"/>
              </w:rPr>
              <w:t>Fair Value</w:t>
            </w:r>
          </w:p>
        </w:tc>
        <w:tc>
          <w:tcPr>
            <w:tcW w:w="120" w:type="dxa"/>
            <w:vAlign w:val="bottom"/>
          </w:tcPr>
          <w:p>
            <w:pPr>
              <w:spacing w:after="0"/>
              <w:rPr>
                <w:sz w:val="14"/>
                <w:szCs w:val="14"/>
                <w:color w:val="auto"/>
              </w:rPr>
            </w:pP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color w:val="auto"/>
                <w:w w:val="90"/>
              </w:rPr>
              <w:t>Losses</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w:t>
            </w:r>
          </w:p>
        </w:tc>
        <w:tc>
          <w:tcPr>
            <w:tcW w:w="2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15,745</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77,471</w:t>
            </w:r>
          </w:p>
        </w:tc>
        <w:tc>
          <w:tcPr>
            <w:tcW w:w="12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36,474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37,540</w:t>
            </w: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available-for-sales securities</w:t>
            </w:r>
          </w:p>
        </w:tc>
        <w:tc>
          <w:tcPr>
            <w:tcW w:w="21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167,230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right="80"/>
        <w:spacing w:after="0" w:line="264"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Sales of $13.6, $85.7, and $47.0 million for 2017, 2016, and 2015 respectively, generated gross realized gains and losses for the years ended</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December 31, as presented below:</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w w:val="99"/>
              </w:rPr>
              <w:t>(In Thousands)</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89"/>
              </w:rPr>
              <w:t>2017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2016</w:t>
            </w:r>
          </w:p>
        </w:tc>
        <w:tc>
          <w:tcPr>
            <w:tcW w:w="4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6"/>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$598</w:t>
            </w:r>
          </w:p>
        </w:tc>
        <w:tc>
          <w:tcPr>
            <w:tcW w:w="4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Gross realized losses</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(10)</w:t>
            </w: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$ 47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588</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451</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vMerge w:val="continue"/>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$ 16</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200</w:t>
            </w:r>
          </w:p>
        </w:tc>
        <w:tc>
          <w:tcPr>
            <w:tcW w:w="46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color w:val="auto"/>
        </w:rPr>
        <w:t>The net realized gain on sales and related tax expense is a reclassification out of accumulated other comprehensive income. The net realized gain is included in net gain on sale of securities available-for-sale and the related tax expense is included in income tax expense in the consolidated statements of income and comprehensive income (loss).</w:t>
      </w:r>
    </w:p>
    <w:p>
      <w:pPr>
        <w:spacing w:after="0" w:line="73" w:lineRule="exact"/>
        <w:rPr>
          <w:sz w:val="20"/>
          <w:szCs w:val="20"/>
          <w:color w:val="auto"/>
        </w:rPr>
      </w:pPr>
    </w:p>
    <w:p>
      <w:pPr>
        <w:ind w:left="800" w:right="80"/>
        <w:spacing w:after="0" w:line="342" w:lineRule="auto"/>
        <w:rPr>
          <w:sz w:val="20"/>
          <w:szCs w:val="20"/>
          <w:color w:val="auto"/>
        </w:rPr>
      </w:pPr>
      <w:r>
        <w:rPr>
          <w:rFonts w:ascii="Arial" w:cs="Arial" w:eastAsia="Arial" w:hAnsi="Arial"/>
          <w:sz w:val="16"/>
          <w:szCs w:val="16"/>
          <w:color w:val="auto"/>
        </w:rPr>
        <w:t>The amortized cost and fair value of debt securities at December 31, 2017, by contractual maturity, are shown below. Expected maturities will differ from contractual maturities because borrowers may have the right to call or prepay obligations with or without call or prepayment penalties.</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ind w:left="36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23"/>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8"/>
              </w:rPr>
              <w:t>Amortized</w:t>
            </w: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color w:val="auto"/>
              </w:rPr>
              <w:t>Cost</w:t>
            </w:r>
          </w:p>
        </w:tc>
        <w:tc>
          <w:tcPr>
            <w:tcW w:w="4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3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21,644</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84,514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83,685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3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After ten years</w:t>
            </w:r>
          </w:p>
        </w:tc>
        <w:tc>
          <w:tcPr>
            <w:tcW w:w="3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158,929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156,888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199,165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3520" w:type="dxa"/>
            <w:vAlign w:val="bottom"/>
            <w:vMerge w:val="restart"/>
          </w:tcPr>
          <w:p>
            <w:pPr>
              <w:jc w:val="right"/>
              <w:ind w:right="2350"/>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162" w:lineRule="exact"/>
        <w:rPr>
          <w:sz w:val="20"/>
          <w:szCs w:val="20"/>
          <w:color w:val="auto"/>
        </w:rPr>
      </w:pPr>
    </w:p>
    <w:p>
      <w:pPr>
        <w:ind w:left="800" w:right="60"/>
        <w:spacing w:after="0" w:line="277" w:lineRule="auto"/>
        <w:rPr>
          <w:sz w:val="20"/>
          <w:szCs w:val="20"/>
          <w:color w:val="auto"/>
        </w:rPr>
      </w:pPr>
      <w:r>
        <w:rPr>
          <w:rFonts w:ascii="Arial" w:cs="Arial" w:eastAsia="Arial" w:hAnsi="Arial"/>
          <w:sz w:val="18"/>
          <w:szCs w:val="18"/>
          <w:color w:val="auto"/>
        </w:rPr>
        <w:t>Investments with a carrying value and fair value of $82.9 million at December 31, 2017 and $129.4 million at December 31, 2016 were pledged to secure public deposits and securities sold under repurchase agreements.</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Other securities include Federal Home Loan Bank of Cincinnati and Farmer Mac stock as of December 31, 2017 and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21" w:lineRule="exact"/>
        <w:rPr>
          <w:sz w:val="20"/>
          <w:szCs w:val="20"/>
          <w:color w:val="auto"/>
        </w:rPr>
      </w:pPr>
    </w:p>
    <w:p>
      <w:pPr>
        <w:ind w:left="800" w:right="340"/>
        <w:spacing w:after="0" w:line="277" w:lineRule="auto"/>
        <w:rPr>
          <w:sz w:val="20"/>
          <w:szCs w:val="20"/>
          <w:color w:val="auto"/>
        </w:rPr>
      </w:pPr>
      <w:r>
        <w:rPr>
          <w:rFonts w:ascii="Arial" w:cs="Arial" w:eastAsia="Arial" w:hAnsi="Arial"/>
          <w:sz w:val="18"/>
          <w:szCs w:val="18"/>
          <w:color w:val="auto"/>
        </w:rPr>
        <w:t>The Company had $1.2 million in loans held for sale at December 31, 2017 as compared to $2.1 million in loans held for sale at December 31, 2016.</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Loans at December 31 are summarized below: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rPr>
              <w:t>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62"/>
        </w:trPr>
        <w:tc>
          <w:tcPr>
            <w:tcW w:w="676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2017</w:t>
            </w:r>
          </w:p>
        </w:tc>
        <w:tc>
          <w:tcPr>
            <w:tcW w:w="24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0" w:type="dxa"/>
            <w:vAlign w:val="bottom"/>
            <w:tcBorders>
              <w:top w:val="single" w:sz="8" w:color="auto"/>
            </w:tcBorders>
            <w:shd w:val="clear" w:color="auto" w:fill="CCEEFF"/>
          </w:tcPr>
          <w:p>
            <w:pPr>
              <w:spacing w:after="0"/>
              <w:rPr>
                <w:sz w:val="16"/>
                <w:szCs w:val="16"/>
                <w:color w:val="auto"/>
              </w:rPr>
            </w:pPr>
          </w:p>
        </w:tc>
        <w:tc>
          <w:tcPr>
            <w:tcW w:w="63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Consumer Real Estate</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83,620</w:t>
            </w: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86,234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64,073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410,520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377,481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126,275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109,256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37,757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Industrial Development Bonds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823,771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758,820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deferred loan fees and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823,024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758,094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Allowance for loan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23"/>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Loans - Net</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816,156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751,310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17" w:lineRule="exact"/>
        <w:rPr>
          <w:sz w:val="20"/>
          <w:szCs w:val="20"/>
          <w:color w:val="auto"/>
        </w:rPr>
      </w:pPr>
    </w:p>
    <w:p>
      <w:pPr>
        <w:ind w:left="800" w:right="20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79"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62"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62" w:lineRule="exact"/>
        <w:rPr>
          <w:sz w:val="20"/>
          <w:szCs w:val="20"/>
          <w:color w:val="auto"/>
        </w:rPr>
      </w:pPr>
    </w:p>
    <w:p>
      <w:pPr>
        <w:ind w:left="800"/>
        <w:spacing w:after="0" w:line="279" w:lineRule="auto"/>
        <w:rPr>
          <w:sz w:val="20"/>
          <w:szCs w:val="20"/>
          <w:color w:val="auto"/>
        </w:rPr>
      </w:pPr>
      <w:r>
        <w:rPr>
          <w:rFonts w:ascii="Arial" w:cs="Arial" w:eastAsia="Arial" w:hAnsi="Arial"/>
          <w:sz w:val="17"/>
          <w:szCs w:val="17"/>
          <w:color w:val="auto"/>
        </w:rPr>
        <w:t>Commercial and Industrial: Loans to proprietorships, partnerships, or corporations to provide temporary working capital and seasonal loans as well as long term loans for capital asset acquisition. Risks include adequacy of cash flow, reasonableness of profit projections, financial leverage, economic trends, management ability, and others. The Bank does employ stress testing on higher balance loans to mitigate risk by ensuring the customer’s ability to repay in a changing rate environment before granting loan approval.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right="8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future contracts. The risk related to weather is often mitigated by requiring federal crop insurance.</w:t>
      </w:r>
    </w:p>
    <w:p>
      <w:pPr>
        <w:spacing w:after="0" w:line="79" w:lineRule="exact"/>
        <w:rPr>
          <w:sz w:val="20"/>
          <w:szCs w:val="20"/>
          <w:color w:val="auto"/>
        </w:rPr>
      </w:pPr>
    </w:p>
    <w:p>
      <w:pPr>
        <w:ind w:left="800" w:right="2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62" w:lineRule="exact"/>
        <w:rPr>
          <w:sz w:val="20"/>
          <w:szCs w:val="20"/>
          <w:color w:val="auto"/>
        </w:rPr>
      </w:pPr>
    </w:p>
    <w:p>
      <w:pPr>
        <w:ind w:left="800" w:right="4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is a maturity schedule by major category of loans at December 31, 2017:</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3"/>
          </w:tcPr>
          <w:p>
            <w:pPr>
              <w:jc w:val="right"/>
              <w:ind w:right="420"/>
              <w:spacing w:after="0" w:line="123" w:lineRule="exact"/>
              <w:rPr>
                <w:sz w:val="20"/>
                <w:szCs w:val="20"/>
                <w:color w:val="auto"/>
              </w:rPr>
            </w:pPr>
            <w:r>
              <w:rPr>
                <w:rFonts w:ascii="Arial" w:cs="Arial" w:eastAsia="Arial" w:hAnsi="Arial"/>
                <w:sz w:val="14"/>
                <w:szCs w:val="14"/>
                <w:color w:val="auto"/>
              </w:rPr>
              <w:t>After One</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7"/>
              </w:rPr>
              <w:t>Within</w:t>
            </w: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Year Within</w:t>
            </w:r>
          </w:p>
        </w:tc>
        <w:tc>
          <w:tcPr>
            <w:tcW w:w="10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After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6620" w:type="dxa"/>
            <w:vAlign w:val="bottom"/>
          </w:tcPr>
          <w:p>
            <w:pPr>
              <w:spacing w:after="0"/>
              <w:rPr>
                <w:sz w:val="14"/>
                <w:szCs w:val="14"/>
                <w:color w:val="auto"/>
              </w:rPr>
            </w:pPr>
          </w:p>
        </w:tc>
        <w:tc>
          <w:tcPr>
            <w:tcW w:w="860" w:type="dxa"/>
            <w:vAlign w:val="bottom"/>
            <w:gridSpan w:val="4"/>
          </w:tcPr>
          <w:p>
            <w:pPr>
              <w:jc w:val="center"/>
              <w:ind w:right="160"/>
              <w:spacing w:after="0"/>
              <w:rPr>
                <w:sz w:val="20"/>
                <w:szCs w:val="20"/>
                <w:color w:val="auto"/>
              </w:rPr>
            </w:pPr>
            <w:r>
              <w:rPr>
                <w:rFonts w:ascii="Arial" w:cs="Arial" w:eastAsia="Arial" w:hAnsi="Arial"/>
                <w:sz w:val="14"/>
                <w:szCs w:val="14"/>
                <w:color w:val="auto"/>
                <w:w w:val="90"/>
              </w:rPr>
              <w:t>One Year</w:t>
            </w:r>
          </w:p>
        </w:tc>
        <w:tc>
          <w:tcPr>
            <w:tcW w:w="1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w w:val="95"/>
              </w:rPr>
              <w:t>Five Years</w:t>
            </w:r>
          </w:p>
        </w:tc>
        <w:tc>
          <w:tcPr>
            <w:tcW w:w="1040" w:type="dxa"/>
            <w:vAlign w:val="bottom"/>
            <w:gridSpan w:val="3"/>
          </w:tcPr>
          <w:p>
            <w:pPr>
              <w:jc w:val="right"/>
              <w:ind w:right="400"/>
              <w:spacing w:after="0"/>
              <w:rPr>
                <w:sz w:val="20"/>
                <w:szCs w:val="20"/>
                <w:color w:val="auto"/>
              </w:rPr>
            </w:pPr>
            <w:r>
              <w:rPr>
                <w:rFonts w:ascii="Arial" w:cs="Arial" w:eastAsia="Arial" w:hAnsi="Arial"/>
                <w:sz w:val="14"/>
                <w:szCs w:val="14"/>
                <w:color w:val="auto"/>
                <w:w w:val="92"/>
              </w:rPr>
              <w:t>Five Years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13,979</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83,620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57,407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64,073</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60,164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95,111</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29,728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125,694</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255,098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410,520</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18,352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126,275</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23,946</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8,177</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37,757</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6,415</w:t>
            </w:r>
          </w:p>
        </w:tc>
      </w:tr>
      <w:tr>
        <w:trPr>
          <w:trHeight w:val="223"/>
        </w:trPr>
        <w:tc>
          <w:tcPr>
            <w:tcW w:w="6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169,788</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231,495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422,488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823,771</w:t>
            </w:r>
          </w:p>
        </w:tc>
        <w:tc>
          <w:tcPr>
            <w:tcW w:w="6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December 31, 2017:</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80" w:type="dxa"/>
            <w:vAlign w:val="bottom"/>
            <w:gridSpan w:val="4"/>
          </w:tcPr>
          <w:p>
            <w:pPr>
              <w:ind w:left="580"/>
              <w:spacing w:after="0"/>
              <w:rPr>
                <w:sz w:val="20"/>
                <w:szCs w:val="20"/>
                <w:color w:val="auto"/>
              </w:rPr>
            </w:pPr>
            <w:r>
              <w:rPr>
                <w:rFonts w:ascii="Arial" w:cs="Arial" w:eastAsia="Arial" w:hAnsi="Arial"/>
                <w:sz w:val="14"/>
                <w:szCs w:val="14"/>
                <w:color w:val="auto"/>
              </w:rPr>
              <w:t>(In Thousands)</w:t>
            </w:r>
          </w:p>
        </w:tc>
      </w:tr>
      <w:tr>
        <w:trPr>
          <w:trHeight w:val="142"/>
        </w:trPr>
        <w:tc>
          <w:tcPr>
            <w:tcW w:w="4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Fixed Rate</w:t>
            </w:r>
          </w:p>
        </w:tc>
        <w:tc>
          <w:tcPr>
            <w:tcW w:w="13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Variable Rate</w:t>
            </w:r>
          </w:p>
        </w:tc>
        <w:tc>
          <w:tcPr>
            <w:tcW w:w="6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2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$ 43,283</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40,337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46,121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17,952</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62,526</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262,713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147,807</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43,434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82,841</w:t>
            </w:r>
          </w:p>
        </w:tc>
        <w:tc>
          <w:tcPr>
            <w:tcW w:w="6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Consumer</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32,869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4,888</w:t>
            </w:r>
          </w:p>
        </w:tc>
        <w:tc>
          <w:tcPr>
            <w:tcW w:w="6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Industrial Development Bonds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800" w:right="660"/>
        <w:spacing w:after="0" w:line="277" w:lineRule="auto"/>
        <w:rPr>
          <w:sz w:val="20"/>
          <w:szCs w:val="20"/>
          <w:color w:val="auto"/>
        </w:rPr>
      </w:pPr>
      <w:r>
        <w:rPr>
          <w:rFonts w:ascii="Arial" w:cs="Arial" w:eastAsia="Arial" w:hAnsi="Arial"/>
          <w:sz w:val="18"/>
          <w:szCs w:val="18"/>
          <w:color w:val="auto"/>
        </w:rPr>
        <w:t>Industrial Development Bonds are included in the commercial and industrial category for the remainder of the tables in this Note 4, unless specifically noted separately.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represents the contractual aging of the recorded investment in past due loans by portfolio classification of loans as of</w:t>
      </w:r>
    </w:p>
    <w:p>
      <w:pPr>
        <w:spacing w:after="0" w:line="3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December 31, 2017 and 2016, net of deferred loan fees and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color w:val="auto"/>
              </w:rPr>
              <w:t>Recorded</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w w:val="99"/>
              </w:rPr>
              <w:t>Investment &gt;</w:t>
            </w:r>
          </w:p>
        </w:tc>
      </w:tr>
      <w:tr>
        <w:trPr>
          <w:trHeight w:val="149"/>
        </w:trPr>
        <w:tc>
          <w:tcPr>
            <w:tcW w:w="3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9"/>
              </w:rPr>
              <w:t>30-59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Greater Than</w:t>
            </w:r>
          </w:p>
        </w:tc>
        <w:tc>
          <w:tcPr>
            <w:tcW w:w="10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Financing</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90 Days and</w:t>
            </w:r>
          </w:p>
        </w:tc>
      </w:tr>
      <w:tr>
        <w:trPr>
          <w:trHeight w:val="167"/>
        </w:trPr>
        <w:tc>
          <w:tcPr>
            <w:tcW w:w="3240" w:type="dxa"/>
            <w:vAlign w:val="bottom"/>
          </w:tcPr>
          <w:p>
            <w:pPr>
              <w:spacing w:after="0"/>
              <w:rPr>
                <w:sz w:val="20"/>
                <w:szCs w:val="20"/>
                <w:color w:val="auto"/>
              </w:rPr>
            </w:pPr>
            <w:r>
              <w:rPr>
                <w:rFonts w:ascii="Arial" w:cs="Arial" w:eastAsia="Arial" w:hAnsi="Arial"/>
                <w:sz w:val="14"/>
                <w:szCs w:val="14"/>
                <w:color w:val="auto"/>
              </w:rPr>
              <w:t>December 31, 2017</w:t>
            </w:r>
          </w:p>
        </w:tc>
        <w:tc>
          <w:tcPr>
            <w:tcW w:w="130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4"/>
                <w:szCs w:val="14"/>
                <w:color w:val="auto"/>
                <w:w w:val="97"/>
              </w:rPr>
              <w:t>Past Due</w:t>
            </w: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color w:val="auto"/>
              </w:rPr>
              <w:t>90 Days</w:t>
            </w:r>
          </w:p>
        </w:tc>
        <w:tc>
          <w:tcPr>
            <w:tcW w:w="700" w:type="dxa"/>
            <w:vAlign w:val="bottom"/>
            <w:gridSpan w:val="3"/>
          </w:tcPr>
          <w:p>
            <w:pPr>
              <w:ind w:left="20"/>
              <w:spacing w:after="0"/>
              <w:rPr>
                <w:sz w:val="20"/>
                <w:szCs w:val="20"/>
                <w:color w:val="auto"/>
              </w:rPr>
            </w:pPr>
            <w:r>
              <w:rPr>
                <w:rFonts w:ascii="Arial" w:cs="Arial" w:eastAsia="Arial" w:hAnsi="Arial"/>
                <w:sz w:val="14"/>
                <w:szCs w:val="14"/>
                <w:color w:val="auto"/>
              </w:rPr>
              <w:t>Past Due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Current</w:t>
            </w:r>
          </w:p>
        </w:tc>
        <w:tc>
          <w:tcPr>
            <w:tcW w:w="1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Receivables</w:t>
            </w: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Accruing</w:t>
            </w: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565</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79"/>
              </w:rPr>
              <w:t>212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113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82,310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63,943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64,044</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95,238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79"/>
              </w:rPr>
              <w:t>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409,915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409,953</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132,745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132,787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Consumer</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37,759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37,802</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599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256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1,114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821,910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823,024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3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color w:val="auto"/>
              </w:rPr>
              <w:t>Total</w:t>
            </w:r>
          </w:p>
        </w:tc>
        <w:tc>
          <w:tcPr>
            <w:tcW w:w="1280" w:type="dxa"/>
            <w:vAlign w:val="bottom"/>
            <w:gridSpan w:val="3"/>
          </w:tcPr>
          <w:p>
            <w:pPr>
              <w:spacing w:after="0"/>
              <w:rPr>
                <w:sz w:val="20"/>
                <w:szCs w:val="20"/>
                <w:color w:val="auto"/>
              </w:rPr>
            </w:pPr>
            <w:r>
              <w:rPr>
                <w:rFonts w:ascii="Arial" w:cs="Arial" w:eastAsia="Arial" w:hAnsi="Arial"/>
                <w:sz w:val="14"/>
                <w:szCs w:val="14"/>
                <w:color w:val="auto"/>
                <w:w w:val="94"/>
              </w:rPr>
              <w:t>Recorded Investment</w:t>
            </w:r>
          </w:p>
        </w:tc>
      </w:tr>
      <w:tr>
        <w:trPr>
          <w:trHeight w:val="149"/>
        </w:trPr>
        <w:tc>
          <w:tcPr>
            <w:tcW w:w="2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30-59 Days</w:t>
            </w:r>
          </w:p>
        </w:tc>
        <w:tc>
          <w:tcPr>
            <w:tcW w:w="1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60-89 Days</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Greater Than</w:t>
            </w:r>
          </w:p>
        </w:tc>
        <w:tc>
          <w:tcPr>
            <w:tcW w:w="200" w:type="dxa"/>
            <w:vAlign w:val="bottom"/>
          </w:tcPr>
          <w:p>
            <w:pPr>
              <w:spacing w:after="0"/>
              <w:rPr>
                <w:sz w:val="12"/>
                <w:szCs w:val="12"/>
                <w:color w:val="auto"/>
              </w:rPr>
            </w:pPr>
          </w:p>
        </w:tc>
        <w:tc>
          <w:tcPr>
            <w:tcW w:w="7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8"/>
              </w:rPr>
              <w:t>Total Past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Financing</w:t>
            </w:r>
          </w:p>
        </w:tc>
        <w:tc>
          <w:tcPr>
            <w:tcW w:w="140" w:type="dxa"/>
            <w:vAlign w:val="bottom"/>
          </w:tcPr>
          <w:p>
            <w:pPr>
              <w:spacing w:after="0"/>
              <w:rPr>
                <w:sz w:val="12"/>
                <w:szCs w:val="12"/>
                <w:color w:val="auto"/>
              </w:rPr>
            </w:pPr>
          </w:p>
        </w:tc>
        <w:tc>
          <w:tcPr>
            <w:tcW w:w="11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&gt; 90 Days and</w:t>
            </w: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December 31, 2016</w:t>
            </w:r>
          </w:p>
        </w:tc>
        <w:tc>
          <w:tcPr>
            <w:tcW w:w="8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Past Due</w:t>
            </w:r>
          </w:p>
        </w:tc>
        <w:tc>
          <w:tcPr>
            <w:tcW w:w="18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color w:val="auto"/>
              </w:rPr>
              <w:t>Past Due</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90 Days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Due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Receivables</w:t>
            </w:r>
          </w:p>
        </w:tc>
        <w:tc>
          <w:tcPr>
            <w:tcW w:w="14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color w:val="auto"/>
              </w:rPr>
              <w:t>Accruing</w:t>
            </w:r>
          </w:p>
        </w:tc>
      </w:tr>
      <w:tr>
        <w:trPr>
          <w:trHeight w:val="210"/>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507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84,469</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85,873</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62,192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62,336</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Agricultural</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84,591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84,692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376,827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376,887</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115,093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115,093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Consumer</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33,178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33,213</w:t>
            </w:r>
          </w:p>
        </w:tc>
        <w:tc>
          <w:tcPr>
            <w:tcW w:w="14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7"/>
        </w:trPr>
        <w:tc>
          <w:tcPr>
            <w:tcW w:w="2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1,744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756,350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758,094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2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color w:val="auto"/>
        </w:rPr>
        <w:t>The following table presents the recorded investment in nonaccrual loans by portfolio class of loans as of December 31, 2017 and December 31, 2016:</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0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ind w:left="16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2017</w:t>
            </w:r>
          </w:p>
        </w:tc>
        <w:tc>
          <w:tcPr>
            <w:tcW w:w="880" w:type="dxa"/>
            <w:vAlign w:val="bottom"/>
            <w:tcBorders>
              <w:top w:val="single" w:sz="8" w:color="auto"/>
            </w:tcBorders>
            <w:gridSpan w:val="2"/>
          </w:tcPr>
          <w:p>
            <w:pPr>
              <w:jc w:val="center"/>
              <w:ind w:left="274"/>
              <w:spacing w:after="0" w:line="142" w:lineRule="exact"/>
              <w:rPr>
                <w:sz w:val="20"/>
                <w:szCs w:val="20"/>
                <w:color w:val="auto"/>
              </w:rPr>
            </w:pPr>
            <w:r>
              <w:rPr>
                <w:rFonts w:ascii="Arial" w:cs="Arial" w:eastAsia="Arial" w:hAnsi="Arial"/>
                <w:sz w:val="14"/>
                <w:szCs w:val="14"/>
                <w:color w:val="auto"/>
                <w:w w:val="89"/>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Real Estate</w:t>
            </w:r>
          </w:p>
        </w:tc>
        <w:tc>
          <w:tcPr>
            <w:tcW w:w="4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w w:val="86"/>
              </w:rPr>
              <w:t>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Agriculture</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Commercial and Industrial</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6"/>
              </w:rPr>
              <w:t>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Consumer</w:t>
            </w:r>
          </w:p>
        </w:tc>
        <w:tc>
          <w:tcPr>
            <w:tcW w:w="4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1,003</w:t>
            </w:r>
          </w:p>
        </w:tc>
        <w:tc>
          <w:tcPr>
            <w:tcW w:w="88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160" w:type="dxa"/>
            <w:vAlign w:val="bottom"/>
            <w:vMerge w:val="restart"/>
          </w:tcPr>
          <w:p>
            <w:pPr>
              <w:jc w:val="right"/>
              <w:ind w:right="2730"/>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right="440"/>
        <w:spacing w:after="0" w:line="277" w:lineRule="auto"/>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 The risk ratings are described as follows.</w:t>
      </w:r>
    </w:p>
    <w:p>
      <w:pPr>
        <w:spacing w:after="0" w:line="76"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30" w:lineRule="exact"/>
        <w:rPr>
          <w:rFonts w:ascii="Arial" w:cs="Arial" w:eastAsia="Arial" w:hAnsi="Arial"/>
          <w:sz w:val="18"/>
          <w:szCs w:val="18"/>
          <w:color w:val="auto"/>
        </w:rPr>
      </w:pPr>
    </w:p>
    <w:p>
      <w:pPr>
        <w:ind w:left="1480" w:right="100" w:hanging="567"/>
        <w:spacing w:after="0" w:line="255"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One (1) Excellent. Credit to premier customers having the highest credit rating based on an extremely strong financial condition, which compares favorably with industry standards (upper quartile of The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94" w:lineRule="exact"/>
        <w:rPr>
          <w:rFonts w:ascii="Arial" w:cs="Arial" w:eastAsia="Arial" w:hAnsi="Arial"/>
          <w:sz w:val="18"/>
          <w:szCs w:val="18"/>
          <w:color w:val="auto"/>
        </w:rPr>
      </w:pPr>
    </w:p>
    <w:p>
      <w:pPr>
        <w:ind w:left="1480" w:right="40" w:hanging="567"/>
        <w:spacing w:after="0" w:line="302" w:lineRule="auto"/>
        <w:tabs>
          <w:tab w:leader="none" w:pos="1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59" w:lineRule="exact"/>
        <w:rPr>
          <w:rFonts w:ascii="Arial" w:cs="Arial" w:eastAsia="Arial" w:hAnsi="Arial"/>
          <w:sz w:val="16"/>
          <w:szCs w:val="16"/>
          <w:color w:val="auto"/>
        </w:rPr>
      </w:pPr>
    </w:p>
    <w:p>
      <w:pPr>
        <w:ind w:left="1480" w:right="80" w:hanging="567"/>
        <w:spacing w:after="0" w:line="259"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are meeting the terms of repayment.</w:t>
      </w:r>
    </w:p>
    <w:p>
      <w:pPr>
        <w:spacing w:after="0" w:line="78" w:lineRule="exact"/>
        <w:rPr>
          <w:rFonts w:ascii="Arial" w:cs="Arial" w:eastAsia="Arial" w:hAnsi="Arial"/>
          <w:sz w:val="18"/>
          <w:szCs w:val="18"/>
          <w:color w:val="auto"/>
        </w:rPr>
      </w:pPr>
    </w:p>
    <w:p>
      <w:pPr>
        <w:ind w:left="1500" w:right="480"/>
        <w:spacing w:after="0" w:line="277" w:lineRule="auto"/>
        <w:rPr>
          <w:rFonts w:ascii="Arial" w:cs="Arial" w:eastAsia="Arial" w:hAnsi="Arial"/>
          <w:sz w:val="18"/>
          <w:szCs w:val="18"/>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spacing w:after="0" w:line="6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At inception, the loan was secured with collateral possessing a loan value adequate to protect the Bank from loss;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loan exhibited two or more years of satisfactory repayment with a reasonable reduction of the principal balance;</w:t>
      </w:r>
    </w:p>
    <w:p>
      <w:pPr>
        <w:spacing w:after="0" w:line="130" w:lineRule="exact"/>
        <w:rPr>
          <w:rFonts w:ascii="Arial" w:cs="Arial" w:eastAsia="Arial" w:hAnsi="Arial"/>
          <w:sz w:val="18"/>
          <w:szCs w:val="18"/>
          <w:color w:val="auto"/>
        </w:rPr>
      </w:pPr>
    </w:p>
    <w:p>
      <w:pPr>
        <w:ind w:left="1920" w:right="260" w:hanging="440"/>
        <w:spacing w:after="0" w:line="312" w:lineRule="auto"/>
        <w:tabs>
          <w:tab w:leader="none" w:pos="19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 credit weaknesses is observed, a lower risk grade is warranted.</w:t>
      </w:r>
    </w:p>
    <w:p>
      <w:pPr>
        <w:spacing w:after="0" w:line="52" w:lineRule="exact"/>
        <w:rPr>
          <w:rFonts w:ascii="Arial" w:cs="Arial" w:eastAsia="Arial" w:hAnsi="Arial"/>
          <w:sz w:val="16"/>
          <w:szCs w:val="16"/>
          <w:color w:val="auto"/>
        </w:rPr>
      </w:pPr>
    </w:p>
    <w:p>
      <w:pPr>
        <w:ind w:left="1480" w:right="240" w:hanging="567"/>
        <w:spacing w:after="0" w:line="279" w:lineRule="auto"/>
        <w:tabs>
          <w:tab w:leader="none" w:pos="1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6" w:lineRule="exact"/>
        <w:rPr>
          <w:rFonts w:ascii="Arial" w:cs="Arial" w:eastAsia="Arial" w:hAnsi="Arial"/>
          <w:sz w:val="17"/>
          <w:szCs w:val="17"/>
          <w:color w:val="auto"/>
        </w:rPr>
      </w:pPr>
    </w:p>
    <w:p>
      <w:pPr>
        <w:ind w:left="1480" w:right="120" w:hanging="567"/>
        <w:spacing w:after="0" w:line="25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deserves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30" w:lineRule="exact"/>
        <w:rPr>
          <w:rFonts w:ascii="Arial" w:cs="Arial" w:eastAsia="Arial" w:hAnsi="Arial"/>
          <w:sz w:val="18"/>
          <w:szCs w:val="18"/>
          <w:color w:val="auto"/>
        </w:rPr>
      </w:pPr>
    </w:p>
    <w:p>
      <w:pPr>
        <w:ind w:left="1920" w:right="140" w:hanging="440"/>
        <w:spacing w:after="0" w:line="342"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29" w:lineRule="exact"/>
        <w:rPr>
          <w:rFonts w:ascii="Arial" w:cs="Arial" w:eastAsia="Arial" w:hAnsi="Arial"/>
          <w:sz w:val="16"/>
          <w:szCs w:val="16"/>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30" w:lineRule="exact"/>
        <w:rPr>
          <w:rFonts w:ascii="Arial" w:cs="Arial" w:eastAsia="Arial" w:hAnsi="Arial"/>
          <w:sz w:val="18"/>
          <w:szCs w:val="18"/>
          <w:color w:val="auto"/>
        </w:rPr>
      </w:pPr>
    </w:p>
    <w:p>
      <w:pPr>
        <w:ind w:left="1920" w:right="20" w:hanging="440"/>
        <w:spacing w:after="0" w:line="277"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are characterized by the distinct possibility that the Bank will sustain some loss if deficiencies are not corrected.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however, continues to make interest payments.</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30" w:lineRule="exact"/>
        <w:rPr>
          <w:rFonts w:ascii="Arial" w:cs="Arial" w:eastAsia="Arial" w:hAnsi="Arial"/>
          <w:sz w:val="18"/>
          <w:szCs w:val="18"/>
          <w:color w:val="auto"/>
        </w:rPr>
      </w:pPr>
    </w:p>
    <w:p>
      <w:pPr>
        <w:ind w:left="1920" w:right="740" w:hanging="440"/>
        <w:spacing w:after="0" w:line="277"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30" w:lineRule="exact"/>
        <w:rPr>
          <w:rFonts w:ascii="Arial" w:cs="Arial" w:eastAsia="Arial" w:hAnsi="Arial"/>
          <w:sz w:val="18"/>
          <w:szCs w:val="18"/>
          <w:color w:val="auto"/>
        </w:rPr>
      </w:pPr>
    </w:p>
    <w:p>
      <w:pPr>
        <w:ind w:left="1920" w:right="200" w:hanging="440"/>
        <w:spacing w:after="0" w:line="277"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however, these weaknesses make collection or liquidation in full based on existing conditions improbable.</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primary source of repayment is gone, and there is considerable doubt as to the quality of the secondary source of repayment.</w:t>
      </w:r>
    </w:p>
    <w:p>
      <w:pPr>
        <w:spacing w:after="0" w:line="153" w:lineRule="exact"/>
        <w:rPr>
          <w:rFonts w:ascii="Arial" w:cs="Arial" w:eastAsia="Arial" w:hAnsi="Arial"/>
          <w:sz w:val="16"/>
          <w:szCs w:val="16"/>
          <w:color w:val="auto"/>
        </w:rPr>
      </w:pPr>
    </w:p>
    <w:p>
      <w:pPr>
        <w:ind w:left="1920" w:right="140" w:hanging="440"/>
        <w:spacing w:after="0" w:line="342"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29" w:lineRule="exact"/>
        <w:rPr>
          <w:rFonts w:ascii="Arial" w:cs="Arial" w:eastAsia="Arial" w:hAnsi="Arial"/>
          <w:sz w:val="16"/>
          <w:szCs w:val="16"/>
          <w:color w:val="auto"/>
        </w:rPr>
      </w:pPr>
    </w:p>
    <w:p>
      <w:pPr>
        <w:ind w:left="1480" w:right="20" w:hanging="567"/>
        <w:spacing w:after="0" w:line="286" w:lineRule="auto"/>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based on the most recent analysis performed as of the time periods shown of December 31, 2017 and December 31, 2016.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6"/>
          </w:tcPr>
          <w:p>
            <w:pPr>
              <w:jc w:val="right"/>
              <w:ind w:right="460"/>
              <w:spacing w:after="0" w:line="123" w:lineRule="exact"/>
              <w:rPr>
                <w:sz w:val="20"/>
                <w:szCs w:val="20"/>
                <w:color w:val="auto"/>
              </w:rPr>
            </w:pPr>
            <w:r>
              <w:rPr>
                <w:rFonts w:ascii="Arial" w:cs="Arial" w:eastAsia="Arial" w:hAnsi="Arial"/>
                <w:sz w:val="14"/>
                <w:szCs w:val="14"/>
                <w:color w:val="auto"/>
              </w:rPr>
              <w:t>Commercial and</w:t>
            </w:r>
          </w:p>
        </w:tc>
        <w:tc>
          <w:tcPr>
            <w:tcW w:w="1360" w:type="dxa"/>
            <w:vAlign w:val="bottom"/>
            <w:gridSpan w:val="5"/>
          </w:tcPr>
          <w:p>
            <w:pPr>
              <w:jc w:val="right"/>
              <w:spacing w:after="0" w:line="123" w:lineRule="exact"/>
              <w:rPr>
                <w:sz w:val="20"/>
                <w:szCs w:val="20"/>
                <w:color w:val="auto"/>
              </w:rPr>
            </w:pPr>
            <w:r>
              <w:rPr>
                <w:rFonts w:ascii="Arial" w:cs="Arial" w:eastAsia="Arial" w:hAnsi="Arial"/>
                <w:sz w:val="14"/>
                <w:szCs w:val="14"/>
                <w:color w:val="auto"/>
                <w:w w:val="93"/>
              </w:rPr>
              <w:t>Industrial Development</w:t>
            </w:r>
          </w:p>
        </w:tc>
        <w:tc>
          <w:tcPr>
            <w:tcW w:w="6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80" w:type="dxa"/>
            <w:vAlign w:val="bottom"/>
            <w:gridSpan w:val="6"/>
          </w:tcPr>
          <w:p>
            <w:pPr>
              <w:spacing w:after="0"/>
              <w:rPr>
                <w:sz w:val="20"/>
                <w:szCs w:val="20"/>
                <w:color w:val="auto"/>
              </w:rPr>
            </w:pPr>
            <w:r>
              <w:rPr>
                <w:rFonts w:ascii="Arial" w:cs="Arial" w:eastAsia="Arial" w:hAnsi="Arial"/>
                <w:sz w:val="14"/>
                <w:szCs w:val="14"/>
                <w:color w:val="auto"/>
                <w:w w:val="99"/>
              </w:rPr>
              <w:t>Agricultural Real 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ind w:left="220"/>
              <w:spacing w:after="0"/>
              <w:rPr>
                <w:sz w:val="20"/>
                <w:szCs w:val="20"/>
                <w:color w:val="auto"/>
              </w:rPr>
            </w:pPr>
            <w:r>
              <w:rPr>
                <w:rFonts w:ascii="Arial" w:cs="Arial" w:eastAsia="Arial" w:hAnsi="Arial"/>
                <w:sz w:val="14"/>
                <w:szCs w:val="14"/>
                <w:color w:val="auto"/>
              </w:rPr>
              <w:t>Agricultural</w:t>
            </w:r>
          </w:p>
        </w:tc>
        <w:tc>
          <w:tcPr>
            <w:tcW w:w="1620" w:type="dxa"/>
            <w:vAlign w:val="bottom"/>
            <w:gridSpan w:val="7"/>
          </w:tcPr>
          <w:p>
            <w:pPr>
              <w:ind w:left="60"/>
              <w:spacing w:after="0"/>
              <w:rPr>
                <w:sz w:val="20"/>
                <w:szCs w:val="20"/>
                <w:color w:val="auto"/>
              </w:rPr>
            </w:pPr>
            <w:r>
              <w:rPr>
                <w:rFonts w:ascii="Arial" w:cs="Arial" w:eastAsia="Arial" w:hAnsi="Arial"/>
                <w:sz w:val="14"/>
                <w:szCs w:val="14"/>
                <w:color w:val="auto"/>
              </w:rPr>
              <w:t>Commercial Real Estate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4"/>
                <w:szCs w:val="14"/>
                <w:color w:val="auto"/>
              </w:rPr>
              <w:t>Industrial</w:t>
            </w:r>
          </w:p>
        </w:tc>
        <w:tc>
          <w:tcPr>
            <w:tcW w:w="14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Bonds</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2017</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ind w:left="15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4,399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6,558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7,334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15,244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37,267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31,397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2,640</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4</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43,416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39,808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51,312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44,560</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359,600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333,523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99,581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83,100</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2,926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3,092</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6</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6,508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440" w:type="dxa"/>
            <w:vAlign w:val="bottom"/>
          </w:tcPr>
          <w:p>
            <w:pPr>
              <w:jc w:val="center"/>
              <w:ind w:lef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8</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64,044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62,336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95,238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84,692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409,953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376,887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126,372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109,361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6,415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5,732</w:t>
            </w: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800" w:right="26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which was previously stated, and by payment activity. The following tables present the recorded investment in those classes based on payment activity and assigned risk grading as of December 31, 2017 and December 31, 2016.</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5"/>
          </w:tcPr>
          <w:p>
            <w:pPr>
              <w:jc w:val="right"/>
              <w:ind w:right="220"/>
              <w:spacing w:after="0" w:line="142" w:lineRule="exact"/>
              <w:rPr>
                <w:sz w:val="20"/>
                <w:szCs w:val="20"/>
                <w:color w:val="auto"/>
              </w:rPr>
            </w:pPr>
            <w:r>
              <w:rPr>
                <w:rFonts w:ascii="Arial" w:cs="Arial" w:eastAsia="Arial" w:hAnsi="Arial"/>
                <w:sz w:val="14"/>
                <w:szCs w:val="14"/>
                <w:color w:val="auto"/>
                <w:w w:val="92"/>
              </w:rPr>
              <w:t>Consumer Real Estate</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1040" w:type="dxa"/>
            <w:vAlign w:val="bottom"/>
            <w:gridSpan w:val="4"/>
          </w:tcPr>
          <w:p>
            <w:pPr>
              <w:jc w:val="right"/>
              <w:ind w:right="60"/>
              <w:spacing w:after="0" w:line="142" w:lineRule="exact"/>
              <w:rPr>
                <w:sz w:val="20"/>
                <w:szCs w:val="20"/>
                <w:color w:val="auto"/>
              </w:rPr>
            </w:pPr>
            <w:r>
              <w:rPr>
                <w:rFonts w:ascii="Arial" w:cs="Arial" w:eastAsia="Arial" w:hAnsi="Arial"/>
                <w:sz w:val="14"/>
                <w:szCs w:val="14"/>
                <w:color w:val="auto"/>
              </w:rPr>
              <w:t>2016</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Grade</w:t>
            </w:r>
          </w:p>
        </w:tc>
        <w:tc>
          <w:tcPr>
            <w:tcW w:w="3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Pass</w:t>
            </w: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$82,632</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$85,322</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mention (5)</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Substandard (6)</w:t>
            </w:r>
          </w:p>
        </w:tc>
        <w:tc>
          <w:tcPr>
            <w:tcW w:w="3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488</w:t>
            </w: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Doubtful (7)</w:t>
            </w:r>
          </w:p>
        </w:tc>
        <w:tc>
          <w:tcPr>
            <w:tcW w:w="3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4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3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83,200</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85,873</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9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360" w:type="dxa"/>
            <w:vAlign w:val="bottom"/>
            <w:gridSpan w:val="5"/>
          </w:tcPr>
          <w:p>
            <w:pPr>
              <w:jc w:val="right"/>
              <w:ind w:right="259"/>
              <w:spacing w:after="0" w:line="123" w:lineRule="exact"/>
              <w:rPr>
                <w:sz w:val="20"/>
                <w:szCs w:val="20"/>
                <w:color w:val="auto"/>
              </w:rPr>
            </w:pPr>
            <w:r>
              <w:rPr>
                <w:rFonts w:ascii="Arial" w:cs="Arial" w:eastAsia="Arial" w:hAnsi="Arial"/>
                <w:sz w:val="14"/>
                <w:szCs w:val="14"/>
                <w:color w:val="auto"/>
              </w:rPr>
              <w:t>Consumer -</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60" w:type="dxa"/>
            <w:vAlign w:val="bottom"/>
            <w:gridSpan w:val="5"/>
          </w:tcPr>
          <w:p>
            <w:pPr>
              <w:jc w:val="right"/>
              <w:ind w:right="259"/>
              <w:spacing w:after="0"/>
              <w:rPr>
                <w:sz w:val="20"/>
                <w:szCs w:val="20"/>
                <w:color w:val="auto"/>
              </w:rPr>
            </w:pPr>
            <w:r>
              <w:rPr>
                <w:rFonts w:ascii="Arial" w:cs="Arial" w:eastAsia="Arial" w:hAnsi="Arial"/>
                <w:sz w:val="14"/>
                <w:szCs w:val="14"/>
                <w:color w:val="auto"/>
              </w:rPr>
              <w:t>Credit Card</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gridSpan w:val="5"/>
          </w:tcPr>
          <w:p>
            <w:pPr>
              <w:jc w:val="right"/>
              <w:ind w:right="300"/>
              <w:spacing w:after="0"/>
              <w:rPr>
                <w:sz w:val="20"/>
                <w:szCs w:val="20"/>
                <w:color w:val="auto"/>
              </w:rPr>
            </w:pPr>
            <w:r>
              <w:rPr>
                <w:rFonts w:ascii="Arial" w:cs="Arial" w:eastAsia="Arial" w:hAnsi="Arial"/>
                <w:sz w:val="14"/>
                <w:szCs w:val="14"/>
                <w:color w:val="auto"/>
              </w:rPr>
              <w:t>Consumer - Other</w:t>
            </w:r>
          </w:p>
        </w:tc>
        <w:tc>
          <w:tcPr>
            <w:tcW w:w="0" w:type="dxa"/>
            <w:vAlign w:val="bottom"/>
          </w:tcPr>
          <w:p>
            <w:pPr>
              <w:spacing w:after="0"/>
              <w:rPr>
                <w:sz w:val="1"/>
                <w:szCs w:val="1"/>
                <w:color w:val="auto"/>
              </w:rPr>
            </w:pPr>
          </w:p>
        </w:tc>
      </w:tr>
      <w:tr>
        <w:trPr>
          <w:trHeight w:val="210"/>
        </w:trPr>
        <w:tc>
          <w:tcPr>
            <w:tcW w:w="920" w:type="dxa"/>
            <w:vAlign w:val="bottom"/>
            <w:tcBorders>
              <w:top w:val="single" w:sz="8" w:color="CCEEFF"/>
            </w:tcBorders>
            <w:shd w:val="clear" w:color="auto" w:fill="CCEEFF"/>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2017</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Performing</w:t>
            </w:r>
          </w:p>
        </w:tc>
        <w:tc>
          <w:tcPr>
            <w:tcW w:w="3900" w:type="dxa"/>
            <w:vAlign w:val="bottom"/>
            <w:gridSpan w:val="3"/>
          </w:tcPr>
          <w:p>
            <w:pPr>
              <w:jc w:val="right"/>
              <w:ind w:right="140"/>
              <w:spacing w:after="0"/>
              <w:rPr>
                <w:sz w:val="20"/>
                <w:szCs w:val="20"/>
                <w:color w:val="auto"/>
              </w:rPr>
            </w:pPr>
            <w:r>
              <w:rPr>
                <w:rFonts w:ascii="Arial" w:cs="Arial" w:eastAsia="Arial" w:hAnsi="Arial"/>
                <w:sz w:val="18"/>
                <w:szCs w:val="18"/>
                <w:color w:val="auto"/>
              </w:rPr>
              <w:t>$4,108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$4,061</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color w:val="auto"/>
              </w:rPr>
              <w:t>$33,666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$29,120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Nonperforming</w:t>
            </w:r>
          </w:p>
        </w:tc>
        <w:tc>
          <w:tcPr>
            <w:tcW w:w="3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39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4,108</w:t>
            </w:r>
          </w:p>
        </w:tc>
        <w:tc>
          <w:tcPr>
            <w:tcW w:w="1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4,061</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33,694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29,152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260" w:type="dxa"/>
            <w:vAlign w:val="bottom"/>
            <w:vMerge w:val="restart"/>
          </w:tcPr>
          <w:p>
            <w:pPr>
              <w:jc w:val="right"/>
              <w:ind w:right="1770"/>
              <w:spacing w:after="0"/>
              <w:rPr>
                <w:sz w:val="20"/>
                <w:szCs w:val="20"/>
                <w:color w:val="auto"/>
              </w:rPr>
            </w:pPr>
            <w:r>
              <w:rPr>
                <w:rFonts w:ascii="Arial" w:cs="Arial" w:eastAsia="Arial" w:hAnsi="Arial"/>
                <w:sz w:val="18"/>
                <w:szCs w:val="18"/>
                <w:color w:val="auto"/>
              </w:rPr>
              <w:t>68</w:t>
            </w: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about impaired loans as of and for the years ended December 31, 2017 and 2016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9"/>
          </w:tcPr>
          <w:p>
            <w:pPr>
              <w:jc w:val="center"/>
              <w:ind w:right="160"/>
              <w:spacing w:after="0"/>
              <w:rPr>
                <w:sz w:val="20"/>
                <w:szCs w:val="20"/>
                <w:color w:val="auto"/>
              </w:rPr>
            </w:pPr>
            <w:r>
              <w:rPr>
                <w:rFonts w:ascii="Arial" w:cs="Arial" w:eastAsia="Arial" w:hAnsi="Arial"/>
                <w:sz w:val="14"/>
                <w:szCs w:val="14"/>
                <w:color w:val="auto"/>
                <w:w w:val="93"/>
              </w:rPr>
              <w:t>(In Thousands)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2017</w:t>
            </w: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3"/>
              </w:rPr>
              <w:t>2016</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without a valuation allowance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$1,131</w:t>
            </w:r>
          </w:p>
        </w:tc>
        <w:tc>
          <w:tcPr>
            <w:tcW w:w="380" w:type="dxa"/>
            <w:vAlign w:val="bottom"/>
            <w:shd w:val="clear" w:color="auto" w:fill="CCEEFF"/>
          </w:tcPr>
          <w:p>
            <w:pPr>
              <w:spacing w:after="0"/>
              <w:rPr>
                <w:sz w:val="18"/>
                <w:szCs w:val="18"/>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7"/>
              </w:rPr>
              <w:t>$1,141</w:t>
            </w:r>
          </w:p>
        </w:tc>
        <w:tc>
          <w:tcPr>
            <w:tcW w:w="6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Impaired loans with a valuation allowance</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711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impaired loans</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1,745</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1,852</w:t>
            </w:r>
          </w:p>
        </w:tc>
        <w:tc>
          <w:tcPr>
            <w:tcW w:w="6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460"/>
              <w:spacing w:after="0"/>
              <w:rPr>
                <w:sz w:val="20"/>
                <w:szCs w:val="20"/>
                <w:color w:val="auto"/>
              </w:rPr>
            </w:pPr>
            <w:r>
              <w:rPr>
                <w:rFonts w:ascii="Arial" w:cs="Arial" w:eastAsia="Arial" w:hAnsi="Arial"/>
                <w:sz w:val="18"/>
                <w:szCs w:val="18"/>
                <w:color w:val="auto"/>
              </w:rPr>
              <w:t>Valuation allowance related to impaired loans</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135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non-accrual loans</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1,003</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1,384</w:t>
            </w:r>
          </w:p>
        </w:tc>
        <w:tc>
          <w:tcPr>
            <w:tcW w:w="60" w:type="dxa"/>
            <w:vAlign w:val="bottom"/>
            <w:tcBorders>
              <w:right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ind w:left="460"/>
              <w:spacing w:after="0"/>
              <w:rPr>
                <w:sz w:val="20"/>
                <w:szCs w:val="20"/>
                <w:color w:val="auto"/>
              </w:rPr>
            </w:pPr>
            <w:r>
              <w:rPr>
                <w:rFonts w:ascii="Arial" w:cs="Arial" w:eastAsia="Arial" w:hAnsi="Arial"/>
                <w:sz w:val="18"/>
                <w:szCs w:val="18"/>
                <w:color w:val="auto"/>
              </w:rPr>
              <w:t>Total loans past-due ninety days or more and still accruing</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8"/>
                <w:szCs w:val="18"/>
                <w:color w:val="auto"/>
              </w:rPr>
            </w:pPr>
          </w:p>
        </w:tc>
        <w:tc>
          <w:tcPr>
            <w:tcW w:w="2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6"/>
          </w:tcPr>
          <w:p>
            <w:pPr>
              <w:jc w:val="center"/>
              <w:ind w:left="59"/>
              <w:spacing w:after="0"/>
              <w:rPr>
                <w:sz w:val="20"/>
                <w:szCs w:val="20"/>
                <w:color w:val="auto"/>
              </w:rPr>
            </w:pPr>
            <w:r>
              <w:rPr>
                <w:rFonts w:ascii="Arial" w:cs="Arial" w:eastAsia="Arial" w:hAnsi="Arial"/>
                <w:sz w:val="14"/>
                <w:szCs w:val="14"/>
                <w:color w:val="auto"/>
                <w:w w:val="94"/>
              </w:rPr>
              <w:t>(in Thousands)</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Borders>
              <w:bottom w:val="single" w:sz="8" w:color="CCEEFF"/>
            </w:tcBorders>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2017</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3"/>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investment in impaired loans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Interest income recognized on impaired loans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recognized on a cash basis on impaired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 additional funds are committed to be advanced in connection with impaired loans.</w:t>
      </w:r>
    </w:p>
    <w:p>
      <w:pPr>
        <w:spacing w:after="0" w:line="117"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color w:val="auto"/>
        </w:rPr>
        <w:t>The Bank had approximately $0.7 million of its impaired loans classified as trouble debt restructured as of December 31, 2017 and December 31,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represents the years ended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880"/>
              <w:spacing w:after="0"/>
              <w:rPr>
                <w:sz w:val="20"/>
                <w:szCs w:val="20"/>
                <w:color w:val="auto"/>
              </w:rPr>
            </w:pPr>
            <w:r>
              <w:rPr>
                <w:rFonts w:ascii="Arial" w:cs="Arial" w:eastAsia="Arial" w:hAnsi="Arial"/>
                <w:sz w:val="14"/>
                <w:szCs w:val="14"/>
                <w:color w:val="auto"/>
              </w:rPr>
              <w:t>(In thousands)</w:t>
            </w: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ind w:left="4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Post-</w:t>
            </w: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Pre-</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Post-</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9"/>
              </w:rPr>
              <w:t>Modification</w:t>
            </w: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Number of</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rPr>
              <w:t>Modification</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Modification</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Contracts</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Outstanding</w:t>
            </w: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2"/>
              </w:rPr>
              <w:t>Outstanding</w:t>
            </w:r>
          </w:p>
        </w:tc>
        <w:tc>
          <w:tcPr>
            <w:tcW w:w="2340" w:type="dxa"/>
            <w:vAlign w:val="bottom"/>
            <w:gridSpan w:val="2"/>
            <w:vMerge w:val="restart"/>
          </w:tcPr>
          <w:p>
            <w:pPr>
              <w:spacing w:after="0"/>
              <w:rPr>
                <w:sz w:val="20"/>
                <w:szCs w:val="20"/>
                <w:color w:val="auto"/>
              </w:rPr>
            </w:pPr>
            <w:r>
              <w:rPr>
                <w:rFonts w:ascii="Arial" w:cs="Arial" w:eastAsia="Arial" w:hAnsi="Arial"/>
                <w:sz w:val="14"/>
                <w:szCs w:val="14"/>
                <w:color w:val="auto"/>
              </w:rPr>
              <w:t>December 31, 2016</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3"/>
              </w:rPr>
              <w:t>Contracts</w:t>
            </w: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5"/>
              </w:rPr>
              <w:t>Outstanding</w:t>
            </w:r>
          </w:p>
        </w:tc>
        <w:tc>
          <w:tcPr>
            <w:tcW w:w="8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Outstanding</w:t>
            </w:r>
          </w:p>
        </w:tc>
        <w:tc>
          <w:tcPr>
            <w:tcW w:w="0" w:type="dxa"/>
            <w:vAlign w:val="bottom"/>
          </w:tcPr>
          <w:p>
            <w:pPr>
              <w:spacing w:after="0"/>
              <w:rPr>
                <w:sz w:val="1"/>
                <w:szCs w:val="1"/>
                <w:color w:val="auto"/>
              </w:rPr>
            </w:pPr>
          </w:p>
        </w:tc>
      </w:tr>
      <w:tr>
        <w:trPr>
          <w:trHeight w:val="140"/>
        </w:trPr>
        <w:tc>
          <w:tcPr>
            <w:tcW w:w="2440" w:type="dxa"/>
            <w:vAlign w:val="bottom"/>
            <w:gridSpan w:val="2"/>
          </w:tcPr>
          <w:p>
            <w:pPr>
              <w:spacing w:after="0" w:line="141" w:lineRule="exact"/>
              <w:rPr>
                <w:sz w:val="20"/>
                <w:szCs w:val="20"/>
                <w:color w:val="auto"/>
              </w:rPr>
            </w:pPr>
            <w:r>
              <w:rPr>
                <w:rFonts w:ascii="Arial" w:cs="Arial" w:eastAsia="Arial" w:hAnsi="Arial"/>
                <w:sz w:val="14"/>
                <w:szCs w:val="14"/>
                <w:color w:val="auto"/>
              </w:rPr>
              <w:t>December 31, 2017</w:t>
            </w:r>
          </w:p>
        </w:tc>
        <w:tc>
          <w:tcPr>
            <w:tcW w:w="1240" w:type="dxa"/>
            <w:vAlign w:val="bottom"/>
            <w:gridSpan w:val="2"/>
          </w:tcPr>
          <w:p>
            <w:pPr>
              <w:jc w:val="right"/>
              <w:ind w:right="340"/>
              <w:spacing w:after="0" w:line="141" w:lineRule="exact"/>
              <w:rPr>
                <w:sz w:val="20"/>
                <w:szCs w:val="20"/>
                <w:color w:val="auto"/>
              </w:rPr>
            </w:pPr>
            <w:r>
              <w:rPr>
                <w:rFonts w:ascii="Arial" w:cs="Arial" w:eastAsia="Arial" w:hAnsi="Arial"/>
                <w:sz w:val="14"/>
                <w:szCs w:val="14"/>
                <w:color w:val="auto"/>
                <w:w w:val="96"/>
              </w:rPr>
              <w:t>Modified in the</w:t>
            </w: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1"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1" w:lineRule="exact"/>
              <w:rPr>
                <w:sz w:val="20"/>
                <w:szCs w:val="20"/>
                <w:color w:val="auto"/>
              </w:rPr>
            </w:pPr>
            <w:r>
              <w:rPr>
                <w:rFonts w:ascii="Arial" w:cs="Arial" w:eastAsia="Arial" w:hAnsi="Arial"/>
                <w:sz w:val="14"/>
                <w:szCs w:val="14"/>
                <w:color w:val="auto"/>
                <w:w w:val="88"/>
              </w:rPr>
              <w:t>Recorded</w:t>
            </w:r>
          </w:p>
        </w:tc>
        <w:tc>
          <w:tcPr>
            <w:tcW w:w="2340" w:type="dxa"/>
            <w:vAlign w:val="bottom"/>
            <w:gridSpan w:val="2"/>
            <w:vMerge w:val="continue"/>
          </w:tcPr>
          <w:p>
            <w:pPr>
              <w:spacing w:after="0"/>
              <w:rPr>
                <w:sz w:val="12"/>
                <w:szCs w:val="12"/>
                <w:color w:val="auto"/>
              </w:rPr>
            </w:pPr>
          </w:p>
        </w:tc>
        <w:tc>
          <w:tcPr>
            <w:tcW w:w="1260" w:type="dxa"/>
            <w:vAlign w:val="bottom"/>
            <w:gridSpan w:val="2"/>
          </w:tcPr>
          <w:p>
            <w:pPr>
              <w:jc w:val="right"/>
              <w:ind w:right="360"/>
              <w:spacing w:after="0" w:line="141" w:lineRule="exact"/>
              <w:rPr>
                <w:sz w:val="20"/>
                <w:szCs w:val="20"/>
                <w:color w:val="auto"/>
              </w:rPr>
            </w:pPr>
            <w:r>
              <w:rPr>
                <w:rFonts w:ascii="Arial" w:cs="Arial" w:eastAsia="Arial" w:hAnsi="Arial"/>
                <w:sz w:val="14"/>
                <w:szCs w:val="14"/>
                <w:color w:val="auto"/>
                <w:w w:val="96"/>
              </w:rPr>
              <w:t>Modified in the</w:t>
            </w: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1" w:lineRule="exact"/>
              <w:rPr>
                <w:sz w:val="20"/>
                <w:szCs w:val="20"/>
                <w:color w:val="auto"/>
              </w:rPr>
            </w:pPr>
            <w:r>
              <w:rPr>
                <w:rFonts w:ascii="Arial" w:cs="Arial" w:eastAsia="Arial" w:hAnsi="Arial"/>
                <w:sz w:val="14"/>
                <w:szCs w:val="14"/>
                <w:color w:val="auto"/>
                <w:w w:val="92"/>
              </w:rPr>
              <w:t>Recorded</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1" w:lineRule="exact"/>
              <w:rPr>
                <w:sz w:val="20"/>
                <w:szCs w:val="20"/>
                <w:color w:val="auto"/>
              </w:rPr>
            </w:pPr>
            <w:r>
              <w:rPr>
                <w:rFonts w:ascii="Arial" w:cs="Arial" w:eastAsia="Arial" w:hAnsi="Arial"/>
                <w:sz w:val="14"/>
                <w:szCs w:val="14"/>
                <w:color w:val="auto"/>
                <w:w w:val="88"/>
              </w:rPr>
              <w:t>Recorded</w:t>
            </w:r>
          </w:p>
        </w:tc>
        <w:tc>
          <w:tcPr>
            <w:tcW w:w="0" w:type="dxa"/>
            <w:vAlign w:val="bottom"/>
          </w:tcPr>
          <w:p>
            <w:pPr>
              <w:spacing w:after="0"/>
              <w:rPr>
                <w:sz w:val="1"/>
                <w:szCs w:val="1"/>
                <w:color w:val="auto"/>
              </w:rPr>
            </w:pPr>
          </w:p>
        </w:tc>
      </w:tr>
      <w:tr>
        <w:trPr>
          <w:trHeight w:val="196"/>
        </w:trPr>
        <w:tc>
          <w:tcPr>
            <w:tcW w:w="2440" w:type="dxa"/>
            <w:vAlign w:val="bottom"/>
            <w:gridSpan w:val="2"/>
          </w:tcPr>
          <w:p>
            <w:pPr>
              <w:spacing w:after="0"/>
              <w:rPr>
                <w:sz w:val="20"/>
                <w:szCs w:val="20"/>
                <w:color w:val="auto"/>
              </w:rPr>
            </w:pPr>
            <w:r>
              <w:rPr>
                <w:rFonts w:ascii="Arial" w:cs="Arial" w:eastAsia="Arial" w:hAnsi="Arial"/>
                <w:sz w:val="14"/>
                <w:szCs w:val="14"/>
                <w:color w:val="auto"/>
              </w:rPr>
              <w:t>Troubled Debt Restructurings</w:t>
            </w:r>
          </w:p>
        </w:tc>
        <w:tc>
          <w:tcPr>
            <w:tcW w:w="1240" w:type="dxa"/>
            <w:vAlign w:val="bottom"/>
            <w:gridSpan w:val="2"/>
          </w:tcPr>
          <w:p>
            <w:pPr>
              <w:jc w:val="right"/>
              <w:ind w:right="340"/>
              <w:spacing w:after="0"/>
              <w:rPr>
                <w:sz w:val="20"/>
                <w:szCs w:val="20"/>
                <w:color w:val="auto"/>
              </w:rPr>
            </w:pPr>
            <w:r>
              <w:rPr>
                <w:rFonts w:ascii="Arial" w:cs="Arial" w:eastAsia="Arial" w:hAnsi="Arial"/>
                <w:sz w:val="14"/>
                <w:szCs w:val="14"/>
                <w:color w:val="auto"/>
                <w:w w:val="91"/>
              </w:rPr>
              <w:t>Last 12 Months</w:t>
            </w: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Investment</w:t>
            </w:r>
          </w:p>
        </w:tc>
        <w:tc>
          <w:tcPr>
            <w:tcW w:w="2340" w:type="dxa"/>
            <w:vAlign w:val="bottom"/>
            <w:gridSpan w:val="2"/>
          </w:tcPr>
          <w:p>
            <w:pPr>
              <w:ind w:left="160"/>
              <w:spacing w:after="0"/>
              <w:rPr>
                <w:sz w:val="20"/>
                <w:szCs w:val="20"/>
                <w:color w:val="auto"/>
              </w:rPr>
            </w:pPr>
            <w:r>
              <w:rPr>
                <w:rFonts w:ascii="Arial" w:cs="Arial" w:eastAsia="Arial" w:hAnsi="Arial"/>
                <w:sz w:val="14"/>
                <w:szCs w:val="14"/>
                <w:color w:val="auto"/>
              </w:rPr>
              <w:t>Troubled Debt Restructurings</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color w:val="auto"/>
                <w:w w:val="93"/>
              </w:rPr>
              <w:t>Last 12 Months</w:t>
            </w: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color w:val="auto"/>
                <w:w w:val="93"/>
              </w:rPr>
              <w:t>Investment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Investment</w:t>
            </w:r>
          </w:p>
        </w:tc>
        <w:tc>
          <w:tcPr>
            <w:tcW w:w="0" w:type="dxa"/>
            <w:vAlign w:val="bottom"/>
          </w:tcPr>
          <w:p>
            <w:pPr>
              <w:spacing w:after="0"/>
              <w:rPr>
                <w:sz w:val="1"/>
                <w:szCs w:val="1"/>
                <w:color w:val="auto"/>
              </w:rPr>
            </w:pPr>
          </w:p>
        </w:tc>
      </w:tr>
      <w:tr>
        <w:trPr>
          <w:trHeight w:val="190"/>
        </w:trPr>
        <w:tc>
          <w:tcPr>
            <w:tcW w:w="1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7"/>
              </w:rPr>
              <w:t>Commercial Real Estate</w:t>
            </w:r>
          </w:p>
        </w:tc>
        <w:tc>
          <w:tcPr>
            <w:tcW w:w="7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1"/>
              <w:spacing w:after="0" w:line="189"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2040" w:type="dxa"/>
            <w:vAlign w:val="bottom"/>
            <w:tcBorders>
              <w:top w:val="single" w:sz="8" w:color="auto"/>
            </w:tcBorders>
            <w:shd w:val="clear" w:color="auto" w:fill="CCEEFF"/>
          </w:tcPr>
          <w:p>
            <w:pPr>
              <w:ind w:left="300"/>
              <w:spacing w:after="0" w:line="189" w:lineRule="exact"/>
              <w:rPr>
                <w:sz w:val="20"/>
                <w:szCs w:val="20"/>
                <w:color w:val="auto"/>
              </w:rPr>
            </w:pPr>
            <w:r>
              <w:rPr>
                <w:rFonts w:ascii="Arial" w:cs="Arial" w:eastAsia="Arial" w:hAnsi="Arial"/>
                <w:sz w:val="18"/>
                <w:szCs w:val="18"/>
                <w:color w:val="auto"/>
                <w:w w:val="88"/>
              </w:rPr>
              <w:t>Commercial Real Estate</w:t>
            </w:r>
          </w:p>
        </w:tc>
        <w:tc>
          <w:tcPr>
            <w:tcW w:w="3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line="189" w:lineRule="exact"/>
              <w:rPr>
                <w:sz w:val="20"/>
                <w:szCs w:val="20"/>
                <w:color w:val="auto"/>
              </w:rPr>
            </w:pPr>
            <w:r>
              <w:rPr>
                <w:rFonts w:ascii="Arial" w:cs="Arial" w:eastAsia="Arial" w:hAnsi="Arial"/>
                <w:sz w:val="18"/>
                <w:szCs w:val="18"/>
                <w:color w:val="auto"/>
                <w:w w:val="86"/>
              </w:rPr>
              <w:t>138</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line="189" w:lineRule="exact"/>
              <w:rPr>
                <w:sz w:val="20"/>
                <w:szCs w:val="20"/>
                <w:color w:val="auto"/>
              </w:rPr>
            </w:pPr>
            <w:r>
              <w:rPr>
                <w:rFonts w:ascii="Arial" w:cs="Arial" w:eastAsia="Arial" w:hAnsi="Arial"/>
                <w:sz w:val="18"/>
                <w:szCs w:val="18"/>
                <w:color w:val="auto"/>
                <w:w w:val="79"/>
              </w:rPr>
              <w:t>138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38</w:t>
            </w: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Commercial and Industrial</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 the years ended December 31, 2017 and 2016, there were no TDR’s that subsequently defaulted after modification.</w:t>
      </w:r>
    </w:p>
    <w:p>
      <w:pPr>
        <w:spacing w:after="0" w:line="117" w:lineRule="exact"/>
        <w:rPr>
          <w:sz w:val="20"/>
          <w:szCs w:val="20"/>
          <w:color w:val="auto"/>
        </w:rPr>
      </w:pPr>
    </w:p>
    <w:p>
      <w:pPr>
        <w:ind w:left="800" w:right="80"/>
        <w:spacing w:after="0" w:line="257" w:lineRule="auto"/>
        <w:rPr>
          <w:sz w:val="20"/>
          <w:szCs w:val="20"/>
          <w:color w:val="auto"/>
        </w:rPr>
      </w:pPr>
      <w:r>
        <w:rPr>
          <w:rFonts w:ascii="Arial" w:cs="Arial" w:eastAsia="Arial" w:hAnsi="Arial"/>
          <w:sz w:val="18"/>
          <w:szCs w:val="18"/>
          <w:color w:val="auto"/>
        </w:rPr>
        <w:t>For the Bank’s impaired loans, the Bank may apply the observable market price methodology or utilize a measurement incorporating the present value of expected future cash flows discounted at the loan’s effective rate of interest. To determine observable market price,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80" w:lineRule="exact"/>
        <w:rPr>
          <w:sz w:val="20"/>
          <w:szCs w:val="20"/>
          <w:color w:val="auto"/>
        </w:rPr>
      </w:pPr>
    </w:p>
    <w:p>
      <w:pPr>
        <w:ind w:left="800" w:right="40"/>
        <w:spacing w:after="0" w:line="291"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tables present loans individually evaluated for impairment by portfolio class of loans as of December 31, 2017 and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w w:val="93"/>
              </w:rPr>
              <w:t>(In Thousands)</w:t>
            </w: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23" w:lineRule="exact"/>
              <w:rPr>
                <w:sz w:val="20"/>
                <w:szCs w:val="20"/>
                <w:color w:val="auto"/>
              </w:rPr>
            </w:pPr>
            <w:r>
              <w:rPr>
                <w:rFonts w:ascii="Arial" w:cs="Arial" w:eastAsia="Arial" w:hAnsi="Arial"/>
                <w:sz w:val="14"/>
                <w:szCs w:val="14"/>
                <w:color w:val="auto"/>
                <w:w w:val="94"/>
              </w:rPr>
              <w:t>Interest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Unpaid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Principal</w:t>
            </w:r>
          </w:p>
        </w:tc>
        <w:tc>
          <w:tcPr>
            <w:tcW w:w="10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color w:val="auto"/>
              </w:rPr>
              <w:t>Related</w:t>
            </w:r>
          </w:p>
        </w:tc>
        <w:tc>
          <w:tcPr>
            <w:tcW w:w="40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4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Balance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w w:val="93"/>
              </w:rPr>
              <w:t>Allowance</w:t>
            </w:r>
          </w:p>
        </w:tc>
        <w:tc>
          <w:tcPr>
            <w:tcW w:w="4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495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911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Agricultural Real Estate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With a specific allowance recorded: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Consumer Real Estate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21</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Agricultural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46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Commercial and Industrial</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39</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Totals: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Real Estate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575</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21</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999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360"/>
              <w:spacing w:after="0"/>
              <w:rPr>
                <w:sz w:val="20"/>
                <w:szCs w:val="20"/>
                <w:color w:val="auto"/>
              </w:rPr>
            </w:pPr>
            <w:r>
              <w:rPr>
                <w:rFonts w:ascii="Arial" w:cs="Arial" w:eastAsia="Arial" w:hAnsi="Arial"/>
                <w:sz w:val="18"/>
                <w:szCs w:val="18"/>
                <w:color w:val="auto"/>
              </w:rPr>
              <w:t>Agricultural Real Estate</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101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101</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Agricultural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360"/>
              <w:spacing w:after="0"/>
              <w:rPr>
                <w:sz w:val="20"/>
                <w:szCs w:val="20"/>
                <w:color w:val="auto"/>
              </w:rPr>
            </w:pPr>
            <w:r>
              <w:rPr>
                <w:rFonts w:ascii="Arial" w:cs="Arial" w:eastAsia="Arial" w:hAnsi="Arial"/>
                <w:sz w:val="18"/>
                <w:szCs w:val="18"/>
                <w:color w:val="auto"/>
              </w:rPr>
              <w:t>Commercial Real Estate</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6"/>
              </w:rPr>
              <w:t>625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625</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46</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444</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39</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199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360"/>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(In Thousands)</w:t>
            </w: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23" w:lineRule="exact"/>
              <w:rPr>
                <w:sz w:val="20"/>
                <w:szCs w:val="20"/>
                <w:color w:val="auto"/>
              </w:rPr>
            </w:pPr>
            <w:r>
              <w:rPr>
                <w:rFonts w:ascii="Arial" w:cs="Arial" w:eastAsia="Arial" w:hAnsi="Arial"/>
                <w:sz w:val="14"/>
                <w:szCs w:val="14"/>
                <w:color w:val="auto"/>
                <w:w w:val="94"/>
              </w:rPr>
              <w:t>Interest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Unpaid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Principal</w:t>
            </w:r>
          </w:p>
        </w:tc>
        <w:tc>
          <w:tcPr>
            <w:tcW w:w="80" w:type="dxa"/>
            <w:vAlign w:val="bottom"/>
          </w:tcPr>
          <w:p>
            <w:pPr>
              <w:spacing w:after="0"/>
              <w:rPr>
                <w:sz w:val="12"/>
                <w:szCs w:val="12"/>
                <w:color w:val="auto"/>
              </w:rPr>
            </w:pPr>
          </w:p>
        </w:tc>
        <w:tc>
          <w:tcPr>
            <w:tcW w:w="540" w:type="dxa"/>
            <w:vAlign w:val="bottom"/>
          </w:tcPr>
          <w:p>
            <w:pPr>
              <w:ind w:left="20"/>
              <w:spacing w:after="0" w:line="149" w:lineRule="exact"/>
              <w:rPr>
                <w:sz w:val="20"/>
                <w:szCs w:val="20"/>
                <w:color w:val="auto"/>
              </w:rPr>
            </w:pPr>
            <w:r>
              <w:rPr>
                <w:rFonts w:ascii="Arial" w:cs="Arial" w:eastAsia="Arial" w:hAnsi="Arial"/>
                <w:sz w:val="14"/>
                <w:szCs w:val="14"/>
                <w:color w:val="auto"/>
              </w:rPr>
              <w:t>Related</w:t>
            </w:r>
          </w:p>
        </w:tc>
        <w:tc>
          <w:tcPr>
            <w:tcW w:w="340" w:type="dxa"/>
            <w:vAlign w:val="bottom"/>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Recorded</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Income</w:t>
            </w:r>
          </w:p>
        </w:tc>
        <w:tc>
          <w:tcPr>
            <w:tcW w:w="740" w:type="dxa"/>
            <w:vAlign w:val="bottom"/>
            <w:gridSpan w:val="3"/>
          </w:tcPr>
          <w:p>
            <w:pPr>
              <w:spacing w:after="0" w:line="149" w:lineRule="exact"/>
              <w:rPr>
                <w:sz w:val="20"/>
                <w:szCs w:val="20"/>
                <w:color w:val="auto"/>
              </w:rPr>
            </w:pPr>
            <w:r>
              <w:rPr>
                <w:rFonts w:ascii="Arial" w:cs="Arial" w:eastAsia="Arial" w:hAnsi="Arial"/>
                <w:sz w:val="14"/>
                <w:szCs w:val="14"/>
                <w:color w:val="auto"/>
                <w:w w:val="97"/>
              </w:rPr>
              <w:t>Recognized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Balance</w:t>
            </w:r>
          </w:p>
        </w:tc>
        <w:tc>
          <w:tcPr>
            <w:tcW w:w="620" w:type="dxa"/>
            <w:vAlign w:val="bottom"/>
            <w:gridSpan w:val="2"/>
          </w:tcPr>
          <w:p>
            <w:pPr>
              <w:spacing w:after="0"/>
              <w:rPr>
                <w:sz w:val="20"/>
                <w:szCs w:val="20"/>
                <w:color w:val="auto"/>
              </w:rPr>
            </w:pPr>
            <w:r>
              <w:rPr>
                <w:rFonts w:ascii="Arial" w:cs="Arial" w:eastAsia="Arial" w:hAnsi="Arial"/>
                <w:sz w:val="14"/>
                <w:szCs w:val="14"/>
                <w:color w:val="auto"/>
                <w:w w:val="93"/>
              </w:rPr>
              <w:t>Allowance</w:t>
            </w:r>
          </w:p>
        </w:tc>
        <w:tc>
          <w:tcPr>
            <w:tcW w:w="3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rPr>
              <w:t>Investment</w:t>
            </w:r>
          </w:p>
        </w:tc>
        <w:tc>
          <w:tcPr>
            <w:tcW w:w="1020" w:type="dxa"/>
            <w:vAlign w:val="bottom"/>
            <w:gridSpan w:val="3"/>
          </w:tcPr>
          <w:p>
            <w:pPr>
              <w:spacing w:after="0"/>
              <w:rPr>
                <w:sz w:val="20"/>
                <w:szCs w:val="20"/>
                <w:color w:val="auto"/>
              </w:rPr>
            </w:pPr>
            <w:r>
              <w:rPr>
                <w:rFonts w:ascii="Arial" w:cs="Arial" w:eastAsia="Arial" w:hAnsi="Arial"/>
                <w:sz w:val="14"/>
                <w:szCs w:val="14"/>
                <w:color w:val="auto"/>
              </w:rPr>
              <w:t>Recognized</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w w:val="98"/>
              </w:rPr>
              <w:t>Cash Basis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Real Estate</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1,009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With a specific allowance recorded: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Agricultural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Totals:</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Consumer Real Estate</w:t>
            </w:r>
          </w:p>
        </w:tc>
        <w:tc>
          <w:tcPr>
            <w:tcW w:w="188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1,103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79"/>
              </w:rPr>
              <w:t>34</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Agricultural Real Estate</w:t>
            </w:r>
          </w:p>
        </w:tc>
        <w:tc>
          <w:tcPr>
            <w:tcW w:w="1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132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132</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156</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Agricultural</w:t>
            </w:r>
          </w:p>
        </w:tc>
        <w:tc>
          <w:tcPr>
            <w:tcW w:w="1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Real Estate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66</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618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40"/>
              <w:spacing w:after="0"/>
              <w:rPr>
                <w:sz w:val="20"/>
                <w:szCs w:val="20"/>
                <w:color w:val="auto"/>
              </w:rPr>
            </w:pPr>
            <w:r>
              <w:rPr>
                <w:rFonts w:ascii="Arial" w:cs="Arial" w:eastAsia="Arial" w:hAnsi="Arial"/>
                <w:sz w:val="18"/>
                <w:szCs w:val="18"/>
                <w:color w:val="auto"/>
              </w:rPr>
              <w:t>Commercial and Industrial</w:t>
            </w: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6"/>
              </w:rPr>
              <w:t>116</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116</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35</w:t>
            </w:r>
          </w:p>
        </w:tc>
        <w:tc>
          <w:tcPr>
            <w:tcW w:w="340" w:type="dxa"/>
            <w:vAlign w:val="bottom"/>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583</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24</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w:t>
            </w:r>
          </w:p>
        </w:tc>
        <w:tc>
          <w:tcPr>
            <w:tcW w:w="188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right="40"/>
        <w:spacing w:after="0" w:line="273" w:lineRule="auto"/>
        <w:rPr>
          <w:sz w:val="20"/>
          <w:szCs w:val="20"/>
          <w:color w:val="auto"/>
        </w:rPr>
      </w:pPr>
      <w:r>
        <w:rPr>
          <w:rFonts w:ascii="Arial" w:cs="Arial" w:eastAsia="Arial" w:hAnsi="Arial"/>
          <w:sz w:val="17"/>
          <w:szCs w:val="17"/>
          <w:color w:val="auto"/>
        </w:rPr>
        <w:t>On January 1, 2015, the Company adopted Accounting Standards Update (ASU) 2014-04, “Receivables,—Troubled Debt Restructuring by Creditors.” As of December 31, 2017 the Company had $25 thousand of foreclosed residential real estate property obtained by physical possession and $54 thousand of consumer mortgage loans secured by residential real estate properties for which foreclosure proceedings are in process according to local jurisdictions. This compares to the Company having $169 thousand of foreclosed residential real estate property obtained by physical possession and $112 thousand of consumer mortgage loans secured by residential real estate properties for which foreclosure proceedings are in process according to local jurisdictions as of December 31, 2016.</w:t>
      </w:r>
    </w:p>
    <w:p>
      <w:pPr>
        <w:spacing w:after="0" w:line="70" w:lineRule="exact"/>
        <w:rPr>
          <w:sz w:val="20"/>
          <w:szCs w:val="20"/>
          <w:color w:val="auto"/>
        </w:rPr>
      </w:pPr>
    </w:p>
    <w:p>
      <w:pPr>
        <w:ind w:left="800" w:right="560"/>
        <w:spacing w:after="0" w:line="277" w:lineRule="auto"/>
        <w:rPr>
          <w:sz w:val="20"/>
          <w:szCs w:val="20"/>
          <w:color w:val="auto"/>
        </w:rPr>
      </w:pPr>
      <w:r>
        <w:rPr>
          <w:rFonts w:ascii="Arial" w:cs="Arial" w:eastAsia="Arial" w:hAnsi="Arial"/>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is an analysis of the allowance for credit losses for the years ended December 31:</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99"/>
              </w:rPr>
              <w:t>(In Thousands)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9"/>
              </w:rPr>
              <w:t>2017</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w w:val="89"/>
              </w:rPr>
              <w:t>2016</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Balance at beginning of year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6,784</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6,057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5,905</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1,121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Loans charged off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(1,030)</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Balance at ending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6,868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6,784</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Unfunded Loan Commitments &amp; Letters of Credit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7,095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7,001</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800" w:right="180"/>
        <w:spacing w:after="0" w:line="308" w:lineRule="auto"/>
        <w:rPr>
          <w:sz w:val="20"/>
          <w:szCs w:val="20"/>
          <w:color w:val="auto"/>
        </w:rPr>
      </w:pPr>
      <w:r>
        <w:rPr>
          <w:rFonts w:ascii="Arial" w:cs="Arial" w:eastAsia="Arial" w:hAnsi="Arial"/>
          <w:sz w:val="17"/>
          <w:szCs w:val="17"/>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38" w:lineRule="exact"/>
        <w:rPr>
          <w:sz w:val="20"/>
          <w:szCs w:val="20"/>
          <w:color w:val="auto"/>
        </w:rPr>
      </w:pPr>
    </w:p>
    <w:p>
      <w:pPr>
        <w:ind w:left="800" w:right="2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62" w:lineRule="exact"/>
        <w:rPr>
          <w:sz w:val="20"/>
          <w:szCs w:val="20"/>
          <w:color w:val="auto"/>
        </w:rPr>
      </w:pPr>
    </w:p>
    <w:p>
      <w:pPr>
        <w:ind w:left="800" w:right="540"/>
        <w:spacing w:after="0" w:line="277" w:lineRule="auto"/>
        <w:rPr>
          <w:sz w:val="20"/>
          <w:szCs w:val="20"/>
          <w:color w:val="auto"/>
        </w:rPr>
      </w:pPr>
      <w:r>
        <w:rPr>
          <w:rFonts w:ascii="Arial" w:cs="Arial" w:eastAsia="Arial" w:hAnsi="Arial"/>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Additional analysis related to the allowance for credit losses as of December 31, 2017 and 2016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91"/>
              </w:rPr>
              <w:t>(In Thousands)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jc w:val="center"/>
              <w:ind w:right="280"/>
              <w:spacing w:after="0" w:line="123" w:lineRule="exact"/>
              <w:rPr>
                <w:sz w:val="20"/>
                <w:szCs w:val="20"/>
                <w:color w:val="auto"/>
              </w:rPr>
            </w:pPr>
            <w:r>
              <w:rPr>
                <w:rFonts w:ascii="Arial" w:cs="Arial" w:eastAsia="Arial" w:hAnsi="Arial"/>
                <w:sz w:val="14"/>
                <w:szCs w:val="14"/>
                <w:color w:val="auto"/>
                <w:w w:val="93"/>
              </w:rPr>
              <w:t>Unfunded Loan</w:t>
            </w: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Commitment</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Consumer</w:t>
            </w:r>
          </w:p>
        </w:tc>
        <w:tc>
          <w:tcPr>
            <w:tcW w:w="140" w:type="dxa"/>
            <w:vAlign w:val="bottom"/>
          </w:tcPr>
          <w:p>
            <w:pPr>
              <w:spacing w:after="0"/>
              <w:rPr>
                <w:sz w:val="12"/>
                <w:szCs w:val="12"/>
                <w:color w:val="auto"/>
              </w:rPr>
            </w:pP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9"/>
              </w:rPr>
              <w:t>Agricultural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Commercial</w:t>
            </w:r>
          </w:p>
        </w:tc>
        <w:tc>
          <w:tcPr>
            <w:tcW w:w="140" w:type="dxa"/>
            <w:vAlign w:val="bottom"/>
          </w:tcPr>
          <w:p>
            <w:pPr>
              <w:spacing w:after="0"/>
              <w:rPr>
                <w:sz w:val="12"/>
                <w:szCs w:val="12"/>
                <w:color w:val="auto"/>
              </w:rPr>
            </w:pPr>
          </w:p>
        </w:tc>
        <w:tc>
          <w:tcPr>
            <w:tcW w:w="10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7"/>
              </w:rPr>
              <w:t>&amp; Letters of</w:t>
            </w: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1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color w:val="auto"/>
                <w:w w:val="88"/>
              </w:rPr>
              <w:t>Real Estate</w:t>
            </w:r>
          </w:p>
        </w:tc>
        <w:tc>
          <w:tcPr>
            <w:tcW w:w="12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Agricultural</w:t>
            </w:r>
          </w:p>
        </w:tc>
        <w:tc>
          <w:tcPr>
            <w:tcW w:w="14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w w:val="93"/>
              </w:rPr>
              <w:t>Real Estate</w:t>
            </w:r>
          </w:p>
        </w:tc>
        <w:tc>
          <w:tcPr>
            <w:tcW w:w="14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color w:val="auto"/>
                <w:w w:val="95"/>
              </w:rPr>
              <w:t>and Industrial</w:t>
            </w:r>
          </w:p>
        </w:tc>
        <w:tc>
          <w:tcPr>
            <w:tcW w:w="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Consumer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Credit</w:t>
            </w: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Unallocated</w:t>
            </w:r>
          </w:p>
        </w:tc>
        <w:tc>
          <w:tcPr>
            <w:tcW w:w="14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00" w:type="dxa"/>
            <w:vAlign w:val="bottom"/>
          </w:tcPr>
          <w:p>
            <w:pPr>
              <w:spacing w:after="0" w:line="198" w:lineRule="exact"/>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241</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616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217</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4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Other Non-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related to</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unfunded</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10</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244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667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1,546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441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227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individually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evaluated for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collectively</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evaluated for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244</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667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1,507</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441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227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478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with</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deteriorated credit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83,200</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64,044</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95,238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409,953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132,787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37,802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823,024</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individually</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evaluated for</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101</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collectively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evaluated for</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82,625</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63,943</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95,238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409,328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132,343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37,802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821,279</w:t>
            </w:r>
          </w:p>
        </w:tc>
        <w:tc>
          <w:tcPr>
            <w:tcW w:w="0" w:type="dxa"/>
            <w:vAlign w:val="bottom"/>
          </w:tcPr>
          <w:p>
            <w:pPr>
              <w:spacing w:after="0"/>
              <w:rPr>
                <w:sz w:val="1"/>
                <w:szCs w:val="1"/>
                <w:color w:val="auto"/>
              </w:rPr>
            </w:pPr>
          </w:p>
        </w:tc>
      </w:tr>
      <w:tr>
        <w:trPr>
          <w:trHeight w:val="20"/>
        </w:trPr>
        <w:tc>
          <w:tcPr>
            <w:tcW w:w="1920" w:type="dxa"/>
            <w:vAlign w:val="bottom"/>
            <w:gridSpan w:val="2"/>
            <w:vMerge w:val="restart"/>
          </w:tcPr>
          <w:p>
            <w:pPr>
              <w:spacing w:after="0"/>
              <w:rPr>
                <w:sz w:val="20"/>
                <w:szCs w:val="20"/>
                <w:color w:val="auto"/>
              </w:rPr>
            </w:pPr>
            <w:r>
              <w:rPr>
                <w:rFonts w:ascii="Arial" w:cs="Arial" w:eastAsia="Arial" w:hAnsi="Arial"/>
                <w:sz w:val="18"/>
                <w:szCs w:val="18"/>
                <w:color w:val="auto"/>
              </w:rPr>
              <w:t>Ending balance: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acquired with</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deteriorated credit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11"/>
          </w:tcPr>
          <w:p>
            <w:pPr>
              <w:jc w:val="right"/>
              <w:spacing w:after="0"/>
              <w:rPr>
                <w:sz w:val="20"/>
                <w:szCs w:val="20"/>
                <w:color w:val="auto"/>
              </w:rPr>
            </w:pPr>
            <w:r>
              <w:rPr>
                <w:rFonts w:ascii="Arial" w:cs="Arial" w:eastAsia="Arial" w:hAnsi="Arial"/>
                <w:sz w:val="18"/>
                <w:szCs w:val="18"/>
                <w:b w:val="1"/>
                <w:bCs w:val="1"/>
                <w:color w:val="auto"/>
                <w:w w:val="89"/>
              </w:rPr>
              <w:t>Notes to Consolidated Financial Statements</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9"/>
          </w:tcPr>
          <w:p>
            <w:pPr>
              <w:ind w:left="700"/>
              <w:spacing w:after="0"/>
              <w:rPr>
                <w:sz w:val="20"/>
                <w:szCs w:val="20"/>
                <w:color w:val="auto"/>
              </w:rPr>
            </w:pPr>
            <w:r>
              <w:rPr>
                <w:rFonts w:ascii="Arial" w:cs="Arial" w:eastAsia="Arial" w:hAnsi="Arial"/>
                <w:sz w:val="18"/>
                <w:szCs w:val="18"/>
                <w:b w:val="1"/>
                <w:bCs w:val="1"/>
                <w:color w:val="auto"/>
                <w:w w:val="89"/>
              </w:rPr>
              <w:t>December 31, 2017, 2016, 2015</w:t>
            </w:r>
          </w:p>
        </w:tc>
        <w:tc>
          <w:tcPr>
            <w:tcW w:w="0" w:type="dxa"/>
            <w:vAlign w:val="bottom"/>
          </w:tcPr>
          <w:p>
            <w:pPr>
              <w:spacing w:after="0"/>
              <w:rPr>
                <w:sz w:val="1"/>
                <w:szCs w:val="1"/>
                <w:color w:val="auto"/>
              </w:rPr>
            </w:pPr>
          </w:p>
        </w:tc>
      </w:tr>
      <w:tr>
        <w:trPr>
          <w:trHeight w:val="365"/>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2"/>
              </w:rPr>
              <w:t>Note 4 – Loans (Continued)</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6"/>
              </w:rPr>
              <w:t>Unfunded Loan</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5"/>
              </w:rPr>
              <w:t>Commitment</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5"/>
              </w:rPr>
              <w:t>Consumer</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Agricultural</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rPr>
              <w:t>&amp; Letters of</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Real Estate</w:t>
            </w: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060" w:type="dxa"/>
            <w:vAlign w:val="bottom"/>
            <w:gridSpan w:val="3"/>
          </w:tcPr>
          <w:p>
            <w:pPr>
              <w:ind w:left="20"/>
              <w:spacing w:after="0"/>
              <w:rPr>
                <w:sz w:val="20"/>
                <w:szCs w:val="20"/>
                <w:color w:val="auto"/>
              </w:rPr>
            </w:pPr>
            <w:r>
              <w:rPr>
                <w:rFonts w:ascii="Arial" w:cs="Arial" w:eastAsia="Arial" w:hAnsi="Arial"/>
                <w:sz w:val="14"/>
                <w:szCs w:val="14"/>
                <w:color w:val="auto"/>
              </w:rPr>
              <w:t>Agricultural</w:t>
            </w: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and Industrial</w:t>
            </w:r>
          </w:p>
        </w:tc>
        <w:tc>
          <w:tcPr>
            <w:tcW w:w="720" w:type="dxa"/>
            <w:vAlign w:val="bottom"/>
            <w:gridSpan w:val="3"/>
          </w:tcPr>
          <w:p>
            <w:pPr>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Credit</w:t>
            </w:r>
          </w:p>
        </w:tc>
        <w:tc>
          <w:tcPr>
            <w:tcW w:w="940" w:type="dxa"/>
            <w:vAlign w:val="bottom"/>
            <w:gridSpan w:val="3"/>
          </w:tcPr>
          <w:p>
            <w:pPr>
              <w:ind w:left="40"/>
              <w:spacing w:after="0"/>
              <w:rPr>
                <w:sz w:val="20"/>
                <w:szCs w:val="20"/>
                <w:color w:val="auto"/>
              </w:rPr>
            </w:pPr>
            <w:r>
              <w:rPr>
                <w:rFonts w:ascii="Arial" w:cs="Arial" w:eastAsia="Arial" w:hAnsi="Arial"/>
                <w:sz w:val="14"/>
                <w:szCs w:val="14"/>
                <w:color w:val="auto"/>
              </w:rPr>
              <w:t>Unallocated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2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Arial" w:cs="Arial" w:eastAsia="Arial" w:hAnsi="Arial"/>
                <w:sz w:val="18"/>
                <w:szCs w:val="18"/>
                <w:b w:val="1"/>
                <w:bCs w:val="1"/>
                <w:color w:val="auto"/>
              </w:rPr>
              <w:t>ALLOWANCE FOR</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CREDIT LOSSES: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360"/>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40" w:type="dxa"/>
            <w:vAlign w:val="bottom"/>
          </w:tcPr>
          <w:p>
            <w:pPr>
              <w:ind w:left="360"/>
              <w:spacing w:after="0"/>
              <w:rPr>
                <w:sz w:val="20"/>
                <w:szCs w:val="20"/>
                <w:color w:val="auto"/>
              </w:rPr>
            </w:pPr>
            <w:r>
              <w:rPr>
                <w:rFonts w:ascii="Arial" w:cs="Arial" w:eastAsia="Arial" w:hAnsi="Arial"/>
                <w:sz w:val="18"/>
                <w:szCs w:val="18"/>
                <w:color w:val="auto"/>
              </w:rPr>
              <w:t>Provision (Credit)</w:t>
            </w: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Other Non-interest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expense related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 unfunded</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40" w:type="dxa"/>
            <w:vAlign w:val="bottom"/>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6"/>
              </w:rPr>
              <w:t>241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6"/>
              </w:rPr>
              <w:t>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6"/>
              </w:rPr>
              <w:t>217</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649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individually evaluated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collectively evaluated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3,184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394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217</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649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 loans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with</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deteriorated credit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b w:val="1"/>
                <w:bCs w:val="1"/>
                <w:color w:val="auto"/>
              </w:rPr>
              <w:t>FINANCING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tcPr>
          <w:p>
            <w:pPr>
              <w:ind w:left="180"/>
              <w:spacing w:after="0"/>
              <w:rPr>
                <w:sz w:val="20"/>
                <w:szCs w:val="20"/>
                <w:color w:val="auto"/>
              </w:rPr>
            </w:pPr>
            <w:r>
              <w:rPr>
                <w:rFonts w:ascii="Arial" w:cs="Arial" w:eastAsia="Arial" w:hAnsi="Arial"/>
                <w:sz w:val="18"/>
                <w:szCs w:val="18"/>
                <w:b w:val="1"/>
                <w:bCs w:val="1"/>
                <w:color w:val="auto"/>
              </w:rPr>
              <w:t>RECEIVABLES: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85,873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62,336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84,692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376,887</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115,093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33,213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758,094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individually evaluated</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auto"/>
              </w:rPr>
              <w:t>for impairment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1,103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Ending balance: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collectively evaluated</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 impairment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84,770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62,204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84,692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376,386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114,977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33,213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756,242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Ending balance: loans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acquired with</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180"/>
              <w:spacing w:after="0"/>
              <w:rPr>
                <w:sz w:val="20"/>
                <w:szCs w:val="20"/>
                <w:color w:val="auto"/>
              </w:rPr>
            </w:pPr>
            <w:r>
              <w:rPr>
                <w:rFonts w:ascii="Arial" w:cs="Arial" w:eastAsia="Arial" w:hAnsi="Arial"/>
                <w:sz w:val="18"/>
                <w:szCs w:val="18"/>
                <w:color w:val="auto"/>
              </w:rPr>
              <w:t>deteriorated credit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80"/>
              <w:spacing w:after="0"/>
              <w:rPr>
                <w:sz w:val="20"/>
                <w:szCs w:val="20"/>
                <w:color w:val="auto"/>
              </w:rPr>
            </w:pPr>
            <w:r>
              <w:rPr>
                <w:rFonts w:ascii="Arial" w:cs="Arial" w:eastAsia="Arial" w:hAnsi="Arial"/>
                <w:sz w:val="18"/>
                <w:szCs w:val="18"/>
                <w:color w:val="auto"/>
              </w:rPr>
              <w:t>quality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major categories of banking premises and equipment and accumulated depreciation at December 31 are summarized below: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00"/>
              <w:spacing w:after="0"/>
              <w:rPr>
                <w:sz w:val="20"/>
                <w:szCs w:val="20"/>
                <w:color w:val="auto"/>
              </w:rPr>
            </w:pPr>
            <w:r>
              <w:rPr>
                <w:rFonts w:ascii="Arial" w:cs="Arial" w:eastAsia="Arial" w:hAnsi="Arial"/>
                <w:sz w:val="14"/>
                <w:szCs w:val="14"/>
                <w:color w:val="auto"/>
              </w:rPr>
              <w:t>(In Thousands)</w:t>
            </w:r>
          </w:p>
        </w:tc>
      </w:tr>
      <w:tr>
        <w:trPr>
          <w:trHeight w:val="142"/>
        </w:trPr>
        <w:tc>
          <w:tcPr>
            <w:tcW w:w="6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Buildings (useful life 15-39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23,977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23,526</w:t>
            </w:r>
          </w:p>
        </w:tc>
        <w:tc>
          <w:tcPr>
            <w:tcW w:w="12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Furnishings (useful life 3-15 years)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12,673</w:t>
            </w:r>
          </w:p>
        </w:tc>
        <w:tc>
          <w:tcPr>
            <w:tcW w:w="120" w:type="dxa"/>
            <w:vAlign w:val="bottom"/>
            <w:shd w:val="clear" w:color="auto" w:fill="CCEEFF"/>
          </w:tcPr>
          <w:p>
            <w:pPr>
              <w:spacing w:after="0"/>
              <w:rPr>
                <w:sz w:val="18"/>
                <w:szCs w:val="18"/>
                <w:color w:val="auto"/>
              </w:rPr>
            </w:pPr>
          </w:p>
        </w:tc>
      </w:tr>
      <w:tr>
        <w:trPr>
          <w:trHeight w:val="223"/>
        </w:trPr>
        <w:tc>
          <w:tcPr>
            <w:tcW w:w="6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43,220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41,846</w:t>
            </w:r>
          </w:p>
        </w:tc>
        <w:tc>
          <w:tcPr>
            <w:tcW w:w="120" w:type="dxa"/>
            <w:vAlign w:val="bottom"/>
          </w:tcPr>
          <w:p>
            <w:pPr>
              <w:spacing w:after="0"/>
              <w:rPr>
                <w:sz w:val="19"/>
                <w:szCs w:val="19"/>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(21,603)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(20,389)</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21,617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21,457</w:t>
            </w:r>
          </w:p>
        </w:tc>
        <w:tc>
          <w:tcPr>
            <w:tcW w:w="12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800"/>
        <w:spacing w:after="0"/>
        <w:rPr>
          <w:sz w:val="20"/>
          <w:szCs w:val="20"/>
          <w:color w:val="auto"/>
        </w:rPr>
      </w:pPr>
      <w:r>
        <w:rPr>
          <w:rFonts w:ascii="Arial" w:cs="Arial" w:eastAsia="Arial" w:hAnsi="Arial"/>
          <w:sz w:val="17"/>
          <w:szCs w:val="17"/>
          <w:color w:val="auto"/>
        </w:rPr>
        <w:t>Depreciation expense for the years ended December 31, 2017, 2016 and 2015 amounted to $1.6, $1.5, and $1.4 million, respectively.</w:t>
      </w:r>
    </w:p>
    <w:p>
      <w:pPr>
        <w:spacing w:after="0" w:line="129" w:lineRule="exact"/>
        <w:rPr>
          <w:sz w:val="20"/>
          <w:szCs w:val="20"/>
          <w:color w:val="auto"/>
        </w:rPr>
      </w:pPr>
    </w:p>
    <w:p>
      <w:pPr>
        <w:ind w:left="800" w:right="620"/>
        <w:spacing w:after="0" w:line="277" w:lineRule="auto"/>
        <w:rPr>
          <w:sz w:val="20"/>
          <w:szCs w:val="20"/>
          <w:color w:val="auto"/>
        </w:rPr>
      </w:pPr>
      <w:r>
        <w:rPr>
          <w:rFonts w:ascii="Arial" w:cs="Arial" w:eastAsia="Arial" w:hAnsi="Arial"/>
          <w:sz w:val="18"/>
          <w:szCs w:val="18"/>
          <w:color w:val="auto"/>
        </w:rPr>
        <w:t>Construction in Progress of $109 thousand as of December 31, 2017 represented remodeling expenses incurred for a building purchased in Findlay, Ohio to be opened first quarter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w:t>
      </w:r>
    </w:p>
    <w:p>
      <w:pPr>
        <w:spacing w:after="0" w:line="121" w:lineRule="exact"/>
        <w:rPr>
          <w:sz w:val="20"/>
          <w:szCs w:val="20"/>
          <w:color w:val="auto"/>
        </w:rPr>
      </w:pPr>
    </w:p>
    <w:p>
      <w:pPr>
        <w:ind w:left="800" w:right="240"/>
        <w:spacing w:after="0" w:line="277" w:lineRule="auto"/>
        <w:rPr>
          <w:sz w:val="20"/>
          <w:szCs w:val="20"/>
          <w:color w:val="auto"/>
        </w:rPr>
      </w:pPr>
      <w:r>
        <w:rPr>
          <w:rFonts w:ascii="Arial" w:cs="Arial" w:eastAsia="Arial" w:hAnsi="Arial"/>
          <w:sz w:val="18"/>
          <w:szCs w:val="18"/>
          <w:color w:val="auto"/>
        </w:rPr>
        <w:t>Loans serviced for others are not included in the accompanying consolidated balance sheets. The unpaid principal balances of loans serviced for others were $288.6 and $280.4 million at December 31, 2017 and 2016, respectively.</w:t>
      </w:r>
    </w:p>
    <w:p>
      <w:pPr>
        <w:spacing w:after="0" w:line="62" w:lineRule="exact"/>
        <w:rPr>
          <w:sz w:val="20"/>
          <w:szCs w:val="20"/>
          <w:color w:val="auto"/>
        </w:rPr>
      </w:pPr>
    </w:p>
    <w:p>
      <w:pPr>
        <w:ind w:left="800" w:right="200"/>
        <w:spacing w:after="0" w:line="308" w:lineRule="auto"/>
        <w:rPr>
          <w:sz w:val="20"/>
          <w:szCs w:val="20"/>
          <w:color w:val="auto"/>
        </w:rPr>
      </w:pPr>
      <w:r>
        <w:rPr>
          <w:rFonts w:ascii="Arial" w:cs="Arial" w:eastAsia="Arial" w:hAnsi="Arial"/>
          <w:sz w:val="17"/>
          <w:szCs w:val="17"/>
          <w:color w:val="auto"/>
        </w:rPr>
        <w:t>The balance of capitalized servicing rights included in other assets at December 31, 2017 and 2016, was $2.3 and $2.2 million, respectively. The capitalized addition of servicing rights is included in net gain on sale of loans on the consolidated statement of income.</w:t>
      </w:r>
    </w:p>
    <w:p>
      <w:pPr>
        <w:spacing w:after="0" w:line="38" w:lineRule="exact"/>
        <w:rPr>
          <w:sz w:val="20"/>
          <w:szCs w:val="20"/>
          <w:color w:val="auto"/>
        </w:rPr>
      </w:pPr>
    </w:p>
    <w:p>
      <w:pPr>
        <w:ind w:left="800" w:right="180"/>
        <w:spacing w:after="0" w:line="276" w:lineRule="auto"/>
        <w:rPr>
          <w:sz w:val="20"/>
          <w:szCs w:val="20"/>
          <w:color w:val="auto"/>
        </w:rPr>
      </w:pPr>
      <w:r>
        <w:rPr>
          <w:rFonts w:ascii="Arial" w:cs="Arial" w:eastAsia="Arial" w:hAnsi="Arial"/>
          <w:sz w:val="17"/>
          <w:szCs w:val="17"/>
          <w:color w:val="auto"/>
        </w:rPr>
        <w:t>The fair market value of the capitalized servicing rights as of December 31, 2017 and 2016 was $3.1 million and $2.5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10.4% and 14.3% were utilized for 2017 and 2016, respectively. All stratums showed positive values compared to carrying value using a discount yield of 6.07% for 2017 and 5.38% for 2016.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summarizes mortgage servicing rights capitalized and amortized during each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8"/>
          </w:tcPr>
          <w:p>
            <w:pPr>
              <w:ind w:left="12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70"/>
              </w:rPr>
              <w:t>2016</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Year</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$2,192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20" w:type="dxa"/>
            <w:vAlign w:val="bottom"/>
            <w:gridSpan w:val="2"/>
          </w:tcPr>
          <w:p>
            <w:pPr>
              <w:ind w:left="360"/>
              <w:spacing w:after="0"/>
              <w:rPr>
                <w:sz w:val="20"/>
                <w:szCs w:val="20"/>
                <w:color w:val="auto"/>
              </w:rPr>
            </w:pPr>
            <w:r>
              <w:rPr>
                <w:rFonts w:ascii="Arial" w:cs="Arial" w:eastAsia="Arial" w:hAnsi="Arial"/>
                <w:sz w:val="18"/>
                <w:szCs w:val="18"/>
                <w:color w:val="auto"/>
              </w:rPr>
              <w:t>Capitalized Additions</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1920" w:type="dxa"/>
            <w:vAlign w:val="bottom"/>
            <w:gridSpan w:val="6"/>
            <w:shd w:val="clear" w:color="auto" w:fill="CCEEFF"/>
          </w:tcPr>
          <w:p>
            <w:pPr>
              <w:jc w:val="right"/>
              <w:ind w:right="172"/>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2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 of Year</w:t>
            </w:r>
          </w:p>
        </w:tc>
        <w:tc>
          <w:tcPr>
            <w:tcW w:w="16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2,299</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2,192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jc w:val="right"/>
              <w:ind w:right="6010"/>
              <w:spacing w:after="0"/>
              <w:rPr>
                <w:sz w:val="20"/>
                <w:szCs w:val="20"/>
                <w:color w:val="auto"/>
              </w:rPr>
            </w:pPr>
            <w:r>
              <w:rPr>
                <w:rFonts w:ascii="Arial" w:cs="Arial" w:eastAsia="Arial" w:hAnsi="Arial"/>
                <w:sz w:val="18"/>
                <w:szCs w:val="18"/>
                <w:b w:val="1"/>
                <w:bCs w:val="1"/>
                <w:color w:val="auto"/>
                <w:w w:val="87"/>
              </w:rPr>
              <w:t>Note 7 - Deposits</w:t>
            </w: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0" w:type="dxa"/>
            <w:vAlign w:val="bottom"/>
            <w:gridSpan w:val="3"/>
          </w:tcPr>
          <w:p>
            <w:pPr>
              <w:ind w:left="800"/>
              <w:spacing w:after="0"/>
              <w:rPr>
                <w:sz w:val="20"/>
                <w:szCs w:val="20"/>
                <w:color w:val="auto"/>
              </w:rPr>
            </w:pPr>
            <w:r>
              <w:rPr>
                <w:rFonts w:ascii="Arial" w:cs="Arial" w:eastAsia="Arial" w:hAnsi="Arial"/>
                <w:sz w:val="18"/>
                <w:szCs w:val="18"/>
                <w:color w:val="auto"/>
              </w:rPr>
              <w:t>Time deposits as of December 31 consist of the following:</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w w:val="93"/>
              </w:rPr>
              <w:t>(In Thousands)</w:t>
            </w: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gridSpan w:val="3"/>
          </w:tcPr>
          <w:p>
            <w:pPr>
              <w:jc w:val="right"/>
              <w:ind w:right="119"/>
              <w:spacing w:after="0" w:line="142"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2"/>
                <w:szCs w:val="12"/>
                <w:color w:val="auto"/>
              </w:rPr>
            </w:pPr>
          </w:p>
        </w:tc>
        <w:tc>
          <w:tcPr>
            <w:tcW w:w="940" w:type="dxa"/>
            <w:vAlign w:val="bottom"/>
            <w:gridSpan w:val="4"/>
          </w:tcPr>
          <w:p>
            <w:pPr>
              <w:jc w:val="right"/>
              <w:ind w:right="54"/>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 deposits under $250,000</w:t>
            </w:r>
          </w:p>
        </w:tc>
        <w:tc>
          <w:tcPr>
            <w:tcW w:w="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$165,866</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$179,387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Time deposits of $250,000 or more</w:t>
            </w:r>
          </w:p>
        </w:tc>
        <w:tc>
          <w:tcPr>
            <w:tcW w:w="840" w:type="dxa"/>
            <w:vAlign w:val="bottom"/>
          </w:tcPr>
          <w:p>
            <w:pPr>
              <w:spacing w:after="0"/>
              <w:rPr>
                <w:sz w:val="19"/>
                <w:szCs w:val="19"/>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21,700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19,443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187,566</w:t>
            </w:r>
          </w:p>
        </w:tc>
        <w:tc>
          <w:tcPr>
            <w:tcW w:w="8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198,830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3"/>
            <w:vMerge w:val="restart"/>
          </w:tcPr>
          <w:p>
            <w:pPr>
              <w:ind w:left="800"/>
              <w:spacing w:after="0"/>
              <w:rPr>
                <w:sz w:val="20"/>
                <w:szCs w:val="20"/>
                <w:color w:val="auto"/>
              </w:rPr>
            </w:pPr>
            <w:r>
              <w:rPr>
                <w:rFonts w:ascii="Arial" w:cs="Arial" w:eastAsia="Arial" w:hAnsi="Arial"/>
                <w:sz w:val="18"/>
                <w:szCs w:val="18"/>
                <w:color w:val="auto"/>
              </w:rPr>
              <w:t>At December 31, 2017 the scheduled maturities for time deposits are as follows:</w:t>
            </w:r>
          </w:p>
        </w:tc>
        <w:tc>
          <w:tcPr>
            <w:tcW w:w="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6"/>
          </w:tcPr>
          <w:p>
            <w:pPr>
              <w:ind w:left="160"/>
              <w:spacing w:after="0"/>
              <w:rPr>
                <w:sz w:val="20"/>
                <w:szCs w:val="20"/>
                <w:color w:val="auto"/>
              </w:rPr>
            </w:pPr>
            <w:r>
              <w:rPr>
                <w:rFonts w:ascii="Arial" w:cs="Arial" w:eastAsia="Arial" w:hAnsi="Arial"/>
                <w:sz w:val="14"/>
                <w:szCs w:val="14"/>
                <w:color w:val="auto"/>
                <w:w w:val="95"/>
              </w:rPr>
              <w:t>(In Thousands)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rPr>
              <w:t>2018</w:t>
            </w:r>
          </w:p>
        </w:tc>
        <w:tc>
          <w:tcPr>
            <w:tcW w:w="1260" w:type="dxa"/>
            <w:vAlign w:val="bottom"/>
            <w:tcBorders>
              <w:top w:val="single" w:sz="8" w:color="CCEEFF"/>
            </w:tcBorders>
            <w:gridSpan w:val="3"/>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83,734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5560" w:type="dxa"/>
            <w:vAlign w:val="bottom"/>
          </w:tcPr>
          <w:p>
            <w:pPr>
              <w:jc w:val="right"/>
              <w:ind w:right="475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38,274</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556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rPr>
              <w:t>2020</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25,787</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5560" w:type="dxa"/>
            <w:vAlign w:val="bottom"/>
          </w:tcPr>
          <w:p>
            <w:pPr>
              <w:jc w:val="right"/>
              <w:ind w:right="475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26,441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18"/>
                <w:szCs w:val="18"/>
                <w:color w:val="auto"/>
              </w:rPr>
            </w:pPr>
          </w:p>
        </w:tc>
        <w:tc>
          <w:tcPr>
            <w:tcW w:w="556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rPr>
              <w:t>2022</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12,701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tcPr>
          <w:p>
            <w:pPr>
              <w:jc w:val="right"/>
              <w:ind w:right="4730"/>
              <w:spacing w:after="0"/>
              <w:rPr>
                <w:sz w:val="20"/>
                <w:szCs w:val="20"/>
                <w:color w:val="auto"/>
              </w:rPr>
            </w:pPr>
            <w:r>
              <w:rPr>
                <w:rFonts w:ascii="Arial" w:cs="Arial" w:eastAsia="Arial" w:hAnsi="Arial"/>
                <w:sz w:val="18"/>
                <w:szCs w:val="18"/>
                <w:color w:val="auto"/>
                <w:w w:val="86"/>
              </w:rPr>
              <w:t>Thereafter</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00" w:type="dxa"/>
            <w:vAlign w:val="bottom"/>
            <w:tcBorders>
              <w:right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  187,566</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w:t>
      </w:r>
    </w:p>
    <w:p>
      <w:pPr>
        <w:spacing w:after="0" w:line="121" w:lineRule="exact"/>
        <w:rPr>
          <w:sz w:val="20"/>
          <w:szCs w:val="20"/>
          <w:color w:val="auto"/>
        </w:rPr>
      </w:pPr>
    </w:p>
    <w:p>
      <w:pPr>
        <w:jc w:val="both"/>
        <w:ind w:left="800" w:right="80"/>
        <w:spacing w:after="0" w:line="259" w:lineRule="auto"/>
        <w:rPr>
          <w:sz w:val="20"/>
          <w:szCs w:val="20"/>
          <w:color w:val="auto"/>
        </w:rPr>
      </w:pPr>
      <w:r>
        <w:rPr>
          <w:rFonts w:ascii="Arial" w:cs="Arial" w:eastAsia="Arial" w:hAnsi="Arial"/>
          <w:sz w:val="18"/>
          <w:szCs w:val="18"/>
          <w:color w:val="auto"/>
        </w:rPr>
        <w:t>The Bank’s policy requires qualifying securities to be used as collateral for the underlying repurchase agreements. As of December 31, 2017 and 2016 securities with a market value of $35.9 million and $55.2 million, respectively, were pledged to secure the repurchase agreements. The table below presents the daily securities sold under agreement to repurchase and the term repurchase agreements. It does not include the Bank’s Federal Funds purchased.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60" w:type="dxa"/>
            <w:vAlign w:val="bottom"/>
            <w:gridSpan w:val="14"/>
          </w:tcPr>
          <w:p>
            <w:pPr>
              <w:jc w:val="right"/>
              <w:ind w:right="1060"/>
              <w:spacing w:after="0"/>
              <w:rPr>
                <w:sz w:val="20"/>
                <w:szCs w:val="20"/>
                <w:color w:val="auto"/>
              </w:rPr>
            </w:pPr>
            <w:r>
              <w:rPr>
                <w:rFonts w:ascii="Arial" w:cs="Arial" w:eastAsia="Arial" w:hAnsi="Arial"/>
                <w:sz w:val="14"/>
                <w:szCs w:val="14"/>
                <w:color w:val="auto"/>
                <w:w w:val="94"/>
              </w:rPr>
              <w:t>Daily Securities Sold Under Agreement to Repurchase</w:t>
            </w: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5"/>
          </w:tcPr>
          <w:p>
            <w:pPr>
              <w:jc w:val="center"/>
              <w:ind w:right="700"/>
              <w:spacing w:after="0"/>
              <w:rPr>
                <w:sz w:val="20"/>
                <w:szCs w:val="20"/>
                <w:color w:val="auto"/>
              </w:rPr>
            </w:pPr>
            <w:r>
              <w:rPr>
                <w:rFonts w:ascii="Arial" w:cs="Arial" w:eastAsia="Arial" w:hAnsi="Arial"/>
                <w:sz w:val="14"/>
                <w:szCs w:val="14"/>
                <w:color w:val="auto"/>
                <w:w w:val="99"/>
              </w:rPr>
              <w:t>Amount</w:t>
            </w:r>
          </w:p>
        </w:tc>
        <w:tc>
          <w:tcPr>
            <w:tcW w:w="1320" w:type="dxa"/>
            <w:vAlign w:val="bottom"/>
            <w:gridSpan w:val="4"/>
          </w:tcPr>
          <w:p>
            <w:pPr>
              <w:jc w:val="center"/>
              <w:ind w:right="740"/>
              <w:spacing w:after="0"/>
              <w:rPr>
                <w:sz w:val="20"/>
                <w:szCs w:val="20"/>
                <w:color w:val="auto"/>
              </w:rPr>
            </w:pPr>
            <w:r>
              <w:rPr>
                <w:rFonts w:ascii="Arial" w:cs="Arial" w:eastAsia="Arial" w:hAnsi="Arial"/>
                <w:sz w:val="14"/>
                <w:szCs w:val="14"/>
                <w:color w:val="auto"/>
                <w:w w:val="91"/>
              </w:rPr>
              <w:t>Weighted</w:t>
            </w:r>
          </w:p>
        </w:tc>
        <w:tc>
          <w:tcPr>
            <w:tcW w:w="1600" w:type="dxa"/>
            <w:vAlign w:val="bottom"/>
            <w:gridSpan w:val="5"/>
          </w:tcPr>
          <w:p>
            <w:pPr>
              <w:jc w:val="center"/>
              <w:ind w:right="380"/>
              <w:spacing w:after="0"/>
              <w:rPr>
                <w:sz w:val="20"/>
                <w:szCs w:val="20"/>
                <w:color w:val="auto"/>
              </w:rPr>
            </w:pPr>
            <w:r>
              <w:rPr>
                <w:rFonts w:ascii="Arial" w:cs="Arial" w:eastAsia="Arial" w:hAnsi="Arial"/>
                <w:sz w:val="14"/>
                <w:szCs w:val="14"/>
                <w:color w:val="auto"/>
                <w:w w:val="97"/>
              </w:rPr>
              <w:t>Maximum Amount</w:t>
            </w:r>
          </w:p>
        </w:tc>
        <w:tc>
          <w:tcPr>
            <w:tcW w:w="200" w:type="dxa"/>
            <w:vAlign w:val="bottom"/>
          </w:tcPr>
          <w:p>
            <w:pPr>
              <w:spacing w:after="0"/>
              <w:rPr>
                <w:sz w:val="21"/>
                <w:szCs w:val="21"/>
                <w:color w:val="auto"/>
              </w:rPr>
            </w:pPr>
          </w:p>
        </w:tc>
        <w:tc>
          <w:tcPr>
            <w:tcW w:w="1540" w:type="dxa"/>
            <w:vAlign w:val="bottom"/>
            <w:gridSpan w:val="5"/>
          </w:tcPr>
          <w:p>
            <w:pPr>
              <w:jc w:val="center"/>
              <w:ind w:right="580"/>
              <w:spacing w:after="0"/>
              <w:rPr>
                <w:sz w:val="20"/>
                <w:szCs w:val="20"/>
                <w:color w:val="auto"/>
              </w:rPr>
            </w:pPr>
            <w:r>
              <w:rPr>
                <w:rFonts w:ascii="Arial" w:cs="Arial" w:eastAsia="Arial" w:hAnsi="Arial"/>
                <w:sz w:val="14"/>
                <w:szCs w:val="14"/>
                <w:color w:val="auto"/>
                <w:w w:val="96"/>
              </w:rPr>
              <w:t>Approximate</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720"/>
              <w:spacing w:after="0" w:line="149" w:lineRule="exact"/>
              <w:rPr>
                <w:sz w:val="20"/>
                <w:szCs w:val="20"/>
                <w:color w:val="auto"/>
              </w:rPr>
            </w:pPr>
            <w:r>
              <w:rPr>
                <w:rFonts w:ascii="Arial" w:cs="Arial" w:eastAsia="Arial" w:hAnsi="Arial"/>
                <w:sz w:val="14"/>
                <w:szCs w:val="14"/>
                <w:color w:val="auto"/>
                <w:w w:val="92"/>
              </w:rPr>
              <w:t>Outstanding</w:t>
            </w:r>
          </w:p>
        </w:tc>
        <w:tc>
          <w:tcPr>
            <w:tcW w:w="1320" w:type="dxa"/>
            <w:vAlign w:val="bottom"/>
            <w:gridSpan w:val="4"/>
          </w:tcPr>
          <w:p>
            <w:pPr>
              <w:jc w:val="center"/>
              <w:ind w:right="720"/>
              <w:spacing w:after="0" w:line="149" w:lineRule="exact"/>
              <w:rPr>
                <w:sz w:val="20"/>
                <w:szCs w:val="20"/>
                <w:color w:val="auto"/>
              </w:rPr>
            </w:pPr>
            <w:r>
              <w:rPr>
                <w:rFonts w:ascii="Arial" w:cs="Arial" w:eastAsia="Arial" w:hAnsi="Arial"/>
                <w:sz w:val="14"/>
                <w:szCs w:val="14"/>
                <w:color w:val="auto"/>
                <w:w w:val="91"/>
              </w:rPr>
              <w:t>Average</w:t>
            </w:r>
          </w:p>
        </w:tc>
        <w:tc>
          <w:tcPr>
            <w:tcW w:w="1600" w:type="dxa"/>
            <w:vAlign w:val="bottom"/>
            <w:gridSpan w:val="5"/>
          </w:tcPr>
          <w:p>
            <w:pPr>
              <w:jc w:val="center"/>
              <w:ind w:right="400"/>
              <w:spacing w:after="0" w:line="149" w:lineRule="exact"/>
              <w:rPr>
                <w:sz w:val="20"/>
                <w:szCs w:val="20"/>
                <w:color w:val="auto"/>
              </w:rPr>
            </w:pPr>
            <w:r>
              <w:rPr>
                <w:rFonts w:ascii="Arial" w:cs="Arial" w:eastAsia="Arial" w:hAnsi="Arial"/>
                <w:sz w:val="14"/>
                <w:szCs w:val="14"/>
                <w:color w:val="auto"/>
                <w:w w:val="97"/>
              </w:rPr>
              <w:t>Borrowings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840"/>
              <w:spacing w:after="0" w:line="149" w:lineRule="exact"/>
              <w:rPr>
                <w:sz w:val="20"/>
                <w:szCs w:val="20"/>
                <w:color w:val="auto"/>
              </w:rPr>
            </w:pPr>
            <w:r>
              <w:rPr>
                <w:rFonts w:ascii="Arial" w:cs="Arial" w:eastAsia="Arial" w:hAnsi="Arial"/>
                <w:sz w:val="14"/>
                <w:szCs w:val="14"/>
                <w:color w:val="auto"/>
                <w:w w:val="88"/>
              </w:rPr>
              <w:t>Average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jc w:val="center"/>
              <w:ind w:right="700"/>
              <w:spacing w:after="0" w:line="149" w:lineRule="exact"/>
              <w:rPr>
                <w:sz w:val="20"/>
                <w:szCs w:val="20"/>
                <w:color w:val="auto"/>
              </w:rPr>
            </w:pPr>
            <w:r>
              <w:rPr>
                <w:rFonts w:ascii="Arial" w:cs="Arial" w:eastAsia="Arial" w:hAnsi="Arial"/>
                <w:sz w:val="14"/>
                <w:szCs w:val="14"/>
                <w:color w:val="auto"/>
                <w:w w:val="88"/>
              </w:rPr>
              <w:t>at End</w:t>
            </w:r>
          </w:p>
        </w:tc>
        <w:tc>
          <w:tcPr>
            <w:tcW w:w="1320" w:type="dxa"/>
            <w:vAlign w:val="bottom"/>
            <w:gridSpan w:val="4"/>
          </w:tcPr>
          <w:p>
            <w:pPr>
              <w:jc w:val="center"/>
              <w:ind w:right="740"/>
              <w:spacing w:after="0" w:line="149" w:lineRule="exact"/>
              <w:rPr>
                <w:sz w:val="20"/>
                <w:szCs w:val="20"/>
                <w:color w:val="auto"/>
              </w:rPr>
            </w:pPr>
            <w:r>
              <w:rPr>
                <w:rFonts w:ascii="Arial" w:cs="Arial" w:eastAsia="Arial" w:hAnsi="Arial"/>
                <w:sz w:val="14"/>
                <w:szCs w:val="14"/>
                <w:color w:val="auto"/>
                <w:w w:val="92"/>
              </w:rPr>
              <w:t>Rate End</w:t>
            </w:r>
          </w:p>
        </w:tc>
        <w:tc>
          <w:tcPr>
            <w:tcW w:w="1600" w:type="dxa"/>
            <w:vAlign w:val="bottom"/>
            <w:gridSpan w:val="5"/>
          </w:tcPr>
          <w:p>
            <w:pPr>
              <w:jc w:val="center"/>
              <w:ind w:right="380"/>
              <w:spacing w:after="0" w:line="149" w:lineRule="exact"/>
              <w:rPr>
                <w:sz w:val="20"/>
                <w:szCs w:val="20"/>
                <w:color w:val="auto"/>
              </w:rPr>
            </w:pPr>
            <w:r>
              <w:rPr>
                <w:rFonts w:ascii="Arial" w:cs="Arial" w:eastAsia="Arial" w:hAnsi="Arial"/>
                <w:sz w:val="14"/>
                <w:szCs w:val="14"/>
                <w:color w:val="auto"/>
                <w:w w:val="92"/>
              </w:rPr>
              <w:t>Outstanding</w:t>
            </w:r>
          </w:p>
        </w:tc>
        <w:tc>
          <w:tcPr>
            <w:tcW w:w="200" w:type="dxa"/>
            <w:vAlign w:val="bottom"/>
          </w:tcPr>
          <w:p>
            <w:pPr>
              <w:spacing w:after="0"/>
              <w:rPr>
                <w:sz w:val="12"/>
                <w:szCs w:val="12"/>
                <w:color w:val="auto"/>
              </w:rPr>
            </w:pPr>
          </w:p>
        </w:tc>
        <w:tc>
          <w:tcPr>
            <w:tcW w:w="1540" w:type="dxa"/>
            <w:vAlign w:val="bottom"/>
            <w:gridSpan w:val="5"/>
          </w:tcPr>
          <w:p>
            <w:pPr>
              <w:jc w:val="center"/>
              <w:ind w:right="600"/>
              <w:spacing w:after="0" w:line="149" w:lineRule="exact"/>
              <w:rPr>
                <w:sz w:val="20"/>
                <w:szCs w:val="20"/>
                <w:color w:val="auto"/>
              </w:rPr>
            </w:pPr>
            <w:r>
              <w:rPr>
                <w:rFonts w:ascii="Arial" w:cs="Arial" w:eastAsia="Arial" w:hAnsi="Arial"/>
                <w:sz w:val="14"/>
                <w:szCs w:val="14"/>
                <w:color w:val="auto"/>
                <w:w w:val="95"/>
              </w:rPr>
              <w:t>Outstanding in</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Interest Rate For</w:t>
            </w:r>
          </w:p>
        </w:tc>
        <w:tc>
          <w:tcPr>
            <w:tcW w:w="0" w:type="dxa"/>
            <w:vAlign w:val="bottom"/>
          </w:tcPr>
          <w:p>
            <w:pPr>
              <w:spacing w:after="0"/>
              <w:rPr>
                <w:sz w:val="1"/>
                <w:szCs w:val="1"/>
                <w:color w:val="auto"/>
              </w:rPr>
            </w:pPr>
          </w:p>
        </w:tc>
      </w:tr>
      <w:tr>
        <w:trPr>
          <w:trHeight w:val="167"/>
        </w:trPr>
        <w:tc>
          <w:tcPr>
            <w:tcW w:w="39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5"/>
              </w:rPr>
              <w:t>of Period (000’s)</w:t>
            </w:r>
          </w:p>
        </w:tc>
        <w:tc>
          <w:tcPr>
            <w:tcW w:w="580" w:type="dxa"/>
            <w:vAlign w:val="bottom"/>
            <w:tcBorders>
              <w:bottom w:val="single" w:sz="8" w:color="CCEEFF"/>
            </w:tcBorders>
            <w:gridSpan w:val="2"/>
          </w:tcPr>
          <w:p>
            <w:pPr>
              <w:spacing w:after="0"/>
              <w:rPr>
                <w:sz w:val="14"/>
                <w:szCs w:val="1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of Period</w:t>
            </w:r>
          </w:p>
        </w:tc>
        <w:tc>
          <w:tcPr>
            <w:tcW w:w="740" w:type="dxa"/>
            <w:vAlign w:val="bottom"/>
            <w:tcBorders>
              <w:bottom w:val="single" w:sz="8" w:color="CCEEFF"/>
            </w:tcBorders>
            <w:gridSpan w:val="2"/>
          </w:tcPr>
          <w:p>
            <w:pPr>
              <w:spacing w:after="0"/>
              <w:rPr>
                <w:sz w:val="14"/>
                <w:szCs w:val="14"/>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Month End (000’s)</w:t>
            </w:r>
          </w:p>
        </w:tc>
        <w:tc>
          <w:tcPr>
            <w:tcW w:w="400" w:type="dxa"/>
            <w:vAlign w:val="bottom"/>
            <w:tcBorders>
              <w:bottom w:val="single" w:sz="8" w:color="CCEEFF"/>
            </w:tcBorders>
            <w:gridSpan w:val="2"/>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4"/>
              </w:rPr>
              <w:t>Period (000’s)</w:t>
            </w:r>
          </w:p>
        </w:tc>
        <w:tc>
          <w:tcPr>
            <w:tcW w:w="600" w:type="dxa"/>
            <w:vAlign w:val="bottom"/>
            <w:tcBorders>
              <w:bottom w:val="single" w:sz="8" w:color="CCEEFF"/>
            </w:tcBorders>
            <w:gridSpan w:val="2"/>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the Period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jc w:val="right"/>
              <w:ind w:right="3470"/>
              <w:spacing w:after="0"/>
              <w:rPr>
                <w:sz w:val="20"/>
                <w:szCs w:val="20"/>
                <w:color w:val="auto"/>
              </w:rPr>
            </w:pPr>
            <w:r>
              <w:rPr>
                <w:rFonts w:ascii="Arial" w:cs="Arial" w:eastAsia="Arial" w:hAnsi="Arial"/>
                <w:sz w:val="18"/>
                <w:szCs w:val="18"/>
                <w:color w:val="auto"/>
                <w:w w:val="84"/>
              </w:rPr>
              <w:t>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6,145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3"/>
              </w:rPr>
              <w:t>10,253</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30"/>
        </w:trPr>
        <w:tc>
          <w:tcPr>
            <w:tcW w:w="3920" w:type="dxa"/>
            <w:vAlign w:val="bottom"/>
          </w:tcPr>
          <w:p>
            <w:pPr>
              <w:jc w:val="right"/>
              <w:ind w:right="3470"/>
              <w:spacing w:after="0"/>
              <w:rPr>
                <w:sz w:val="20"/>
                <w:szCs w:val="20"/>
                <w:color w:val="auto"/>
              </w:rPr>
            </w:pPr>
            <w:r>
              <w:rPr>
                <w:rFonts w:ascii="Arial" w:cs="Arial" w:eastAsia="Arial" w:hAnsi="Arial"/>
                <w:sz w:val="18"/>
                <w:szCs w:val="18"/>
                <w:color w:val="auto"/>
                <w:w w:val="84"/>
              </w:rPr>
              <w:t>2016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4"/>
          </w:tcPr>
          <w:p>
            <w:pPr>
              <w:jc w:val="right"/>
              <w:ind w:right="440"/>
              <w:spacing w:after="0"/>
              <w:rPr>
                <w:sz w:val="20"/>
                <w:szCs w:val="20"/>
                <w:color w:val="auto"/>
              </w:rPr>
            </w:pPr>
            <w:r>
              <w:rPr>
                <w:rFonts w:ascii="Arial" w:cs="Arial" w:eastAsia="Arial" w:hAnsi="Arial"/>
                <w:sz w:val="18"/>
                <w:szCs w:val="18"/>
                <w:color w:val="auto"/>
              </w:rPr>
              <w:t>32,814</w:t>
            </w:r>
          </w:p>
        </w:tc>
        <w:tc>
          <w:tcPr>
            <w:tcW w:w="140" w:type="dxa"/>
            <w:vAlign w:val="bottom"/>
          </w:tcPr>
          <w:p>
            <w:pPr>
              <w:spacing w:after="0"/>
              <w:rPr>
                <w:sz w:val="20"/>
                <w:szCs w:val="20"/>
                <w:color w:val="auto"/>
              </w:rPr>
            </w:pPr>
          </w:p>
        </w:tc>
        <w:tc>
          <w:tcPr>
            <w:tcW w:w="960" w:type="dxa"/>
            <w:vAlign w:val="bottom"/>
            <w:gridSpan w:val="3"/>
          </w:tcPr>
          <w:p>
            <w:pPr>
              <w:jc w:val="right"/>
              <w:ind w:right="148"/>
              <w:spacing w:after="0"/>
              <w:rPr>
                <w:sz w:val="20"/>
                <w:szCs w:val="20"/>
                <w:color w:val="auto"/>
              </w:rPr>
            </w:pPr>
            <w:r>
              <w:rPr>
                <w:rFonts w:ascii="Arial" w:cs="Arial" w:eastAsia="Arial" w:hAnsi="Arial"/>
                <w:sz w:val="18"/>
                <w:szCs w:val="18"/>
                <w:color w:val="auto"/>
              </w:rPr>
              <w:t>0.20%</w:t>
            </w:r>
          </w:p>
        </w:tc>
        <w:tc>
          <w:tcPr>
            <w:tcW w:w="360" w:type="dxa"/>
            <w:vAlign w:val="bottom"/>
          </w:tcPr>
          <w:p>
            <w:pPr>
              <w:spacing w:after="0"/>
              <w:rPr>
                <w:sz w:val="20"/>
                <w:szCs w:val="20"/>
                <w:color w:val="auto"/>
              </w:rPr>
            </w:pPr>
          </w:p>
        </w:tc>
        <w:tc>
          <w:tcPr>
            <w:tcW w:w="300" w:type="dxa"/>
            <w:vAlign w:val="bottom"/>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43,929</w:t>
            </w:r>
          </w:p>
        </w:tc>
        <w:tc>
          <w:tcPr>
            <w:tcW w:w="2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w w:val="94"/>
              </w:rPr>
              <w:t>39,928</w:t>
            </w:r>
          </w:p>
        </w:tc>
        <w:tc>
          <w:tcPr>
            <w:tcW w:w="5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372"/>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80" w:type="dxa"/>
            <w:vAlign w:val="bottom"/>
            <w:gridSpan w:val="13"/>
          </w:tcPr>
          <w:p>
            <w:pPr>
              <w:jc w:val="right"/>
              <w:ind w:right="980"/>
              <w:spacing w:after="0"/>
              <w:rPr>
                <w:sz w:val="20"/>
                <w:szCs w:val="20"/>
                <w:color w:val="auto"/>
              </w:rPr>
            </w:pPr>
            <w:r>
              <w:rPr>
                <w:rFonts w:ascii="Arial" w:cs="Arial" w:eastAsia="Arial" w:hAnsi="Arial"/>
                <w:sz w:val="14"/>
                <w:szCs w:val="14"/>
                <w:color w:val="auto"/>
                <w:w w:val="99"/>
              </w:rPr>
              <w:t>Term CD’s Sold Under Agreement to Repurchase</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9"/>
              </w:rPr>
              <w:t>Amount</w:t>
            </w:r>
          </w:p>
        </w:tc>
        <w:tc>
          <w:tcPr>
            <w:tcW w:w="40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1"/>
              </w:rPr>
              <w:t>Weighted</w:t>
            </w:r>
          </w:p>
        </w:tc>
        <w:tc>
          <w:tcPr>
            <w:tcW w:w="300" w:type="dxa"/>
            <w:vAlign w:val="bottom"/>
          </w:tcPr>
          <w:p>
            <w:pPr>
              <w:spacing w:after="0"/>
              <w:rPr>
                <w:sz w:val="12"/>
                <w:szCs w:val="12"/>
                <w:color w:val="auto"/>
              </w:rPr>
            </w:pPr>
          </w:p>
        </w:tc>
        <w:tc>
          <w:tcPr>
            <w:tcW w:w="130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w w:val="95"/>
              </w:rPr>
              <w:t>Maximum Amount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right="520"/>
              <w:spacing w:after="0" w:line="149" w:lineRule="exact"/>
              <w:rPr>
                <w:sz w:val="20"/>
                <w:szCs w:val="20"/>
                <w:color w:val="auto"/>
              </w:rPr>
            </w:pPr>
            <w:r>
              <w:rPr>
                <w:rFonts w:ascii="Arial" w:cs="Arial" w:eastAsia="Arial" w:hAnsi="Arial"/>
                <w:sz w:val="14"/>
                <w:szCs w:val="14"/>
                <w:color w:val="auto"/>
                <w:w w:val="96"/>
              </w:rPr>
              <w:t>Approximate</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4"/>
          </w:tcPr>
          <w:p>
            <w:pPr>
              <w:jc w:val="center"/>
              <w:ind w:right="120"/>
              <w:spacing w:after="0" w:line="149" w:lineRule="exact"/>
              <w:rPr>
                <w:sz w:val="20"/>
                <w:szCs w:val="20"/>
                <w:color w:val="auto"/>
              </w:rPr>
            </w:pPr>
            <w:r>
              <w:rPr>
                <w:rFonts w:ascii="Arial" w:cs="Arial" w:eastAsia="Arial" w:hAnsi="Arial"/>
                <w:sz w:val="14"/>
                <w:szCs w:val="14"/>
                <w:color w:val="auto"/>
                <w:w w:val="92"/>
              </w:rPr>
              <w:t>Outstanding at</w:t>
            </w:r>
          </w:p>
        </w:tc>
        <w:tc>
          <w:tcPr>
            <w:tcW w:w="400" w:type="dxa"/>
            <w:vAlign w:val="bottom"/>
          </w:tcPr>
          <w:p>
            <w:pPr>
              <w:spacing w:after="0"/>
              <w:rPr>
                <w:sz w:val="12"/>
                <w:szCs w:val="12"/>
                <w:color w:val="auto"/>
              </w:rPr>
            </w:pPr>
          </w:p>
        </w:tc>
        <w:tc>
          <w:tcPr>
            <w:tcW w:w="9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1"/>
              </w:rPr>
              <w:t>Average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Borrowings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1"/>
              </w:rPr>
              <w:t>Average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6"/>
              </w:rPr>
              <w:t>End</w:t>
            </w:r>
          </w:p>
        </w:tc>
        <w:tc>
          <w:tcPr>
            <w:tcW w:w="40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Rate End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7"/>
              </w:rPr>
              <w:t>Outstanding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spacing w:after="0" w:line="149" w:lineRule="exact"/>
              <w:rPr>
                <w:sz w:val="20"/>
                <w:szCs w:val="20"/>
                <w:color w:val="auto"/>
              </w:rPr>
            </w:pPr>
            <w:r>
              <w:rPr>
                <w:rFonts w:ascii="Arial" w:cs="Arial" w:eastAsia="Arial" w:hAnsi="Arial"/>
                <w:sz w:val="14"/>
                <w:szCs w:val="14"/>
                <w:color w:val="auto"/>
              </w:rPr>
              <w:t>Outstanding in</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Interest Rate For</w:t>
            </w:r>
          </w:p>
        </w:tc>
        <w:tc>
          <w:tcPr>
            <w:tcW w:w="0" w:type="dxa"/>
            <w:vAlign w:val="bottom"/>
          </w:tcPr>
          <w:p>
            <w:pPr>
              <w:spacing w:after="0"/>
              <w:rPr>
                <w:sz w:val="1"/>
                <w:szCs w:val="1"/>
                <w:color w:val="auto"/>
              </w:rPr>
            </w:pPr>
          </w:p>
        </w:tc>
      </w:tr>
      <w:tr>
        <w:trPr>
          <w:trHeight w:val="167"/>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4"/>
          </w:tcPr>
          <w:p>
            <w:pPr>
              <w:jc w:val="center"/>
              <w:ind w:right="140"/>
              <w:spacing w:after="0"/>
              <w:rPr>
                <w:sz w:val="20"/>
                <w:szCs w:val="20"/>
                <w:color w:val="auto"/>
              </w:rPr>
            </w:pPr>
            <w:r>
              <w:rPr>
                <w:rFonts w:ascii="Arial" w:cs="Arial" w:eastAsia="Arial" w:hAnsi="Arial"/>
                <w:sz w:val="14"/>
                <w:szCs w:val="14"/>
                <w:color w:val="auto"/>
                <w:w w:val="95"/>
              </w:rPr>
              <w:t>of Period (000’s)</w:t>
            </w:r>
          </w:p>
        </w:tc>
        <w:tc>
          <w:tcPr>
            <w:tcW w:w="400" w:type="dxa"/>
            <w:vAlign w:val="bottom"/>
          </w:tcPr>
          <w:p>
            <w:pPr>
              <w:spacing w:after="0"/>
              <w:rPr>
                <w:sz w:val="14"/>
                <w:szCs w:val="14"/>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4"/>
                <w:szCs w:val="14"/>
                <w:color w:val="auto"/>
                <w:w w:val="96"/>
              </w:rPr>
              <w:t>of Period</w:t>
            </w:r>
          </w:p>
        </w:tc>
        <w:tc>
          <w:tcPr>
            <w:tcW w:w="300" w:type="dxa"/>
            <w:vAlign w:val="bottom"/>
          </w:tcPr>
          <w:p>
            <w:pPr>
              <w:spacing w:after="0"/>
              <w:rPr>
                <w:sz w:val="14"/>
                <w:szCs w:val="14"/>
                <w:color w:val="auto"/>
              </w:rPr>
            </w:pPr>
          </w:p>
        </w:tc>
        <w:tc>
          <w:tcPr>
            <w:tcW w:w="1300" w:type="dxa"/>
            <w:vAlign w:val="bottom"/>
            <w:gridSpan w:val="4"/>
          </w:tcPr>
          <w:p>
            <w:pPr>
              <w:jc w:val="right"/>
              <w:ind w:right="200"/>
              <w:spacing w:after="0"/>
              <w:rPr>
                <w:sz w:val="20"/>
                <w:szCs w:val="20"/>
                <w:color w:val="auto"/>
              </w:rPr>
            </w:pPr>
            <w:r>
              <w:rPr>
                <w:rFonts w:ascii="Arial" w:cs="Arial" w:eastAsia="Arial" w:hAnsi="Arial"/>
                <w:sz w:val="14"/>
                <w:szCs w:val="14"/>
                <w:color w:val="auto"/>
                <w:w w:val="94"/>
              </w:rPr>
              <w:t>Month End (000’s)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color w:val="auto"/>
              </w:rPr>
              <w:t>Period (000’s)</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the Period</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CEEFF"/>
          </w:tcPr>
          <w:p>
            <w:pPr>
              <w:jc w:val="right"/>
              <w:ind w:right="3470"/>
              <w:spacing w:after="0"/>
              <w:rPr>
                <w:sz w:val="20"/>
                <w:szCs w:val="20"/>
                <w:color w:val="auto"/>
              </w:rPr>
            </w:pPr>
            <w:r>
              <w:rPr>
                <w:rFonts w:ascii="Arial" w:cs="Arial" w:eastAsia="Arial" w:hAnsi="Arial"/>
                <w:sz w:val="18"/>
                <w:szCs w:val="18"/>
                <w:color w:val="auto"/>
                <w:w w:val="84"/>
              </w:rPr>
              <w:t>2017</w:t>
            </w:r>
          </w:p>
        </w:tc>
        <w:tc>
          <w:tcPr>
            <w:tcW w:w="12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gridSpan w:val="2"/>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3"/>
              </w:rPr>
              <w:t>22,925</w:t>
            </w:r>
          </w:p>
        </w:tc>
        <w:tc>
          <w:tcPr>
            <w:tcW w:w="14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22,925</w:t>
            </w:r>
          </w:p>
        </w:tc>
        <w:tc>
          <w:tcPr>
            <w:tcW w:w="20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21,172</w:t>
            </w:r>
          </w:p>
        </w:tc>
        <w:tc>
          <w:tcPr>
            <w:tcW w:w="54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920" w:type="dxa"/>
            <w:vAlign w:val="bottom"/>
          </w:tcPr>
          <w:p>
            <w:pPr>
              <w:jc w:val="right"/>
              <w:ind w:right="3470"/>
              <w:spacing w:after="0"/>
              <w:rPr>
                <w:sz w:val="20"/>
                <w:szCs w:val="20"/>
                <w:color w:val="auto"/>
              </w:rPr>
            </w:pPr>
            <w:r>
              <w:rPr>
                <w:rFonts w:ascii="Arial" w:cs="Arial" w:eastAsia="Arial" w:hAnsi="Arial"/>
                <w:sz w:val="18"/>
                <w:szCs w:val="18"/>
                <w:color w:val="auto"/>
                <w:w w:val="84"/>
              </w:rPr>
              <w:t>2016</w:t>
            </w:r>
          </w:p>
        </w:tc>
        <w:tc>
          <w:tcPr>
            <w:tcW w:w="120" w:type="dxa"/>
            <w:vAlign w:val="bottom"/>
          </w:tcPr>
          <w:p>
            <w:pPr>
              <w:spacing w:after="0"/>
              <w:rPr>
                <w:sz w:val="20"/>
                <w:szCs w:val="20"/>
                <w:color w:val="auto"/>
              </w:rPr>
            </w:pPr>
          </w:p>
        </w:tc>
        <w:tc>
          <w:tcPr>
            <w:tcW w:w="440" w:type="dxa"/>
            <w:vAlign w:val="bottom"/>
            <w:gridSpan w:val="2"/>
          </w:tcPr>
          <w:p>
            <w:pPr>
              <w:jc w:val="center"/>
              <w:ind w:left="261"/>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00"/>
              <w:spacing w:after="0"/>
              <w:rPr>
                <w:sz w:val="20"/>
                <w:szCs w:val="20"/>
                <w:color w:val="auto"/>
              </w:rPr>
            </w:pPr>
            <w:r>
              <w:rPr>
                <w:rFonts w:ascii="Arial" w:cs="Arial" w:eastAsia="Arial" w:hAnsi="Arial"/>
                <w:sz w:val="18"/>
                <w:szCs w:val="18"/>
                <w:color w:val="auto"/>
              </w:rPr>
              <w:t>20,510</w:t>
            </w:r>
          </w:p>
        </w:tc>
        <w:tc>
          <w:tcPr>
            <w:tcW w:w="1320" w:type="dxa"/>
            <w:vAlign w:val="bottom"/>
            <w:gridSpan w:val="4"/>
          </w:tcPr>
          <w:p>
            <w:pPr>
              <w:jc w:val="right"/>
              <w:ind w:right="220"/>
              <w:spacing w:after="0"/>
              <w:rPr>
                <w:sz w:val="20"/>
                <w:szCs w:val="20"/>
                <w:color w:val="auto"/>
              </w:rPr>
            </w:pPr>
            <w:r>
              <w:rPr>
                <w:rFonts w:ascii="Arial" w:cs="Arial" w:eastAsia="Arial" w:hAnsi="Arial"/>
                <w:sz w:val="18"/>
                <w:szCs w:val="18"/>
                <w:color w:val="auto"/>
              </w:rPr>
              <w:t>1.96%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20,510</w:t>
            </w:r>
          </w:p>
        </w:tc>
        <w:tc>
          <w:tcPr>
            <w:tcW w:w="440" w:type="dxa"/>
            <w:vAlign w:val="bottom"/>
            <w:gridSpan w:val="3"/>
          </w:tcPr>
          <w:p>
            <w:pPr>
              <w:ind w:left="340"/>
              <w:spacing w:after="0"/>
              <w:rPr>
                <w:sz w:val="20"/>
                <w:szCs w:val="20"/>
                <w:color w:val="auto"/>
              </w:rPr>
            </w:pPr>
            <w:r>
              <w:rPr>
                <w:rFonts w:ascii="Arial" w:cs="Arial" w:eastAsia="Arial" w:hAnsi="Arial"/>
                <w:sz w:val="18"/>
                <w:szCs w:val="18"/>
                <w:color w:val="auto"/>
                <w:w w:val="79"/>
              </w:rPr>
              <w:t>$</w:t>
            </w:r>
          </w:p>
        </w:tc>
        <w:tc>
          <w:tcPr>
            <w:tcW w:w="1300" w:type="dxa"/>
            <w:vAlign w:val="bottom"/>
            <w:gridSpan w:val="3"/>
          </w:tcPr>
          <w:p>
            <w:pPr>
              <w:jc w:val="right"/>
              <w:ind w:right="540"/>
              <w:spacing w:after="0"/>
              <w:rPr>
                <w:sz w:val="20"/>
                <w:szCs w:val="20"/>
                <w:color w:val="auto"/>
              </w:rPr>
            </w:pPr>
            <w:r>
              <w:rPr>
                <w:rFonts w:ascii="Arial" w:cs="Arial" w:eastAsia="Arial" w:hAnsi="Arial"/>
                <w:sz w:val="18"/>
                <w:szCs w:val="18"/>
                <w:color w:val="auto"/>
              </w:rPr>
              <w:t>19,562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800" w:right="20"/>
        <w:spacing w:after="0" w:line="286" w:lineRule="auto"/>
        <w:rPr>
          <w:sz w:val="20"/>
          <w:szCs w:val="20"/>
          <w:color w:val="auto"/>
        </w:rPr>
      </w:pPr>
      <w:r>
        <w:rPr>
          <w:rFonts w:ascii="Arial" w:cs="Arial" w:eastAsia="Arial" w:hAnsi="Arial"/>
          <w:sz w:val="17"/>
          <w:szCs w:val="17"/>
          <w:color w:val="auto"/>
        </w:rPr>
        <w:t>The Company had $10.4 and $17.0 million of Federal Funds Purchased as of December 31, 2017 and December 31, 2016 respectively. The $29.1 million in Securities Sold Under Agreements to Repurchase were comprised of U.S. Treasuries and government agency securities. The table below shows the remaining contractual maturity in the repurchase agreements December 31, 2017.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December 31, 2017</w:t>
            </w: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80" w:type="dxa"/>
            <w:vAlign w:val="bottom"/>
            <w:tcBorders>
              <w:bottom w:val="single" w:sz="8" w:color="auto"/>
            </w:tcBorders>
            <w:gridSpan w:val="10"/>
          </w:tcPr>
          <w:p>
            <w:pPr>
              <w:jc w:val="center"/>
              <w:ind w:left="334"/>
              <w:spacing w:after="0" w:line="142" w:lineRule="exact"/>
              <w:rPr>
                <w:sz w:val="20"/>
                <w:szCs w:val="20"/>
                <w:color w:val="auto"/>
              </w:rPr>
            </w:pPr>
            <w:r>
              <w:rPr>
                <w:rFonts w:ascii="Arial" w:cs="Arial" w:eastAsia="Arial" w:hAnsi="Arial"/>
                <w:sz w:val="14"/>
                <w:szCs w:val="14"/>
                <w:color w:val="auto"/>
                <w:w w:val="94"/>
              </w:rPr>
              <w:t>Remaining Contractual Maturity of the Agreements</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120" w:type="dxa"/>
            <w:vAlign w:val="bottom"/>
            <w:gridSpan w:val="3"/>
          </w:tcPr>
          <w:p>
            <w:pPr>
              <w:spacing w:after="0" w:line="123" w:lineRule="exact"/>
              <w:rPr>
                <w:sz w:val="20"/>
                <w:szCs w:val="20"/>
                <w:color w:val="auto"/>
              </w:rPr>
            </w:pPr>
            <w:r>
              <w:rPr>
                <w:rFonts w:ascii="Arial" w:cs="Arial" w:eastAsia="Arial" w:hAnsi="Arial"/>
                <w:sz w:val="14"/>
                <w:szCs w:val="14"/>
                <w:color w:val="auto"/>
              </w:rPr>
              <w:t>Overnight &amp;</w:t>
            </w:r>
          </w:p>
        </w:tc>
        <w:tc>
          <w:tcPr>
            <w:tcW w:w="500" w:type="dxa"/>
            <w:vAlign w:val="bottom"/>
            <w:gridSpan w:val="2"/>
          </w:tcPr>
          <w:p>
            <w:pPr>
              <w:spacing w:after="0" w:line="123" w:lineRule="exact"/>
              <w:rPr>
                <w:sz w:val="20"/>
                <w:szCs w:val="20"/>
                <w:color w:val="auto"/>
              </w:rPr>
            </w:pPr>
            <w:r>
              <w:rPr>
                <w:rFonts w:ascii="Arial" w:cs="Arial" w:eastAsia="Arial" w:hAnsi="Arial"/>
                <w:sz w:val="14"/>
                <w:szCs w:val="14"/>
                <w:color w:val="auto"/>
                <w:w w:val="90"/>
              </w:rPr>
              <w:t>Up to 30</w:t>
            </w:r>
          </w:p>
        </w:tc>
        <w:tc>
          <w:tcPr>
            <w:tcW w:w="7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30-90</w:t>
            </w:r>
          </w:p>
        </w:tc>
        <w:tc>
          <w:tcPr>
            <w:tcW w:w="36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4"/>
                <w:szCs w:val="14"/>
                <w:color w:val="auto"/>
              </w:rPr>
              <w:t>Greater Than</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12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Continuous</w:t>
            </w:r>
          </w:p>
        </w:tc>
        <w:tc>
          <w:tcPr>
            <w:tcW w:w="100" w:type="dxa"/>
            <w:vAlign w:val="bottom"/>
          </w:tcPr>
          <w:p>
            <w:pPr>
              <w:spacing w:after="0"/>
              <w:rPr>
                <w:sz w:val="13"/>
                <w:szCs w:val="13"/>
                <w:color w:val="auto"/>
              </w:rPr>
            </w:pPr>
          </w:p>
        </w:tc>
        <w:tc>
          <w:tcPr>
            <w:tcW w:w="400" w:type="dxa"/>
            <w:vAlign w:val="bottom"/>
          </w:tcPr>
          <w:p>
            <w:pPr>
              <w:ind w:left="20"/>
              <w:spacing w:after="0" w:line="154" w:lineRule="exact"/>
              <w:rPr>
                <w:sz w:val="20"/>
                <w:szCs w:val="20"/>
                <w:color w:val="auto"/>
              </w:rPr>
            </w:pPr>
            <w:r>
              <w:rPr>
                <w:rFonts w:ascii="Arial" w:cs="Arial" w:eastAsia="Arial" w:hAnsi="Arial"/>
                <w:sz w:val="14"/>
                <w:szCs w:val="14"/>
                <w:color w:val="auto"/>
              </w:rPr>
              <w:t>days</w:t>
            </w:r>
          </w:p>
        </w:tc>
        <w:tc>
          <w:tcPr>
            <w:tcW w:w="360" w:type="dxa"/>
            <w:vAlign w:val="bottom"/>
          </w:tcPr>
          <w:p>
            <w:pPr>
              <w:spacing w:after="0"/>
              <w:rPr>
                <w:sz w:val="13"/>
                <w:szCs w:val="13"/>
                <w:color w:val="auto"/>
              </w:rPr>
            </w:pPr>
          </w:p>
        </w:tc>
        <w:tc>
          <w:tcPr>
            <w:tcW w:w="380" w:type="dxa"/>
            <w:vAlign w:val="bottom"/>
          </w:tcPr>
          <w:p>
            <w:pPr>
              <w:jc w:val="right"/>
              <w:spacing w:after="0" w:line="154" w:lineRule="exact"/>
              <w:rPr>
                <w:sz w:val="20"/>
                <w:szCs w:val="20"/>
                <w:color w:val="auto"/>
              </w:rPr>
            </w:pPr>
            <w:r>
              <w:rPr>
                <w:rFonts w:ascii="Arial" w:cs="Arial" w:eastAsia="Arial" w:hAnsi="Arial"/>
                <w:sz w:val="14"/>
                <w:szCs w:val="14"/>
                <w:color w:val="auto"/>
              </w:rPr>
              <w:t>days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w w:val="85"/>
              </w:rPr>
              <w:t>90 days</w:t>
            </w:r>
          </w:p>
        </w:tc>
        <w:tc>
          <w:tcPr>
            <w:tcW w:w="64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10,425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2"/>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Repurchase Agreements US Treasury &amp; agency securities</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6,145</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22,925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16,570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2"/>
              </w:rPr>
              <w:t>$—</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20" w:type="dxa"/>
            <w:vAlign w:val="bottom"/>
            <w:vMerge w:val="restart"/>
          </w:tcPr>
          <w:p>
            <w:pPr>
              <w:jc w:val="right"/>
              <w:ind w:right="1030"/>
              <w:spacing w:after="0"/>
              <w:rPr>
                <w:sz w:val="20"/>
                <w:szCs w:val="20"/>
                <w:color w:val="auto"/>
              </w:rPr>
            </w:pPr>
            <w:r>
              <w:rPr>
                <w:rFonts w:ascii="Arial" w:cs="Arial" w:eastAsia="Arial" w:hAnsi="Arial"/>
                <w:sz w:val="18"/>
                <w:szCs w:val="18"/>
                <w:color w:val="auto"/>
              </w:rPr>
              <w:t>78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Federal Home Loan Bank Advances</w:t>
      </w:r>
    </w:p>
    <w:p>
      <w:pPr>
        <w:spacing w:after="0" w:line="121" w:lineRule="exact"/>
        <w:rPr>
          <w:sz w:val="20"/>
          <w:szCs w:val="20"/>
          <w:color w:val="auto"/>
        </w:rPr>
      </w:pPr>
    </w:p>
    <w:p>
      <w:pPr>
        <w:ind w:left="800" w:right="180"/>
        <w:spacing w:after="0" w:line="257" w:lineRule="auto"/>
        <w:rPr>
          <w:sz w:val="20"/>
          <w:szCs w:val="20"/>
          <w:color w:val="auto"/>
        </w:rPr>
      </w:pPr>
      <w:r>
        <w:rPr>
          <w:rFonts w:ascii="Arial" w:cs="Arial" w:eastAsia="Arial" w:hAnsi="Arial"/>
          <w:sz w:val="18"/>
          <w:szCs w:val="18"/>
          <w:color w:val="auto"/>
        </w:rPr>
        <w:t>Long term debit consists of various loans from the Federal Home Loan Bank. Repayment structures vary, ranging from monthly installments, annual payments or upon maturity. Interest payments are due monthly. As of December 31, 2017, the Bank had one loan which was structured as single maturity with interest rate of 1.61%. Total borrowings were $5.0 million and $10.0 million for December 31, 2017 and 2016, respectively. The advances were secured by $17.3 and $17.9 million of mortgage loans as of December 31, 2017 and 2016, respectively under a blanket collateral agreement.</w:t>
      </w:r>
    </w:p>
    <w:p>
      <w:pPr>
        <w:spacing w:after="0" w:line="80" w:lineRule="exact"/>
        <w:rPr>
          <w:sz w:val="20"/>
          <w:szCs w:val="20"/>
          <w:color w:val="auto"/>
        </w:rPr>
      </w:pPr>
    </w:p>
    <w:p>
      <w:pPr>
        <w:ind w:left="800" w:right="180"/>
        <w:spacing w:after="0" w:line="277" w:lineRule="auto"/>
        <w:rPr>
          <w:sz w:val="20"/>
          <w:szCs w:val="20"/>
          <w:color w:val="auto"/>
        </w:rPr>
      </w:pPr>
      <w:r>
        <w:rPr>
          <w:rFonts w:ascii="Arial" w:cs="Arial" w:eastAsia="Arial" w:hAnsi="Arial"/>
          <w:sz w:val="18"/>
          <w:szCs w:val="18"/>
          <w:color w:val="auto"/>
        </w:rPr>
        <w:t>The advances are subject to pre-payment penalties and the provisions and conditions of the credit policy of the Federal Home Loan Bank. Future obligations of the advances are as follows at December 31, 2017:</w:t>
      </w:r>
    </w:p>
    <w:p>
      <w:pPr>
        <w:spacing w:after="0" w:line="193" w:lineRule="exact"/>
        <w:rPr>
          <w:sz w:val="20"/>
          <w:szCs w:val="20"/>
          <w:color w:val="auto"/>
        </w:rPr>
      </w:pPr>
    </w:p>
    <w:p>
      <w:pPr>
        <w:ind w:left="8660"/>
        <w:spacing w:after="0"/>
        <w:rPr>
          <w:sz w:val="20"/>
          <w:szCs w:val="20"/>
          <w:color w:val="auto"/>
        </w:rPr>
      </w:pPr>
      <w:r>
        <w:rPr>
          <w:rFonts w:ascii="Arial" w:cs="Arial" w:eastAsia="Arial" w:hAnsi="Arial"/>
          <w:sz w:val="14"/>
          <w:szCs w:val="14"/>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3810</wp:posOffset>
            </wp:positionV>
            <wp:extent cx="49225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ind w:left="1840"/>
        <w:spacing w:after="0"/>
        <w:tabs>
          <w:tab w:leader="none" w:pos="8640" w:val="left"/>
          <w:tab w:leader="none" w:pos="912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5,000</w:t>
      </w:r>
    </w:p>
    <w:p>
      <w:pPr>
        <w:spacing w:after="0" w:line="223" w:lineRule="exact"/>
        <w:rPr>
          <w:sz w:val="20"/>
          <w:szCs w:val="20"/>
          <w:color w:val="auto"/>
        </w:rPr>
      </w:pPr>
    </w:p>
    <w:p>
      <w:pPr>
        <w:ind w:left="800" w:right="200"/>
        <w:spacing w:after="0" w:line="257" w:lineRule="auto"/>
        <w:rPr>
          <w:sz w:val="20"/>
          <w:szCs w:val="20"/>
          <w:color w:val="auto"/>
        </w:rPr>
      </w:pPr>
      <w:r>
        <w:rPr>
          <w:rFonts w:ascii="Arial" w:cs="Arial" w:eastAsia="Arial" w:hAnsi="Arial"/>
          <w:sz w:val="18"/>
          <w:szCs w:val="18"/>
          <w:color w:val="auto"/>
        </w:rPr>
        <w:t>The Bank had access to $69 million and $58 million of unsecured borrowings through correspondent banks as of both December 31, 2017 and December 31, 2016. $94.6 million and $71.8 million at the end of the same time periods, respectively, were unpledged securities which could be sold or used as collateral. An additional $5.7 million at December 31, 2017, and $4.7 million at December 31, 2016, were available from the Federal Home Loan Bank based on current pledging, with up to $116.8 million and $115.7 million, respectively, available provided adequate collateral is pledged.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w:t>
      </w:r>
    </w:p>
    <w:p>
      <w:pPr>
        <w:spacing w:after="0" w:line="121" w:lineRule="exact"/>
        <w:rPr>
          <w:sz w:val="20"/>
          <w:szCs w:val="20"/>
          <w:color w:val="auto"/>
        </w:rPr>
      </w:pPr>
    </w:p>
    <w:p>
      <w:pPr>
        <w:ind w:left="800" w:right="180"/>
        <w:spacing w:after="0" w:line="254" w:lineRule="auto"/>
        <w:rPr>
          <w:sz w:val="20"/>
          <w:szCs w:val="20"/>
          <w:color w:val="auto"/>
        </w:rPr>
      </w:pPr>
      <w:r>
        <w:rPr>
          <w:rFonts w:ascii="Arial" w:cs="Arial" w:eastAsia="Arial" w:hAnsi="Arial"/>
          <w:sz w:val="18"/>
          <w:szCs w:val="18"/>
          <w:color w:val="auto"/>
        </w:rPr>
        <w:t>The Tax Cuts and Jobs Act was enacted on December 22, 2017.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Tax Cuts and Jobs Act also significantly changes U.S. tax law related to foreign operations, however, such changes do not currently impact us.</w:t>
      </w:r>
    </w:p>
    <w:p>
      <w:pPr>
        <w:spacing w:after="0" w:line="84" w:lineRule="exact"/>
        <w:rPr>
          <w:sz w:val="20"/>
          <w:szCs w:val="20"/>
          <w:color w:val="auto"/>
        </w:rPr>
      </w:pPr>
    </w:p>
    <w:p>
      <w:pPr>
        <w:ind w:left="800" w:right="60"/>
        <w:spacing w:after="0" w:line="259" w:lineRule="auto"/>
        <w:rPr>
          <w:sz w:val="20"/>
          <w:szCs w:val="20"/>
          <w:color w:val="auto"/>
        </w:rPr>
      </w:pPr>
      <w:r>
        <w:rPr>
          <w:rFonts w:ascii="Arial" w:cs="Arial" w:eastAsia="Arial" w:hAnsi="Arial"/>
          <w:sz w:val="18"/>
          <w:szCs w:val="18"/>
          <w:color w:val="auto"/>
        </w:rPr>
        <w:t>As stated above, as a result of the enactment of the Tax Cuts and Jobs Act on December 22, 2017, we remeasured our deferred tax assets and liabilities based upon the newly enacted U.S. statutory federal income tax rate of 21%, which is the tax rate at which these assets and liabilities are expected to reverse in the future. We recognized a net tax benefit related to the remeasurement of our deferred tax assets and liabilities totaling $8 thousand.</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w w:val="99"/>
              </w:rPr>
              <w:t>(In Thousands)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780" w:type="dxa"/>
            <w:vAlign w:val="bottom"/>
            <w:gridSpan w:val="2"/>
          </w:tcPr>
          <w:p>
            <w:pPr>
              <w:jc w:val="right"/>
              <w:ind w:right="10"/>
              <w:spacing w:after="0" w:line="142" w:lineRule="exact"/>
              <w:rPr>
                <w:sz w:val="20"/>
                <w:szCs w:val="20"/>
                <w:color w:val="auto"/>
              </w:rPr>
            </w:pPr>
            <w:r>
              <w:rPr>
                <w:rFonts w:ascii="Arial" w:cs="Arial" w:eastAsia="Arial" w:hAnsi="Arial"/>
                <w:sz w:val="14"/>
                <w:szCs w:val="14"/>
                <w:color w:val="auto"/>
              </w:rPr>
              <w:t>2016</w:t>
            </w:r>
          </w:p>
        </w:tc>
        <w:tc>
          <w:tcPr>
            <w:tcW w:w="240" w:type="dxa"/>
            <w:vAlign w:val="bottom"/>
          </w:tcPr>
          <w:p>
            <w:pPr>
              <w:spacing w:after="0"/>
              <w:rPr>
                <w:sz w:val="12"/>
                <w:szCs w:val="12"/>
                <w:color w:val="auto"/>
              </w:rPr>
            </w:pPr>
          </w:p>
        </w:tc>
        <w:tc>
          <w:tcPr>
            <w:tcW w:w="600" w:type="dxa"/>
            <w:vAlign w:val="bottom"/>
            <w:gridSpan w:val="2"/>
          </w:tcPr>
          <w:p>
            <w:pPr>
              <w:jc w:val="right"/>
              <w:ind w:right="3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0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660" w:type="dxa"/>
            <w:vAlign w:val="bottom"/>
            <w:gridSpan w:val="3"/>
          </w:tcPr>
          <w:p>
            <w:pPr>
              <w:jc w:val="right"/>
              <w:ind w:right="120"/>
              <w:spacing w:after="0"/>
              <w:rPr>
                <w:sz w:val="20"/>
                <w:szCs w:val="20"/>
                <w:color w:val="auto"/>
              </w:rPr>
            </w:pPr>
            <w:r>
              <w:rPr>
                <w:rFonts w:ascii="Arial" w:cs="Arial" w:eastAsia="Arial" w:hAnsi="Arial"/>
                <w:sz w:val="18"/>
                <w:szCs w:val="18"/>
                <w:color w:val="auto"/>
              </w:rPr>
              <w:t>$5,162</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$4,601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$3,941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66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 impact of enacted changes in tax law</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040" w:type="dxa"/>
            <w:vAlign w:val="bottom"/>
            <w:vMerge w:val="restart"/>
          </w:tcPr>
          <w:p>
            <w:pPr>
              <w:jc w:val="right"/>
              <w:ind w:right="2270"/>
              <w:spacing w:after="0"/>
              <w:rPr>
                <w:sz w:val="20"/>
                <w:szCs w:val="20"/>
                <w:color w:val="auto"/>
              </w:rPr>
            </w:pPr>
            <w:r>
              <w:rPr>
                <w:rFonts w:ascii="Arial" w:cs="Arial" w:eastAsia="Arial" w:hAnsi="Arial"/>
                <w:sz w:val="18"/>
                <w:szCs w:val="18"/>
                <w:color w:val="auto"/>
              </w:rPr>
              <w:t>79</w:t>
            </w: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is a reconciliation of the statutory federal income tax rate to the effective tax rate:</w:t>
      </w:r>
    </w:p>
    <w:p>
      <w:pPr>
        <w:spacing w:after="0" w:line="248" w:lineRule="exact"/>
        <w:rPr>
          <w:sz w:val="20"/>
          <w:szCs w:val="20"/>
          <w:color w:val="auto"/>
        </w:rPr>
      </w:pPr>
    </w:p>
    <w:tbl>
      <w:tblPr>
        <w:tblLayout w:type="fixed"/>
        <w:tblInd w:w="800" w:type="dxa"/>
        <w:tblCellMar>
          <w:top w:w="0" w:type="dxa"/>
          <w:left w:w="0" w:type="dxa"/>
          <w:bottom w:w="0" w:type="dxa"/>
          <w:right w:w="0" w:type="dxa"/>
        </w:tblCellMar>
      </w:tblPr>
      <w:tr>
        <w:trPr>
          <w:trHeight w:val="167"/>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9"/>
          </w:tcPr>
          <w:p>
            <w:pPr>
              <w:jc w:val="right"/>
              <w:ind w:right="80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0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2017</w:t>
            </w: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w w:val="89"/>
              </w:rPr>
              <w:t>2016</w:t>
            </w: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7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at statutory rates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$5,521</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$4,792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Decrease resulting from:</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exempt interest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(468)</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0" w:type="dxa"/>
            <w:vAlign w:val="bottom"/>
            <w:gridSpan w:val="2"/>
          </w:tcPr>
          <w:p>
            <w:pPr>
              <w:ind w:left="360"/>
              <w:spacing w:after="0"/>
              <w:rPr>
                <w:sz w:val="20"/>
                <w:szCs w:val="20"/>
                <w:color w:val="auto"/>
              </w:rPr>
            </w:pPr>
            <w:r>
              <w:rPr>
                <w:rFonts w:ascii="Arial" w:cs="Arial" w:eastAsia="Arial" w:hAnsi="Arial"/>
                <w:sz w:val="18"/>
                <w:szCs w:val="18"/>
                <w:color w:val="auto"/>
              </w:rPr>
              <w:t>Adjustment of deferred taxes for enacted changes in tax law</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Section 831 deduction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200" w:type="dxa"/>
            <w:vAlign w:val="bottom"/>
            <w:gridSpan w:val="2"/>
          </w:tcPr>
          <w:p>
            <w:pPr>
              <w:ind w:left="360"/>
              <w:spacing w:after="0"/>
              <w:rPr>
                <w:sz w:val="20"/>
                <w:szCs w:val="20"/>
                <w:color w:val="auto"/>
              </w:rPr>
            </w:pPr>
            <w:r>
              <w:rPr>
                <w:rFonts w:ascii="Arial" w:cs="Arial" w:eastAsia="Arial" w:hAnsi="Arial"/>
                <w:sz w:val="18"/>
                <w:szCs w:val="18"/>
                <w:color w:val="auto"/>
              </w:rPr>
              <w:t>Change in other</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4,656</w:t>
            </w: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color w:val="auto"/>
              </w:rPr>
              <w:t>Deferred tax assets and liabilities at December 31 are comprised of the following:</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9"/>
          </w:tcPr>
          <w:p>
            <w:pPr>
              <w:jc w:val="right"/>
              <w:ind w:right="760"/>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2017</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2016</w:t>
            </w: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Allowance for loan losses</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$1,464</w:t>
            </w:r>
          </w:p>
        </w:tc>
        <w:tc>
          <w:tcPr>
            <w:tcW w:w="960" w:type="dxa"/>
            <w:vAlign w:val="bottom"/>
            <w:gridSpan w:val="5"/>
          </w:tcPr>
          <w:p>
            <w:pPr>
              <w:jc w:val="right"/>
              <w:spacing w:after="0"/>
              <w:rPr>
                <w:sz w:val="20"/>
                <w:szCs w:val="20"/>
                <w:color w:val="auto"/>
              </w:rPr>
            </w:pPr>
            <w:r>
              <w:rPr>
                <w:rFonts w:ascii="Arial" w:cs="Arial" w:eastAsia="Arial" w:hAnsi="Arial"/>
                <w:sz w:val="18"/>
                <w:szCs w:val="18"/>
                <w:color w:val="auto"/>
              </w:rPr>
              <w:t>$2,326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Net unrealized gain on available- for-sale securities</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581</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1,016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2,444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3,895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Accreted discounts on bonds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FHLB stock dividends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Mortgage servicing rights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1,185</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1,745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 on available- for-sale securities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200" w:type="dxa"/>
            <w:vAlign w:val="bottom"/>
            <w:gridSpan w:val="2"/>
          </w:tcPr>
          <w:p>
            <w:pPr>
              <w:ind w:left="460"/>
              <w:spacing w:after="0"/>
              <w:rPr>
                <w:sz w:val="20"/>
                <w:szCs w:val="20"/>
                <w:color w:val="auto"/>
              </w:rPr>
            </w:pPr>
            <w:r>
              <w:rPr>
                <w:rFonts w:ascii="Arial" w:cs="Arial" w:eastAsia="Arial" w:hAnsi="Arial"/>
                <w:sz w:val="18"/>
                <w:szCs w:val="18"/>
                <w:color w:val="auto"/>
              </w:rPr>
              <w:t>Total deferred tax liabilities</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2,192</w:t>
            </w:r>
          </w:p>
        </w:tc>
        <w:tc>
          <w:tcPr>
            <w:tcW w:w="20" w:type="dxa"/>
            <w:vAlign w:val="bottom"/>
            <w:tcBorders>
              <w:top w:val="single" w:sz="8" w:color="auto"/>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3,324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21" w:lineRule="exact"/>
        <w:rPr>
          <w:sz w:val="20"/>
          <w:szCs w:val="20"/>
          <w:color w:val="auto"/>
        </w:rPr>
      </w:pPr>
    </w:p>
    <w:p>
      <w:pPr>
        <w:ind w:left="800" w:right="20"/>
        <w:spacing w:after="0" w:line="273" w:lineRule="auto"/>
        <w:rPr>
          <w:sz w:val="20"/>
          <w:szCs w:val="20"/>
          <w:color w:val="auto"/>
        </w:rPr>
      </w:pPr>
      <w:r>
        <w:rPr>
          <w:rFonts w:ascii="Arial" w:cs="Arial" w:eastAsia="Arial" w:hAnsi="Arial"/>
          <w:sz w:val="17"/>
          <w:szCs w:val="17"/>
          <w:color w:val="auto"/>
        </w:rPr>
        <w:t>The Bank has established a 401(k) profit sharing plan, which allows eligible employees to save at a minimum one percent of eligible compensation on a pre-tax basis, subject to certain Internal Revenue Service limitations. The Bank will match 50% of employee 401(k) contributions up to four percent of total eligible compensation. In addition, the Bank may make a discretionary contribution from time to time. A participant is 100% vested in the participant’s deferral contributions and employer matching contributions. A six-year vesting schedule applies to employer discretionary contributions. Contributions expensed for the 401(k) profit sharing plan for both the employer matching contribution and the discretionary contribution were $972, $877 and $835 thousand for 2017, 2016 and 2015,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jc w:val="center"/>
        <w:ind w:right="7880"/>
        <w:spacing w:after="0"/>
        <w:rPr>
          <w:sz w:val="20"/>
          <w:szCs w:val="20"/>
          <w:color w:val="auto"/>
        </w:rPr>
      </w:pPr>
      <w:r>
        <w:rPr>
          <w:rFonts w:ascii="Arial" w:cs="Arial" w:eastAsia="Arial" w:hAnsi="Arial"/>
          <w:sz w:val="16"/>
          <w:szCs w:val="16"/>
          <w:b w:val="1"/>
          <w:bCs w:val="1"/>
          <w:color w:val="auto"/>
        </w:rPr>
        <w:t>Note 11 - Employee Benefit Plans (Continued)</w:t>
      </w:r>
    </w:p>
    <w:p>
      <w:pPr>
        <w:spacing w:after="0" w:line="181" w:lineRule="exact"/>
        <w:rPr>
          <w:sz w:val="20"/>
          <w:szCs w:val="20"/>
          <w:color w:val="auto"/>
        </w:rPr>
      </w:pPr>
    </w:p>
    <w:p>
      <w:pPr>
        <w:jc w:val="center"/>
        <w:ind w:right="79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800" w:right="40"/>
        <w:spacing w:after="0" w:line="269" w:lineRule="auto"/>
        <w:rPr>
          <w:sz w:val="20"/>
          <w:szCs w:val="20"/>
          <w:color w:val="auto"/>
        </w:rPr>
      </w:pPr>
      <w:r>
        <w:rPr>
          <w:rFonts w:ascii="Arial" w:cs="Arial" w:eastAsia="Arial" w:hAnsi="Arial"/>
          <w:sz w:val="17"/>
          <w:szCs w:val="17"/>
          <w:color w:val="auto"/>
        </w:rPr>
        <w:t>The Company has a Long-Term Stock Incentive Plan under which 32,000 shares of restricted stock were issued to 74 employees during 2017, 32,300 shares of restricted stock were issued to 74 employees during 2016 and 32,000 shares of restricted stock were issued to 67 employees during 2015. Under the plan, the shares vest 100% in three years. During the 3 year vesting period, the employees receive dividends or dividend equivalent compensation on the shares. Due to employee termination, there were 1,080, 1,546, and 200 forfeited during 2017, 2016 and 2015, respectively. During 2017, 1 employee retired and received 640 shares from the shares awarded in 2014, 2015 and 2016. During 2016, due to retirement, 4 employees received 2,394 shares from awards granted in 2013, 2014 and 2015. During 2015, 1 employee retired and received 500 shares from awards granted in 2012, 2013, and 2014 and 650 shares were paid to the estate of a deceased employee awarded during the same time periods. During 2017, 24,230 shares awarded in 2014 were 100% vested and 52 employees received the stock. During 2016, 20,050 shares awarded in 2013, were vested 100% and 45 employees received the stock. During 2015, 19,440 shares awarded in 2012, were vested 100% and 45 employees received the stock. Compensation expense applicable to the restricted stock totaled $507, $402 and $314 thousand for the years ending December 31, 2017, 2016 and 2015, respectively.</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6"/>
          <w:szCs w:val="16"/>
          <w:color w:val="auto"/>
        </w:rPr>
        <w:t>The following table summarizes the activity of restricted stock awards adjusted for a 2-for-1 stock split on September 20, 2017 as of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color w:val="auto"/>
                <w:w w:val="92"/>
              </w:rPr>
              <w:t>Year Ended December 31,</w:t>
            </w: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420" w:type="dxa"/>
            <w:vAlign w:val="bottom"/>
            <w:gridSpan w:val="3"/>
          </w:tcPr>
          <w:p>
            <w:pPr>
              <w:jc w:val="right"/>
              <w:ind w:right="478"/>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1520" w:type="dxa"/>
            <w:vAlign w:val="bottom"/>
            <w:gridSpan w:val="4"/>
          </w:tcPr>
          <w:p>
            <w:pPr>
              <w:jc w:val="right"/>
              <w:ind w:right="478"/>
              <w:spacing w:after="0" w:line="142" w:lineRule="exact"/>
              <w:rPr>
                <w:sz w:val="20"/>
                <w:szCs w:val="20"/>
                <w:color w:val="auto"/>
              </w:rPr>
            </w:pPr>
            <w:r>
              <w:rPr>
                <w:rFonts w:ascii="Arial" w:cs="Arial" w:eastAsia="Arial" w:hAnsi="Arial"/>
                <w:sz w:val="14"/>
                <w:szCs w:val="14"/>
                <w:color w:val="auto"/>
              </w:rPr>
              <w:t>2016</w:t>
            </w:r>
          </w:p>
        </w:tc>
        <w:tc>
          <w:tcPr>
            <w:tcW w:w="160" w:type="dxa"/>
            <w:vAlign w:val="bottom"/>
          </w:tcPr>
          <w:p>
            <w:pPr>
              <w:spacing w:after="0"/>
              <w:rPr>
                <w:sz w:val="12"/>
                <w:szCs w:val="12"/>
                <w:color w:val="auto"/>
              </w:rPr>
            </w:pPr>
          </w:p>
        </w:tc>
        <w:tc>
          <w:tcPr>
            <w:tcW w:w="1420" w:type="dxa"/>
            <w:vAlign w:val="bottom"/>
            <w:gridSpan w:val="3"/>
          </w:tcPr>
          <w:p>
            <w:pPr>
              <w:jc w:val="right"/>
              <w:ind w:right="478"/>
              <w:spacing w:after="0" w:line="142" w:lineRule="exact"/>
              <w:rPr>
                <w:sz w:val="20"/>
                <w:szCs w:val="20"/>
                <w:color w:val="auto"/>
              </w:rPr>
            </w:pPr>
            <w:r>
              <w:rPr>
                <w:rFonts w:ascii="Arial" w:cs="Arial" w:eastAsia="Arial" w:hAnsi="Arial"/>
                <w:sz w:val="14"/>
                <w:szCs w:val="14"/>
                <w:color w:val="auto"/>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6"/>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6"/>
              </w:rPr>
              <w:t>average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Number of</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Number</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fair value</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Number</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per award</w:t>
            </w: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of Shares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89"/>
              </w:rPr>
              <w:t>per award</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of Shares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per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86,300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66,780</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32,000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27.79</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32,300</w:t>
            </w:r>
          </w:p>
        </w:tc>
        <w:tc>
          <w:tcPr>
            <w:tcW w:w="580" w:type="dxa"/>
            <w:vAlign w:val="bottom"/>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32,000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(24,870)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28.60</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(22,444)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(20,590)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37.06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(1,546)</w:t>
            </w:r>
          </w:p>
        </w:tc>
        <w:tc>
          <w:tcPr>
            <w:tcW w:w="580" w:type="dxa"/>
            <w:vAlign w:val="bottom"/>
          </w:tcPr>
          <w:p>
            <w:pPr>
              <w:jc w:val="right"/>
              <w:spacing w:after="0"/>
              <w:rPr>
                <w:sz w:val="20"/>
                <w:szCs w:val="20"/>
                <w:color w:val="auto"/>
              </w:rPr>
            </w:pPr>
            <w:r>
              <w:rPr>
                <w:rFonts w:ascii="Arial" w:cs="Arial" w:eastAsia="Arial" w:hAnsi="Arial"/>
                <w:sz w:val="18"/>
                <w:szCs w:val="18"/>
                <w:color w:val="auto"/>
              </w:rPr>
              <w:t>15.77</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Nonvested, end of period</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92,350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19.17</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86,300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77,990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800" w:right="260"/>
        <w:spacing w:after="0" w:line="264" w:lineRule="auto"/>
        <w:rPr>
          <w:sz w:val="20"/>
          <w:szCs w:val="20"/>
          <w:color w:val="auto"/>
        </w:rPr>
      </w:pPr>
      <w:r>
        <w:rPr>
          <w:rFonts w:ascii="Arial" w:cs="Arial" w:eastAsia="Arial" w:hAnsi="Arial"/>
          <w:sz w:val="18"/>
          <w:szCs w:val="18"/>
          <w:color w:val="auto"/>
        </w:rPr>
        <w:t>As of December 31, 2017, there was $1.1 million of unrecognized compensation cost related to the nonvested portion of restricted stock awards under the plan. Expense for restricted stock awards of $507 thousand, $402 thousand, and $314 thousand was recorded for the years ended December 31, 2017, 2016, and 2015,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21" w:lineRule="exact"/>
        <w:rPr>
          <w:sz w:val="20"/>
          <w:szCs w:val="20"/>
          <w:color w:val="auto"/>
        </w:rPr>
      </w:pPr>
    </w:p>
    <w:p>
      <w:pPr>
        <w:ind w:left="800" w:right="40"/>
        <w:spacing w:after="0" w:line="270" w:lineRule="auto"/>
        <w:rPr>
          <w:sz w:val="20"/>
          <w:szCs w:val="20"/>
          <w:color w:val="auto"/>
        </w:rPr>
      </w:pPr>
      <w:r>
        <w:rPr>
          <w:rFonts w:ascii="Arial" w:cs="Arial" w:eastAsia="Arial" w:hAnsi="Arial"/>
          <w:sz w:val="17"/>
          <w:szCs w:val="17"/>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table below presents basic and diluted earnings per share for the years ended December 31, 2017, 2016, and 2015.</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w w:val="97"/>
              </w:rPr>
              <w:t>Year Ended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0" w:type="dxa"/>
            <w:vAlign w:val="bottom"/>
          </w:tcPr>
          <w:p>
            <w:pPr>
              <w:spacing w:after="0"/>
              <w:rPr>
                <w:sz w:val="10"/>
                <w:szCs w:val="10"/>
                <w:color w:val="auto"/>
              </w:rPr>
            </w:pPr>
          </w:p>
        </w:tc>
        <w:tc>
          <w:tcPr>
            <w:tcW w:w="116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0"/>
                <w:szCs w:val="10"/>
                <w:color w:val="auto"/>
              </w:rPr>
            </w:pPr>
          </w:p>
        </w:tc>
        <w:tc>
          <w:tcPr>
            <w:tcW w:w="114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0"/>
                <w:szCs w:val="10"/>
                <w:color w:val="auto"/>
              </w:rPr>
            </w:pPr>
          </w:p>
        </w:tc>
        <w:tc>
          <w:tcPr>
            <w:tcW w:w="820" w:type="dxa"/>
            <w:vAlign w:val="bottom"/>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8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12,720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11,664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Less: distributed earnings allocated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 securities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available to common shareholders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12,598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11,563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10,262</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including participating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9,250,825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9,224,230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9,234,116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average unvested restricted shares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(88,664)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(79,964)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9,162,161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9,144,266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9,164,116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Basic and diluted earnings per share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1.38</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21" w:lineRule="exact"/>
        <w:rPr>
          <w:sz w:val="20"/>
          <w:szCs w:val="20"/>
          <w:color w:val="auto"/>
        </w:rPr>
      </w:pPr>
    </w:p>
    <w:p>
      <w:pPr>
        <w:ind w:left="800" w:right="40"/>
        <w:spacing w:after="0" w:line="276" w:lineRule="auto"/>
        <w:rPr>
          <w:sz w:val="20"/>
          <w:szCs w:val="20"/>
          <w:color w:val="auto"/>
        </w:rPr>
      </w:pPr>
      <w:r>
        <w:rPr>
          <w:rFonts w:ascii="Arial" w:cs="Arial" w:eastAsia="Arial" w:hAnsi="Arial"/>
          <w:sz w:val="17"/>
          <w:szCs w:val="17"/>
          <w:color w:val="auto"/>
        </w:rPr>
        <w:t>In the ordinary course of business, the Bank has granted loans to senior officers and directors and their affiliated companies amounting to $1.5 million and $1.5 million at December 31, 2017 and 2016, respectively. No new loans were approved during 2017 of which no additional borrowings were utilized. During 2017, subsequent advances totaled $10.4 million and payments of $10.4 million were received. The difference in related borrowings amounted to $22 thousand, net increase. Deposits of directors, executive officers and companies in which they have a direct or indirect ownership as of December 31, 2017 and 2016, amounted to $23.4 million and $21.7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Credit Related Financial Instruments</w:t>
      </w:r>
    </w:p>
    <w:p>
      <w:pPr>
        <w:spacing w:after="0" w:line="121" w:lineRule="exact"/>
        <w:rPr>
          <w:sz w:val="20"/>
          <w:szCs w:val="20"/>
          <w:color w:val="auto"/>
        </w:rPr>
      </w:pPr>
    </w:p>
    <w:p>
      <w:pPr>
        <w:ind w:left="800" w:right="160"/>
        <w:spacing w:after="0" w:line="259" w:lineRule="auto"/>
        <w:rPr>
          <w:sz w:val="20"/>
          <w:szCs w:val="20"/>
          <w:color w:val="auto"/>
        </w:rPr>
      </w:pPr>
      <w:r>
        <w:rPr>
          <w:rFonts w:ascii="Arial" w:cs="Arial" w:eastAsia="Arial" w:hAnsi="Arial"/>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79" w:lineRule="exact"/>
        <w:rPr>
          <w:sz w:val="20"/>
          <w:szCs w:val="20"/>
          <w:color w:val="auto"/>
        </w:rPr>
      </w:pPr>
    </w:p>
    <w:p>
      <w:pPr>
        <w:ind w:left="800" w:right="240"/>
        <w:spacing w:after="0" w:line="312" w:lineRule="auto"/>
        <w:rPr>
          <w:sz w:val="20"/>
          <w:szCs w:val="20"/>
          <w:color w:val="auto"/>
        </w:rPr>
      </w:pPr>
      <w:r>
        <w:rPr>
          <w:rFonts w:ascii="Arial" w:cs="Arial" w:eastAsia="Arial" w:hAnsi="Arial"/>
          <w:sz w:val="16"/>
          <w:szCs w:val="16"/>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2017 and 2016 was $227 thousand and $217 thousand, respectively.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 (Continued)</w:t>
      </w:r>
    </w:p>
    <w:p>
      <w:pPr>
        <w:spacing w:after="0" w:line="1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 December 31, 2017 and 2016, the following financial instruments were outstanding whose contract amounts represent credit risk:</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5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20" w:type="dxa"/>
            <w:vAlign w:val="bottom"/>
            <w:gridSpan w:val="4"/>
          </w:tcPr>
          <w:p>
            <w:pPr>
              <w:ind w:left="440"/>
              <w:spacing w:after="0"/>
              <w:rPr>
                <w:sz w:val="20"/>
                <w:szCs w:val="20"/>
                <w:color w:val="auto"/>
              </w:rPr>
            </w:pPr>
            <w:r>
              <w:rPr>
                <w:rFonts w:ascii="Arial" w:cs="Arial" w:eastAsia="Arial" w:hAnsi="Arial"/>
                <w:sz w:val="14"/>
                <w:szCs w:val="14"/>
                <w:color w:val="auto"/>
              </w:rPr>
              <w:t>(In Thousands)</w:t>
            </w:r>
          </w:p>
        </w:tc>
      </w:tr>
      <w:tr>
        <w:trPr>
          <w:trHeight w:val="142"/>
        </w:trPr>
        <w:tc>
          <w:tcPr>
            <w:tcW w:w="45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color w:val="auto"/>
              </w:rPr>
              <w:t>2017</w:t>
            </w: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2016</w:t>
            </w:r>
          </w:p>
        </w:tc>
        <w:tc>
          <w:tcPr>
            <w:tcW w:w="60" w:type="dxa"/>
            <w:vAlign w:val="bottom"/>
          </w:tcPr>
          <w:p>
            <w:pPr>
              <w:spacing w:after="0"/>
              <w:rPr>
                <w:sz w:val="12"/>
                <w:szCs w:val="12"/>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2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$237,774</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$223,534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Credit card arrangements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20,184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18,316</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800" w:right="80"/>
        <w:spacing w:after="0" w:line="302" w:lineRule="auto"/>
        <w:rPr>
          <w:sz w:val="20"/>
          <w:szCs w:val="20"/>
          <w:color w:val="auto"/>
        </w:rPr>
      </w:pPr>
      <w:r>
        <w:rPr>
          <w:rFonts w:ascii="Arial" w:cs="Arial" w:eastAsia="Arial" w:hAnsi="Arial"/>
          <w:sz w:val="16"/>
          <w:szCs w:val="16"/>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2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Collateral Requirements</w:t>
      </w:r>
    </w:p>
    <w:p>
      <w:pPr>
        <w:spacing w:after="0" w:line="121" w:lineRule="exact"/>
        <w:rPr>
          <w:sz w:val="20"/>
          <w:szCs w:val="20"/>
          <w:color w:val="auto"/>
        </w:rPr>
      </w:pPr>
    </w:p>
    <w:p>
      <w:pPr>
        <w:ind w:left="800" w:right="220"/>
        <w:spacing w:after="0" w:line="264" w:lineRule="auto"/>
        <w:rPr>
          <w:sz w:val="20"/>
          <w:szCs w:val="20"/>
          <w:color w:val="auto"/>
        </w:rPr>
      </w:pPr>
      <w:r>
        <w:rPr>
          <w:rFonts w:ascii="Arial" w:cs="Arial" w:eastAsia="Arial" w:hAnsi="Arial"/>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28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Legal Contingencies</w:t>
      </w:r>
    </w:p>
    <w:p>
      <w:pPr>
        <w:spacing w:after="0" w:line="121" w:lineRule="exact"/>
        <w:rPr>
          <w:sz w:val="20"/>
          <w:szCs w:val="20"/>
          <w:color w:val="auto"/>
        </w:rPr>
      </w:pPr>
    </w:p>
    <w:p>
      <w:pPr>
        <w:ind w:left="800" w:right="360"/>
        <w:spacing w:after="0" w:line="277" w:lineRule="auto"/>
        <w:rPr>
          <w:sz w:val="20"/>
          <w:szCs w:val="20"/>
          <w:color w:val="auto"/>
        </w:rPr>
      </w:pPr>
      <w:r>
        <w:rPr>
          <w:rFonts w:ascii="Arial" w:cs="Arial" w:eastAsia="Arial" w:hAnsi="Arial"/>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w:t>
      </w:r>
    </w:p>
    <w:p>
      <w:pPr>
        <w:spacing w:after="0" w:line="121" w:lineRule="exact"/>
        <w:rPr>
          <w:sz w:val="20"/>
          <w:szCs w:val="20"/>
          <w:color w:val="auto"/>
        </w:rPr>
      </w:pPr>
    </w:p>
    <w:p>
      <w:pPr>
        <w:ind w:left="800" w:right="120"/>
        <w:spacing w:after="0" w:line="297" w:lineRule="auto"/>
        <w:rPr>
          <w:sz w:val="20"/>
          <w:szCs w:val="20"/>
          <w:color w:val="auto"/>
        </w:rPr>
      </w:pPr>
      <w:r>
        <w:rPr>
          <w:rFonts w:ascii="Arial" w:cs="Arial" w:eastAsia="Arial" w:hAnsi="Arial"/>
          <w:sz w:val="16"/>
          <w:szCs w:val="16"/>
          <w:color w:val="auto"/>
        </w:rPr>
        <w:t>The Company (on a consolidated basis)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Bank’s financial statements. Under capital adequacy guidelines and the regulatory framework for prompt corrective action, the Company and the Bank must meet specific capital guidelines that involve quantitative measures of their assets, liabilities and certain off balance-sheet items as calculated under regulatory accounting practices.</w:t>
      </w:r>
    </w:p>
    <w:p>
      <w:pPr>
        <w:spacing w:after="0" w:line="50" w:lineRule="exact"/>
        <w:rPr>
          <w:sz w:val="20"/>
          <w:szCs w:val="20"/>
          <w:color w:val="auto"/>
        </w:rPr>
      </w:pPr>
    </w:p>
    <w:p>
      <w:pPr>
        <w:ind w:left="800" w:right="340"/>
        <w:spacing w:after="0" w:line="277" w:lineRule="auto"/>
        <w:rPr>
          <w:sz w:val="20"/>
          <w:szCs w:val="20"/>
          <w:color w:val="auto"/>
        </w:rPr>
      </w:pPr>
      <w:r>
        <w:rPr>
          <w:rFonts w:ascii="Arial" w:cs="Arial" w:eastAsia="Arial" w:hAnsi="Arial"/>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62" w:lineRule="exact"/>
        <w:rPr>
          <w:sz w:val="20"/>
          <w:szCs w:val="20"/>
          <w:color w:val="auto"/>
        </w:rPr>
      </w:pPr>
    </w:p>
    <w:p>
      <w:pPr>
        <w:ind w:left="800" w:right="260"/>
        <w:spacing w:after="0" w:line="302" w:lineRule="auto"/>
        <w:rPr>
          <w:sz w:val="20"/>
          <w:szCs w:val="20"/>
          <w:color w:val="auto"/>
        </w:rPr>
      </w:pPr>
      <w:r>
        <w:rPr>
          <w:rFonts w:ascii="Arial" w:cs="Arial" w:eastAsia="Arial" w:hAnsi="Arial"/>
          <w:sz w:val="16"/>
          <w:szCs w:val="16"/>
          <w:color w:val="auto"/>
        </w:rPr>
        <w:t>The Basel III Capital Rules, a new comprehensive capital framework for U.S. banking organizations, became effective for on January 1, 2015 (subject to a phase-in period for certain provisions). Quantitative measures established by the Basel III Capital Rules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46" w:lineRule="exact"/>
        <w:rPr>
          <w:sz w:val="20"/>
          <w:szCs w:val="20"/>
          <w:color w:val="auto"/>
        </w:rPr>
      </w:pPr>
    </w:p>
    <w:p>
      <w:pPr>
        <w:ind w:left="800" w:right="940"/>
        <w:spacing w:after="0" w:line="277" w:lineRule="auto"/>
        <w:rPr>
          <w:sz w:val="20"/>
          <w:szCs w:val="20"/>
          <w:color w:val="auto"/>
        </w:rPr>
      </w:pPr>
      <w:r>
        <w:rPr>
          <w:rFonts w:ascii="Arial" w:cs="Arial" w:eastAsia="Arial" w:hAnsi="Arial"/>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162" w:lineRule="exact"/>
        <w:rPr>
          <w:sz w:val="20"/>
          <w:szCs w:val="20"/>
          <w:color w:val="auto"/>
        </w:rPr>
      </w:pPr>
    </w:p>
    <w:p>
      <w:pPr>
        <w:ind w:left="800" w:right="540"/>
        <w:spacing w:after="0" w:line="277" w:lineRule="auto"/>
        <w:rPr>
          <w:sz w:val="20"/>
          <w:szCs w:val="20"/>
          <w:color w:val="auto"/>
        </w:rPr>
      </w:pPr>
      <w:r>
        <w:rPr>
          <w:rFonts w:ascii="Arial" w:cs="Arial" w:eastAsia="Arial" w:hAnsi="Arial"/>
          <w:sz w:val="18"/>
          <w:szCs w:val="18"/>
          <w:color w:val="auto"/>
        </w:rPr>
        <w:t>Common Equity Tier 1 is reduced by, goodwill and other intangible assets, net of associated deferred tax liabilities, and subject to transition provisions.</w:t>
      </w:r>
    </w:p>
    <w:p>
      <w:pPr>
        <w:spacing w:after="0" w:line="62" w:lineRule="exact"/>
        <w:rPr>
          <w:sz w:val="20"/>
          <w:szCs w:val="20"/>
          <w:color w:val="auto"/>
        </w:rPr>
      </w:pPr>
    </w:p>
    <w:p>
      <w:pPr>
        <w:ind w:left="800" w:right="200"/>
        <w:spacing w:after="0" w:line="279" w:lineRule="auto"/>
        <w:rPr>
          <w:sz w:val="20"/>
          <w:szCs w:val="20"/>
          <w:color w:val="auto"/>
        </w:rPr>
      </w:pPr>
      <w:r>
        <w:rPr>
          <w:rFonts w:ascii="Arial" w:cs="Arial" w:eastAsia="Arial" w:hAnsi="Arial"/>
          <w:sz w:val="17"/>
          <w:szCs w:val="17"/>
          <w:color w:val="auto"/>
        </w:rPr>
        <w:t>The Common Equity Tier 1 (beginning in 2015),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63" w:lineRule="exact"/>
        <w:rPr>
          <w:sz w:val="20"/>
          <w:szCs w:val="20"/>
          <w:color w:val="auto"/>
        </w:rPr>
      </w:pPr>
    </w:p>
    <w:p>
      <w:pPr>
        <w:jc w:val="both"/>
        <w:ind w:left="800" w:right="460"/>
        <w:spacing w:after="0" w:line="256" w:lineRule="auto"/>
        <w:rPr>
          <w:sz w:val="20"/>
          <w:szCs w:val="20"/>
          <w:color w:val="auto"/>
        </w:rPr>
      </w:pPr>
      <w:r>
        <w:rPr>
          <w:rFonts w:ascii="Arial" w:cs="Arial" w:eastAsia="Arial" w:hAnsi="Arial"/>
          <w:sz w:val="18"/>
          <w:szCs w:val="18"/>
          <w:color w:val="auto"/>
        </w:rPr>
        <w:t>When fully phased in on January 1, 2019, the Basel III Capital Rules will require the Company and Bank to maintain (i) a minimum ratio of Common Equity Tier 1 capital to risk-weighted assets of at least 4.5%, plus a 2.5% “capital conservation buffer” (which is added to the 4.5% Common Equity Tier 1 capital ratio as</w:t>
      </w:r>
    </w:p>
    <w:p>
      <w:pPr>
        <w:ind w:left="800" w:right="20"/>
        <w:spacing w:after="0" w:line="290" w:lineRule="auto"/>
        <w:rPr>
          <w:sz w:val="20"/>
          <w:szCs w:val="20"/>
          <w:color w:val="auto"/>
        </w:rPr>
      </w:pPr>
      <w:r>
        <w:rPr>
          <w:rFonts w:ascii="Arial" w:cs="Arial" w:eastAsia="Arial" w:hAnsi="Arial"/>
          <w:sz w:val="16"/>
          <w:szCs w:val="16"/>
          <w:color w:val="auto"/>
        </w:rPr>
        <w:t>that buffer is phased in, effectively resulting in a minimum ratio of Common Equity Tier 1 capital to risk-weighted assets of at least 7.0% upon full implementation), (ii) a minimum ratio of Tier 1 capital to risk-weighted assets of at least 6.0%, plus the capital conservation buffer (which is added to the 6.0% Tier 1 capital ratio as that buffer is phased in, effectively resulting in a minimum Tier 1 capital ratio of 8.5% upon full implementation), (iii) a minimum ratio of Total capital (that is, Tier 1 plus Tier 2) to risk-weighted assets of at least 8.0%, plus the capital conservation buffer (which is added to the 8.0% total capital ratio as that buffer is phased in, effectively resulting in a minimum total capital ratio of 10.5% upon full implementation) and (iv) a minimum leverage ratio of 4.0%, calculated as the ratio of Tier 1 capital to average quarterly assets.</w:t>
      </w:r>
    </w:p>
    <w:p>
      <w:pPr>
        <w:spacing w:after="0" w:line="56" w:lineRule="exact"/>
        <w:rPr>
          <w:sz w:val="20"/>
          <w:szCs w:val="20"/>
          <w:color w:val="auto"/>
        </w:rPr>
      </w:pPr>
    </w:p>
    <w:p>
      <w:pPr>
        <w:ind w:left="800" w:right="80"/>
        <w:spacing w:after="0" w:line="254" w:lineRule="auto"/>
        <w:rPr>
          <w:sz w:val="20"/>
          <w:szCs w:val="20"/>
          <w:color w:val="auto"/>
        </w:rPr>
      </w:pPr>
      <w:r>
        <w:rPr>
          <w:rFonts w:ascii="Arial" w:cs="Arial" w:eastAsia="Arial" w:hAnsi="Arial"/>
          <w:sz w:val="18"/>
          <w:szCs w:val="18"/>
          <w:color w:val="auto"/>
        </w:rPr>
        <w:t>The implementation of the capital conservation buffer began on January 1, 2016 at the 0.625% level and will be phased in over a four-year period (increasing by that amount on each subsequent January 1, until it reaches 2.5% on January 1, 2019). The capital conservation buffer was 1.25 percent at December 31, 2017. The Basel III Capital Rules also provide for a “countercyclical capital buffer” that is applicable to only certain covered institutions and does not have any current applicability to the Company or Bank. 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and, if applicable, the countercyclical capital buffer) will face constraints on dividends, equity repurchases and compensation based on the amount of the shortfall.</w:t>
      </w:r>
    </w:p>
    <w:p>
      <w:pPr>
        <w:spacing w:after="0" w:line="8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Management believes, as of December 31, 2017, that the Bank meets all the capital adequacy requirements to which it is subject.</w:t>
      </w:r>
    </w:p>
    <w:p>
      <w:pPr>
        <w:spacing w:after="0" w:line="117" w:lineRule="exact"/>
        <w:rPr>
          <w:sz w:val="20"/>
          <w:szCs w:val="20"/>
          <w:color w:val="auto"/>
        </w:rPr>
      </w:pPr>
    </w:p>
    <w:p>
      <w:pPr>
        <w:jc w:val="both"/>
        <w:ind w:left="800" w:right="100"/>
        <w:spacing w:after="0" w:line="269" w:lineRule="auto"/>
        <w:rPr>
          <w:sz w:val="20"/>
          <w:szCs w:val="20"/>
          <w:color w:val="auto"/>
        </w:rPr>
      </w:pPr>
      <w:r>
        <w:rPr>
          <w:rFonts w:ascii="Arial" w:cs="Arial" w:eastAsia="Arial" w:hAnsi="Arial"/>
          <w:sz w:val="17"/>
          <w:szCs w:val="17"/>
          <w:color w:val="auto"/>
        </w:rPr>
        <w:t>As of December 31, 2017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Tier 1 and Tier I leverage ratios as disclosed in the table to follow. There are no conditions or events since the most recent notification that management believes have changed the Bank’s prompt corrective action category.</w:t>
      </w:r>
    </w:p>
    <w:p>
      <w:pPr>
        <w:spacing w:after="0" w:line="2" w:lineRule="exact"/>
        <w:rPr>
          <w:sz w:val="20"/>
          <w:szCs w:val="20"/>
          <w:color w:val="auto"/>
        </w:rPr>
      </w:pPr>
    </w:p>
    <w:p>
      <w:pPr>
        <w:ind w:left="800" w:right="100"/>
        <w:spacing w:after="0" w:line="254" w:lineRule="auto"/>
        <w:rPr>
          <w:sz w:val="20"/>
          <w:szCs w:val="20"/>
          <w:color w:val="auto"/>
        </w:rPr>
      </w:pPr>
      <w:r>
        <w:rPr>
          <w:rFonts w:ascii="Arial" w:cs="Arial" w:eastAsia="Arial" w:hAnsi="Arial"/>
          <w:sz w:val="18"/>
          <w:szCs w:val="18"/>
          <w:color w:val="auto"/>
        </w:rPr>
        <w:t>The following tables present actual and required capital ratios as of December 31, 2017 and December 31, 2016 under the Basel III Capital Rules. The minimum required capital amounts presented include the minimum required capital levels as of December 31, 2017 and December 31, 2016. Capital levels required to be considered well capitalized are based upon prompt corrective action regulations, as amended to reflect the changes under the Basel III Capital Rules.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2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Company and the Bank’s actual and required capital amounts and ratios as of December 31, 2017 are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Required to</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7"/>
              </w:rPr>
              <w:t>Minimum Capital</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0"/>
              </w:rPr>
              <w:t>be Considered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7"/>
        </w:trPr>
        <w:tc>
          <w:tcPr>
            <w:tcW w:w="56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Actual</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Required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w w:val="94"/>
              </w:rPr>
              <w:t>Well-Capitalized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56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(000’s)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95"/>
              <w:spacing w:after="0" w:line="123" w:lineRule="exact"/>
              <w:rPr>
                <w:sz w:val="20"/>
                <w:szCs w:val="20"/>
                <w:color w:val="auto"/>
              </w:rPr>
            </w:pPr>
            <w:r>
              <w:rPr>
                <w:rFonts w:ascii="Arial" w:cs="Arial" w:eastAsia="Arial" w:hAnsi="Arial"/>
                <w:sz w:val="14"/>
                <w:szCs w:val="14"/>
                <w:color w:val="auto"/>
                <w:w w:val="93"/>
              </w:rPr>
              <w:t>(000’s)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3"/>
              </w:rPr>
              <w:t>(000’s)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5660" w:type="dxa"/>
            <w:vAlign w:val="bottom"/>
          </w:tcPr>
          <w:p>
            <w:pPr>
              <w:spacing w:after="0"/>
              <w:rPr>
                <w:sz w:val="20"/>
                <w:szCs w:val="20"/>
                <w:color w:val="auto"/>
              </w:rPr>
            </w:pPr>
            <w:r>
              <w:rPr>
                <w:rFonts w:ascii="Arial" w:cs="Arial" w:eastAsia="Arial" w:hAnsi="Arial"/>
                <w:sz w:val="14"/>
                <w:szCs w:val="14"/>
                <w:color w:val="auto"/>
              </w:rPr>
              <w:t>As of December 31, 2017</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Ratio</w:t>
            </w: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Ratio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Ratio</w:t>
            </w:r>
          </w:p>
        </w:tc>
      </w:tr>
      <w:tr>
        <w:trPr>
          <w:trHeight w:val="182"/>
        </w:trPr>
        <w:tc>
          <w:tcPr>
            <w:tcW w:w="5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Equity Tier 1 Capital</w:t>
            </w:r>
          </w:p>
        </w:tc>
        <w:tc>
          <w:tcPr>
            <w:tcW w:w="7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$131,493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40,177</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107,006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12.04%</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39,992</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57,767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Risk-Based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138,588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15.52%</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71,426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114,101</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12.84%</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71,098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88,872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131,493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14.73%</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53,569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107,006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12.04%</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53,323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71,098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Leverage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Adjusted Total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131,493</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12.02%</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43,765</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107,006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43,148</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53,935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bl>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the Company and the Bank’s actual and required capital amounts and ratios as of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Required to</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7"/>
              </w:rPr>
              <w:t>Minimum Capital</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0"/>
              </w:rPr>
              <w:t>be Considered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7"/>
        </w:trPr>
        <w:tc>
          <w:tcPr>
            <w:tcW w:w="56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Actual</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Required</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color w:val="auto"/>
                <w:w w:val="94"/>
              </w:rPr>
              <w:t>Well-Capitalized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23"/>
        </w:trPr>
        <w:tc>
          <w:tcPr>
            <w:tcW w:w="5660" w:type="dxa"/>
            <w:vAlign w:val="bottom"/>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8"/>
              </w:rPr>
              <w:t>(000’s)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95"/>
              <w:spacing w:after="0" w:line="123" w:lineRule="exact"/>
              <w:rPr>
                <w:sz w:val="20"/>
                <w:szCs w:val="20"/>
                <w:color w:val="auto"/>
              </w:rPr>
            </w:pPr>
            <w:r>
              <w:rPr>
                <w:rFonts w:ascii="Arial" w:cs="Arial" w:eastAsia="Arial" w:hAnsi="Arial"/>
                <w:sz w:val="14"/>
                <w:szCs w:val="14"/>
                <w:color w:val="auto"/>
                <w:w w:val="93"/>
              </w:rPr>
              <w:t>(000’s)</w:t>
            </w: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3"/>
              </w:rPr>
              <w:t>(000’s)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5660" w:type="dxa"/>
            <w:vAlign w:val="bottom"/>
          </w:tcPr>
          <w:p>
            <w:pPr>
              <w:spacing w:after="0"/>
              <w:rPr>
                <w:sz w:val="20"/>
                <w:szCs w:val="20"/>
                <w:color w:val="auto"/>
              </w:rPr>
            </w:pPr>
            <w:r>
              <w:rPr>
                <w:rFonts w:ascii="Arial" w:cs="Arial" w:eastAsia="Arial" w:hAnsi="Arial"/>
                <w:sz w:val="14"/>
                <w:szCs w:val="14"/>
                <w:color w:val="auto"/>
              </w:rPr>
              <w:t>As of December 31, 2016</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Amount</w:t>
            </w: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Ratio</w:t>
            </w:r>
          </w:p>
        </w:tc>
        <w:tc>
          <w:tcPr>
            <w:tcW w:w="18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w w:val="97"/>
              </w:rPr>
              <w:t>Ratio</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Amount</w:t>
            </w: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Ratio</w:t>
            </w:r>
          </w:p>
        </w:tc>
      </w:tr>
      <w:tr>
        <w:trPr>
          <w:trHeight w:val="182"/>
        </w:trPr>
        <w:tc>
          <w:tcPr>
            <w:tcW w:w="5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Common Equity Tier 1 Capital</w:t>
            </w:r>
          </w:p>
        </w:tc>
        <w:tc>
          <w:tcPr>
            <w:tcW w:w="7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$123,031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38,296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100,999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11.91%</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38,156</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55,115</w:t>
            </w:r>
          </w:p>
        </w:tc>
        <w:tc>
          <w:tcPr>
            <w:tcW w:w="2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Risk-Based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130,032</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15.28%</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68,081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108,000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12.73%</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67,833</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8.00%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84,792</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Risk Weighted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123,031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14.46%</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51,061</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6.00%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100,999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11.91%</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50,875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67,833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02"/>
        </w:trPr>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Leverage Capital</w:t>
            </w: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 Adjusted Total Assets)</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44"/>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123,031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11.77%</w:t>
            </w: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41,826</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100,999</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41,425</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51,181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r>
    </w:tbl>
    <w:p>
      <w:pPr>
        <w:spacing w:after="0" w:line="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above tables exclude the capital conservation buffer requirements.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Restrictions of Dividends &amp; Inter-company Borrowings</w:t>
      </w:r>
    </w:p>
    <w:p>
      <w:pPr>
        <w:spacing w:after="0" w:line="121" w:lineRule="exact"/>
        <w:rPr>
          <w:sz w:val="20"/>
          <w:szCs w:val="20"/>
          <w:color w:val="auto"/>
        </w:rPr>
      </w:pPr>
    </w:p>
    <w:p>
      <w:pPr>
        <w:ind w:left="800" w:right="120"/>
        <w:spacing w:after="0" w:line="255" w:lineRule="auto"/>
        <w:rPr>
          <w:sz w:val="20"/>
          <w:szCs w:val="20"/>
          <w:color w:val="auto"/>
        </w:rPr>
      </w:pPr>
      <w:r>
        <w:rPr>
          <w:rFonts w:ascii="Arial" w:cs="Arial" w:eastAsia="Arial" w:hAnsi="Arial"/>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 $14.0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21" w:lineRule="exact"/>
        <w:rPr>
          <w:sz w:val="20"/>
          <w:szCs w:val="20"/>
          <w:color w:val="auto"/>
        </w:rPr>
      </w:pPr>
    </w:p>
    <w:p>
      <w:pPr>
        <w:ind w:left="800" w:right="4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9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1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left="800" w:right="10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 bearing deposits are estimated using discounted cash flow analyses based on current rates for similar types of deposits.</w:t>
      </w:r>
    </w:p>
    <w:p>
      <w:pPr>
        <w:spacing w:after="0" w:line="25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Interest Bearing Time Deposits</w:t>
      </w:r>
    </w:p>
    <w:p>
      <w:pPr>
        <w:spacing w:after="0" w:line="121" w:lineRule="exact"/>
        <w:rPr>
          <w:sz w:val="20"/>
          <w:szCs w:val="20"/>
          <w:color w:val="auto"/>
        </w:rPr>
      </w:pPr>
    </w:p>
    <w:p>
      <w:pPr>
        <w:ind w:left="800" w:right="50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ecurities – Available-for-sale</w:t>
      </w:r>
    </w:p>
    <w:p>
      <w:pPr>
        <w:spacing w:after="0" w:line="121" w:lineRule="exact"/>
        <w:rPr>
          <w:sz w:val="20"/>
          <w:szCs w:val="20"/>
          <w:color w:val="auto"/>
        </w:rPr>
      </w:pPr>
    </w:p>
    <w:p>
      <w:pPr>
        <w:ind w:left="800" w:right="2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800" w:right="78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redemption provisions of the Federal Home Loan Bank.</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 Held for Sale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3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Loans, net</w:t>
      </w:r>
    </w:p>
    <w:p>
      <w:pPr>
        <w:spacing w:after="0" w:line="121" w:lineRule="exact"/>
        <w:rPr>
          <w:sz w:val="20"/>
          <w:szCs w:val="20"/>
          <w:color w:val="auto"/>
        </w:rPr>
      </w:pPr>
    </w:p>
    <w:p>
      <w:pPr>
        <w:jc w:val="both"/>
        <w:ind w:left="800" w:right="140"/>
        <w:spacing w:after="0" w:line="264" w:lineRule="auto"/>
        <w:rPr>
          <w:sz w:val="20"/>
          <w:szCs w:val="20"/>
          <w:color w:val="auto"/>
        </w:rPr>
      </w:pPr>
      <w:r>
        <w:rPr>
          <w:rFonts w:ascii="Arial" w:cs="Arial" w:eastAsia="Arial" w:hAnsi="Arial"/>
          <w:sz w:val="18"/>
          <w:szCs w:val="18"/>
          <w:color w:val="auto"/>
        </w:rPr>
        <w:t>For net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Deposits</w:t>
      </w:r>
    </w:p>
    <w:p>
      <w:pPr>
        <w:spacing w:after="0" w:line="121" w:lineRule="exact"/>
        <w:rPr>
          <w:sz w:val="20"/>
          <w:szCs w:val="20"/>
          <w:color w:val="auto"/>
        </w:rPr>
      </w:pPr>
    </w:p>
    <w:p>
      <w:pPr>
        <w:ind w:left="800" w:right="18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27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Federal Funds Purchased and Securities Sold Under Agreement to Repurchase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carrying value of Federal Funds purchased and securities sold under agreement to repurchase approximates fair values.</w:t>
      </w:r>
    </w:p>
    <w:p>
      <w:pPr>
        <w:spacing w:after="0" w:line="3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FHLB Advances</w:t>
      </w:r>
    </w:p>
    <w:p>
      <w:pPr>
        <w:spacing w:after="0" w:line="121"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Accrued Interest Receivable and Payable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carrying amounts of accrued interest approximate fair values.</w:t>
      </w:r>
    </w:p>
    <w:p>
      <w:pPr>
        <w:spacing w:after="0" w:line="32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Off Balance Sheet Financial Instruments</w:t>
      </w:r>
    </w:p>
    <w:p>
      <w:pPr>
        <w:spacing w:after="0" w:line="121"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color w:val="auto"/>
        </w:rPr>
        <w:t>Fair values for off-balance-sheet, credit related financial instruments are based on fees currently charged to enter into similar agreements, taking into account the remaining terms of the agreements and the counterparties’ credit 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1140" w:right="220"/>
        <w:spacing w:after="0" w:line="259"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December 31, 2017 and 2016,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4"/>
          </w:tcPr>
          <w:p>
            <w:pPr>
              <w:jc w:val="center"/>
              <w:ind w:right="20"/>
              <w:spacing w:after="0" w:line="142" w:lineRule="exact"/>
              <w:rPr>
                <w:sz w:val="20"/>
                <w:szCs w:val="20"/>
                <w:color w:val="auto"/>
              </w:rPr>
            </w:pPr>
            <w:r>
              <w:rPr>
                <w:rFonts w:ascii="Arial" w:cs="Arial" w:eastAsia="Arial" w:hAnsi="Arial"/>
                <w:sz w:val="14"/>
                <w:szCs w:val="14"/>
                <w:color w:val="auto"/>
                <w:w w:val="92"/>
              </w:rPr>
              <w:t>December 2017</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color w:val="auto"/>
                <w:w w:val="92"/>
              </w:rPr>
              <w:t>December 2016</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w w:val="90"/>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rPr>
              <w:t>Fair</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200"/>
              <w:spacing w:after="0" w:line="123" w:lineRule="exact"/>
              <w:rPr>
                <w:sz w:val="20"/>
                <w:szCs w:val="20"/>
                <w:color w:val="auto"/>
              </w:rPr>
            </w:pPr>
            <w:r>
              <w:rPr>
                <w:rFonts w:ascii="Arial" w:cs="Arial" w:eastAsia="Arial" w:hAnsi="Arial"/>
                <w:sz w:val="14"/>
                <w:szCs w:val="14"/>
                <w:color w:val="auto"/>
                <w:w w:val="94"/>
              </w:rPr>
              <w:t>Carrying</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260"/>
              <w:spacing w:after="0" w:line="123" w:lineRule="exact"/>
              <w:rPr>
                <w:sz w:val="20"/>
                <w:szCs w:val="20"/>
                <w:color w:val="auto"/>
              </w:rPr>
            </w:pPr>
            <w:r>
              <w:rPr>
                <w:rFonts w:ascii="Arial" w:cs="Arial" w:eastAsia="Arial" w:hAnsi="Arial"/>
                <w:sz w:val="14"/>
                <w:szCs w:val="14"/>
                <w:color w:val="auto"/>
              </w:rPr>
              <w:t>Fair</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color w:val="auto"/>
                <w:w w:val="97"/>
              </w:rPr>
              <w:t>Level 1</w:t>
            </w:r>
          </w:p>
        </w:tc>
        <w:tc>
          <w:tcPr>
            <w:tcW w:w="10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w w:val="97"/>
              </w:rPr>
              <w:t>Level 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Value</w:t>
            </w:r>
          </w:p>
        </w:tc>
        <w:tc>
          <w:tcPr>
            <w:tcW w:w="20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color w:val="auto"/>
              </w:rPr>
              <w:t>Level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9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w w:val="94"/>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34,467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34,467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spacing w:after="0"/>
              <w:rPr>
                <w:sz w:val="20"/>
                <w:szCs w:val="20"/>
                <w:color w:val="auto"/>
              </w:rPr>
            </w:pPr>
            <w:r>
              <w:rPr>
                <w:rFonts w:ascii="Arial" w:cs="Arial" w:eastAsia="Arial" w:hAnsi="Arial"/>
                <w:sz w:val="18"/>
                <w:szCs w:val="18"/>
                <w:color w:val="auto"/>
              </w:rPr>
              <w:t>34,467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28,322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28,322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28,322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Interest-bearing time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340"/>
              <w:spacing w:after="0" w:line="201" w:lineRule="exact"/>
              <w:rPr>
                <w:sz w:val="20"/>
                <w:szCs w:val="20"/>
                <w:color w:val="auto"/>
              </w:rPr>
            </w:pPr>
            <w:r>
              <w:rPr>
                <w:rFonts w:ascii="Arial" w:cs="Arial" w:eastAsia="Arial" w:hAnsi="Arial"/>
                <w:sz w:val="18"/>
                <w:szCs w:val="18"/>
                <w:color w:val="auto"/>
              </w:rPr>
              <w:t>Securities—available for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rPr>
              <w:t>sale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196,398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196,398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173,992</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218,527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218,527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24,775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192,334</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816,156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819,193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819,193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751,310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753,357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753,357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Interest bearing Deposits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532,660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532,660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532,660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456,983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456,983</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456,983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Non-interest bearing</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199,114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199,114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199,114</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186,390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186,390</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186,390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187,566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188,335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188,335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198,830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199,658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199,658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919,340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920,109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199,114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720,995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842,203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843,031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186,390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656,641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340"/>
              <w:spacing w:after="0" w:line="201" w:lineRule="exact"/>
              <w:rPr>
                <w:sz w:val="20"/>
                <w:szCs w:val="20"/>
                <w:color w:val="auto"/>
              </w:rPr>
            </w:pPr>
            <w:r>
              <w:rPr>
                <w:rFonts w:ascii="Arial" w:cs="Arial" w:eastAsia="Arial" w:hAnsi="Arial"/>
                <w:sz w:val="18"/>
                <w:szCs w:val="18"/>
                <w:color w:val="auto"/>
              </w:rPr>
              <w:t>Federal Funds purchased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w w:val="94"/>
              </w:rPr>
              <w:t>and Securities sold under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520"/>
              <w:spacing w:after="0"/>
              <w:rPr>
                <w:sz w:val="20"/>
                <w:szCs w:val="20"/>
                <w:color w:val="auto"/>
              </w:rPr>
            </w:pPr>
            <w:r>
              <w:rPr>
                <w:rFonts w:ascii="Arial" w:cs="Arial" w:eastAsia="Arial" w:hAnsi="Arial"/>
                <w:sz w:val="18"/>
                <w:szCs w:val="18"/>
                <w:color w:val="auto"/>
                <w:w w:val="95"/>
              </w:rPr>
              <w:t>agreement to repurchase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39,495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39,495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39,495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70,324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70,324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70,324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Federal Home Loan Bank</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advances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10,041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Interest payable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5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800" w:right="140"/>
        <w:spacing w:after="0" w:line="264" w:lineRule="auto"/>
        <w:rPr>
          <w:sz w:val="20"/>
          <w:szCs w:val="20"/>
          <w:color w:val="auto"/>
        </w:rPr>
      </w:pPr>
      <w:r>
        <w:rPr>
          <w:rFonts w:ascii="Arial" w:cs="Arial" w:eastAsia="Arial" w:hAnsi="Arial"/>
          <w:sz w:val="18"/>
          <w:szCs w:val="18"/>
          <w:color w:val="auto"/>
        </w:rPr>
        <w:t>The following table presents information about the Company’s assets and liabilities measured at fair value on a recurring basis at December 31, 2017 and 2016, and the valuation techniques used by the Company to determine those fair values. There were no changes to valuation techniques during 2017.</w:t>
      </w:r>
    </w:p>
    <w:p>
      <w:pPr>
        <w:spacing w:after="0" w:line="73" w:lineRule="exact"/>
        <w:rPr>
          <w:sz w:val="20"/>
          <w:szCs w:val="20"/>
          <w:color w:val="auto"/>
        </w:rPr>
      </w:pPr>
    </w:p>
    <w:p>
      <w:pPr>
        <w:ind w:left="800" w:right="18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62"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color w:val="auto"/>
        </w:rPr>
        <w:t>Available-for-sale securities—When quoted prices are available in an active market, securities are valued using the quoted price and are classified as Level 1. The quoted prices are not adjusted.</w:t>
      </w:r>
    </w:p>
    <w:p>
      <w:pPr>
        <w:spacing w:after="0" w:line="62" w:lineRule="exact"/>
        <w:rPr>
          <w:sz w:val="20"/>
          <w:szCs w:val="20"/>
          <w:color w:val="auto"/>
        </w:rPr>
      </w:pPr>
    </w:p>
    <w:p>
      <w:pPr>
        <w:ind w:left="800" w:right="22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73" w:lineRule="exact"/>
        <w:rPr>
          <w:sz w:val="20"/>
          <w:szCs w:val="20"/>
          <w:color w:val="auto"/>
        </w:rPr>
      </w:pPr>
    </w:p>
    <w:p>
      <w:pPr>
        <w:ind w:left="800" w:right="10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80" w:lineRule="exact"/>
        <w:rPr>
          <w:sz w:val="20"/>
          <w:szCs w:val="20"/>
          <w:color w:val="auto"/>
        </w:rPr>
      </w:pPr>
    </w:p>
    <w:p>
      <w:pPr>
        <w:ind w:left="800" w:right="2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two local municipals that the Bank evaluates based on the credit strength of the underlying project. The fair value is determined by valuing similar credit payment streams at similar rates.</w:t>
      </w:r>
    </w:p>
    <w:p>
      <w:pPr>
        <w:spacing w:after="0" w:line="73" w:lineRule="exact"/>
        <w:rPr>
          <w:sz w:val="20"/>
          <w:szCs w:val="20"/>
          <w:color w:val="auto"/>
        </w:rPr>
      </w:pPr>
    </w:p>
    <w:p>
      <w:pPr>
        <w:ind w:left="800" w:right="34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57" w:lineRule="exact"/>
        <w:rPr>
          <w:sz w:val="20"/>
          <w:szCs w:val="20"/>
          <w:color w:val="auto"/>
        </w:rPr>
      </w:pPr>
    </w:p>
    <w:p>
      <w:pPr>
        <w:ind w:left="800" w:right="440"/>
        <w:spacing w:after="0" w:line="277" w:lineRule="auto"/>
        <w:rPr>
          <w:sz w:val="20"/>
          <w:szCs w:val="20"/>
          <w:color w:val="auto"/>
        </w:rPr>
      </w:pPr>
      <w:r>
        <w:rPr>
          <w:rFonts w:ascii="Arial" w:cs="Arial" w:eastAsia="Arial" w:hAnsi="Arial"/>
          <w:sz w:val="18"/>
          <w:szCs w:val="18"/>
          <w:color w:val="auto"/>
        </w:rPr>
        <w:t>The following table summarizes financial assets measured at fair value on a recurring basis as of December 31, 2017 and December 31, 2016 segregated by level or the valuation inputs within the fair value hierarchy utilized to measure fair value.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400"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6100" w:type="dxa"/>
            <w:vAlign w:val="bottom"/>
            <w:gridSpan w:val="2"/>
          </w:tcPr>
          <w:p>
            <w:pPr>
              <w:spacing w:after="0"/>
              <w:rPr>
                <w:sz w:val="20"/>
                <w:szCs w:val="20"/>
                <w:color w:val="auto"/>
              </w:rPr>
            </w:pPr>
            <w:r>
              <w:rPr>
                <w:rFonts w:ascii="Arial" w:cs="Arial" w:eastAsia="Arial" w:hAnsi="Arial"/>
                <w:sz w:val="14"/>
                <w:szCs w:val="14"/>
                <w:color w:val="auto"/>
              </w:rPr>
              <w:t>Assets and Liabilities Measured at Fair Value on a Recurring Basis (In Thousands)</w:t>
            </w:r>
          </w:p>
        </w:tc>
        <w:tc>
          <w:tcPr>
            <w:tcW w:w="20" w:type="dxa"/>
            <w:vAlign w:val="bottom"/>
          </w:tcPr>
          <w:p>
            <w:pPr>
              <w:spacing w:after="0"/>
              <w:rPr>
                <w:sz w:val="15"/>
                <w:szCs w:val="15"/>
                <w:color w:val="auto"/>
              </w:rPr>
            </w:pPr>
          </w:p>
        </w:tc>
        <w:tc>
          <w:tcPr>
            <w:tcW w:w="1500" w:type="dxa"/>
            <w:vAlign w:val="bottom"/>
            <w:gridSpan w:val="3"/>
            <w:vMerge w:val="restart"/>
          </w:tcPr>
          <w:p>
            <w:pPr>
              <w:spacing w:after="0"/>
              <w:rPr>
                <w:sz w:val="20"/>
                <w:szCs w:val="20"/>
                <w:color w:val="auto"/>
              </w:rPr>
            </w:pPr>
            <w:r>
              <w:rPr>
                <w:rFonts w:ascii="Arial" w:cs="Arial" w:eastAsia="Arial" w:hAnsi="Arial"/>
                <w:sz w:val="14"/>
                <w:szCs w:val="14"/>
                <w:color w:val="auto"/>
              </w:rPr>
              <w:t>Quoted Prices in</w:t>
            </w:r>
          </w:p>
        </w:tc>
        <w:tc>
          <w:tcPr>
            <w:tcW w:w="960" w:type="dxa"/>
            <w:vAlign w:val="bottom"/>
            <w:gridSpan w:val="3"/>
            <w:vMerge w:val="restart"/>
          </w:tcPr>
          <w:p>
            <w:pPr>
              <w:jc w:val="center"/>
              <w:ind w:right="260"/>
              <w:spacing w:after="0"/>
              <w:rPr>
                <w:sz w:val="20"/>
                <w:szCs w:val="20"/>
                <w:color w:val="auto"/>
              </w:rPr>
            </w:pPr>
            <w:r>
              <w:rPr>
                <w:rFonts w:ascii="Arial" w:cs="Arial" w:eastAsia="Arial" w:hAnsi="Arial"/>
                <w:sz w:val="14"/>
                <w:szCs w:val="14"/>
                <w:color w:val="auto"/>
                <w:w w:val="95"/>
              </w:rPr>
              <w:t>Significant</w:t>
            </w:r>
          </w:p>
        </w:tc>
        <w:tc>
          <w:tcPr>
            <w:tcW w:w="280" w:type="dxa"/>
            <w:vAlign w:val="bottom"/>
          </w:tcPr>
          <w:p>
            <w:pPr>
              <w:spacing w:after="0"/>
              <w:rPr>
                <w:sz w:val="15"/>
                <w:szCs w:val="15"/>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96"/>
        </w:trPr>
        <w:tc>
          <w:tcPr>
            <w:tcW w:w="4780" w:type="dxa"/>
            <w:vAlign w:val="bottom"/>
            <w:tcBorders>
              <w:top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5"/>
              </w:rPr>
              <w:t>Active Markets</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Observable</w:t>
            </w:r>
          </w:p>
        </w:tc>
        <w:tc>
          <w:tcPr>
            <w:tcW w:w="2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w w:val="97"/>
              </w:rPr>
              <w:t>Observable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for Identical</w:t>
            </w:r>
          </w:p>
        </w:tc>
        <w:tc>
          <w:tcPr>
            <w:tcW w:w="14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6100" w:type="dxa"/>
            <w:vAlign w:val="bottom"/>
            <w:gridSpan w:val="2"/>
          </w:tcPr>
          <w:p>
            <w:pPr>
              <w:spacing w:after="0"/>
              <w:rPr>
                <w:sz w:val="20"/>
                <w:szCs w:val="20"/>
                <w:color w:val="auto"/>
              </w:rPr>
            </w:pPr>
            <w:r>
              <w:rPr>
                <w:rFonts w:ascii="Arial" w:cs="Arial" w:eastAsia="Arial" w:hAnsi="Arial"/>
                <w:sz w:val="14"/>
                <w:szCs w:val="14"/>
                <w:color w:val="auto"/>
              </w:rPr>
              <w:t>December 31, 2017</w:t>
            </w: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Assets (Level 1)</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color w:val="auto"/>
                <w:w w:val="99"/>
              </w:rPr>
              <w:t>(Level 2)</w:t>
            </w:r>
          </w:p>
        </w:tc>
        <w:tc>
          <w:tcPr>
            <w:tcW w:w="2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Assets-(Securities Available for Sale)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20,978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80,466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39,510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54,016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1,428</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20,978</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173,992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Quoted Prices in</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color w:val="auto"/>
                <w:w w:val="95"/>
              </w:rPr>
              <w:t>Significant</w:t>
            </w:r>
          </w:p>
        </w:tc>
        <w:tc>
          <w:tcPr>
            <w:tcW w:w="280" w:type="dxa"/>
            <w:vAlign w:val="bottom"/>
          </w:tcPr>
          <w:p>
            <w:pPr>
              <w:spacing w:after="0"/>
              <w:rPr>
                <w:sz w:val="24"/>
                <w:szCs w:val="2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5"/>
              </w:rPr>
              <w:t>Active Markets</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2"/>
              </w:rPr>
              <w:t>Observable</w:t>
            </w:r>
          </w:p>
        </w:tc>
        <w:tc>
          <w:tcPr>
            <w:tcW w:w="28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color w:val="auto"/>
                <w:w w:val="97"/>
              </w:rPr>
              <w:t>Observable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9"/>
              </w:rPr>
              <w:t>for Identical</w:t>
            </w:r>
          </w:p>
        </w:tc>
        <w:tc>
          <w:tcPr>
            <w:tcW w:w="14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67"/>
        </w:trPr>
        <w:tc>
          <w:tcPr>
            <w:tcW w:w="6100" w:type="dxa"/>
            <w:vAlign w:val="bottom"/>
            <w:gridSpan w:val="2"/>
          </w:tcPr>
          <w:p>
            <w:pPr>
              <w:spacing w:after="0"/>
              <w:rPr>
                <w:sz w:val="20"/>
                <w:szCs w:val="20"/>
                <w:color w:val="auto"/>
              </w:rPr>
            </w:pPr>
            <w:r>
              <w:rPr>
                <w:rFonts w:ascii="Arial" w:cs="Arial" w:eastAsia="Arial" w:hAnsi="Arial"/>
                <w:sz w:val="14"/>
                <w:szCs w:val="14"/>
                <w:color w:val="auto"/>
              </w:rPr>
              <w:t>December 31, 2016</w:t>
            </w:r>
          </w:p>
        </w:tc>
        <w:tc>
          <w:tcPr>
            <w:tcW w:w="2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rPr>
              <w:t>Assets (Level 1)</w:t>
            </w:r>
          </w:p>
        </w:tc>
        <w:tc>
          <w:tcPr>
            <w:tcW w:w="960" w:type="dxa"/>
            <w:vAlign w:val="bottom"/>
            <w:gridSpan w:val="3"/>
          </w:tcPr>
          <w:p>
            <w:pPr>
              <w:jc w:val="center"/>
              <w:ind w:right="260"/>
              <w:spacing w:after="0"/>
              <w:rPr>
                <w:sz w:val="20"/>
                <w:szCs w:val="20"/>
                <w:color w:val="auto"/>
              </w:rPr>
            </w:pPr>
            <w:r>
              <w:rPr>
                <w:rFonts w:ascii="Arial" w:cs="Arial" w:eastAsia="Arial" w:hAnsi="Arial"/>
                <w:sz w:val="14"/>
                <w:szCs w:val="14"/>
                <w:color w:val="auto"/>
                <w:w w:val="99"/>
              </w:rPr>
              <w:t>(Level 2)</w:t>
            </w:r>
          </w:p>
        </w:tc>
        <w:tc>
          <w:tcPr>
            <w:tcW w:w="2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Assets-(Securities Available for Sale)</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380"/>
              <w:spacing w:after="0"/>
              <w:rPr>
                <w:sz w:val="20"/>
                <w:szCs w:val="20"/>
                <w:color w:val="auto"/>
              </w:rPr>
            </w:pPr>
            <w:r>
              <w:rPr>
                <w:rFonts w:ascii="Arial" w:cs="Arial" w:eastAsia="Arial" w:hAnsi="Arial"/>
                <w:sz w:val="18"/>
                <w:szCs w:val="18"/>
                <w:color w:val="auto"/>
              </w:rPr>
              <w:t>24,775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82,474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48,461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and local governments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61,399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1,418</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24,775</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192,334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4"/>
              </w:rPr>
              <w:t>1,418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Balance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608012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80125" cy="146050"/>
                    </a:xfrm>
                    <a:prstGeom prst="rect">
                      <a:avLst/>
                    </a:prstGeom>
                    <a:noFill/>
                  </pic:spPr>
                </pic:pic>
              </a:graphicData>
            </a:graphic>
          </wp:anchor>
        </w:drawing>
      </w:r>
    </w:p>
    <w:p>
      <w:pPr>
        <w:spacing w:after="0" w:line="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Change in Market Value</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color w:val="auto"/>
        </w:rPr>
        <w:t>Sales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Payments &amp;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Balance at December 31, 2017</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96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61556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right="960"/>
        <w:spacing w:after="0"/>
        <w:rPr>
          <w:sz w:val="20"/>
          <w:szCs w:val="20"/>
          <w:color w:val="auto"/>
        </w:rPr>
      </w:pPr>
      <w:r>
        <w:rPr>
          <w:rFonts w:ascii="Arial" w:cs="Arial" w:eastAsia="Arial" w:hAnsi="Arial"/>
          <w:sz w:val="14"/>
          <w:szCs w:val="14"/>
          <w:color w:val="auto"/>
        </w:rPr>
        <w:t>Fair Value Measurements Using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6155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right="960"/>
        <w:spacing w:after="0" w:line="233" w:lineRule="auto"/>
        <w:rPr>
          <w:sz w:val="20"/>
          <w:szCs w:val="20"/>
          <w:color w:val="auto"/>
        </w:rPr>
      </w:pPr>
      <w:r>
        <w:rPr>
          <w:rFonts w:ascii="Arial" w:cs="Arial" w:eastAsia="Arial" w:hAnsi="Arial"/>
          <w:sz w:val="14"/>
          <w:szCs w:val="14"/>
          <w:color w:val="auto"/>
        </w:rPr>
        <w:t>Unobservable Inputs (Level 3)</w:t>
      </w: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State and Local</w:t>
            </w:r>
          </w:p>
        </w:tc>
        <w:tc>
          <w:tcPr>
            <w:tcW w:w="7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State and Local</w:t>
            </w:r>
          </w:p>
        </w:tc>
        <w:tc>
          <w:tcPr>
            <w:tcW w:w="9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State and Local</w:t>
            </w: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7"/>
              </w:rPr>
              <w:t>Governments</w:t>
            </w:r>
          </w:p>
        </w:tc>
        <w:tc>
          <w:tcPr>
            <w:tcW w:w="700" w:type="dxa"/>
            <w:vAlign w:val="bottom"/>
          </w:tcPr>
          <w:p>
            <w:pPr>
              <w:spacing w:after="0"/>
              <w:rPr>
                <w:sz w:val="12"/>
                <w:szCs w:val="12"/>
                <w:color w:val="auto"/>
              </w:rPr>
            </w:pPr>
          </w:p>
        </w:tc>
        <w:tc>
          <w:tcPr>
            <w:tcW w:w="160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2"/>
              </w:rPr>
              <w:t>Governments</w:t>
            </w: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color w:val="auto"/>
                <w:w w:val="99"/>
              </w:rPr>
              <w:t>Governments</w:t>
            </w: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Tax-Exempt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860"/>
              <w:spacing w:after="0"/>
              <w:rPr>
                <w:sz w:val="20"/>
                <w:szCs w:val="20"/>
                <w:color w:val="auto"/>
              </w:rPr>
            </w:pPr>
            <w:r>
              <w:rPr>
                <w:rFonts w:ascii="Arial" w:cs="Arial" w:eastAsia="Arial" w:hAnsi="Arial"/>
                <w:sz w:val="14"/>
                <w:szCs w:val="14"/>
                <w:color w:val="auto"/>
                <w:w w:val="92"/>
              </w:rPr>
              <w:t>Taxable</w:t>
            </w:r>
          </w:p>
        </w:tc>
        <w:tc>
          <w:tcPr>
            <w:tcW w:w="2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Total</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ind w:left="540"/>
              <w:spacing w:after="0" w:line="195"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1,418</w:t>
            </w:r>
          </w:p>
        </w:tc>
        <w:tc>
          <w:tcPr>
            <w:tcW w:w="700" w:type="dxa"/>
            <w:vAlign w:val="bottom"/>
          </w:tcPr>
          <w:p>
            <w:pPr>
              <w:spacing w:after="0"/>
              <w:rPr>
                <w:sz w:val="16"/>
                <w:szCs w:val="16"/>
                <w:color w:val="auto"/>
              </w:rPr>
            </w:pPr>
          </w:p>
        </w:tc>
        <w:tc>
          <w:tcPr>
            <w:tcW w:w="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1,418</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5800" w:space="520"/>
            <w:col w:w="510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400" w:lineRule="exact"/>
        <w:rPr>
          <w:sz w:val="20"/>
          <w:szCs w:val="20"/>
          <w:color w:val="auto"/>
        </w:rPr>
      </w:pPr>
    </w:p>
    <w:p>
      <w:pPr>
        <w:jc w:val="center"/>
        <w:ind w:left="5220"/>
        <w:spacing w:after="0"/>
        <w:rPr>
          <w:sz w:val="20"/>
          <w:szCs w:val="20"/>
          <w:color w:val="auto"/>
        </w:rPr>
      </w:pPr>
      <w:r>
        <w:rPr>
          <w:rFonts w:ascii="Arial" w:cs="Arial" w:eastAsia="Arial" w:hAnsi="Arial"/>
          <w:sz w:val="14"/>
          <w:szCs w:val="14"/>
          <w:color w:val="auto"/>
        </w:rPr>
        <w:t>(In Thousands)</w:t>
      </w:r>
    </w:p>
    <w:p>
      <w:pPr>
        <w:jc w:val="center"/>
        <w:ind w:left="5220"/>
        <w:spacing w:after="0" w:line="231" w:lineRule="auto"/>
        <w:rPr>
          <w:sz w:val="20"/>
          <w:szCs w:val="20"/>
          <w:color w:val="auto"/>
        </w:rPr>
      </w:pPr>
      <w:r>
        <w:rPr>
          <w:rFonts w:ascii="Arial" w:cs="Arial" w:eastAsia="Arial" w:hAnsi="Arial"/>
          <w:sz w:val="14"/>
          <w:szCs w:val="14"/>
          <w:color w:val="auto"/>
        </w:rPr>
        <w:t>Fair Value Measurements Using Significant</w:t>
      </w:r>
    </w:p>
    <w:tbl>
      <w:tblPr>
        <w:tblLayout w:type="fixed"/>
        <w:tblInd w:w="920" w:type="dxa"/>
        <w:tblCellMar>
          <w:top w:w="0" w:type="dxa"/>
          <w:left w:w="0" w:type="dxa"/>
          <w:bottom w:w="0" w:type="dxa"/>
          <w:right w:w="0" w:type="dxa"/>
        </w:tblCellMar>
      </w:tblPr>
      <w:tr>
        <w:trPr>
          <w:trHeight w:val="142"/>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60" w:type="dxa"/>
            <w:vAlign w:val="bottom"/>
            <w:tcBorders>
              <w:top w:val="single" w:sz="8" w:color="auto"/>
              <w:bottom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color w:val="auto"/>
                <w:w w:val="94"/>
              </w:rPr>
              <w:t>Unobservable Inputs (Level 3)</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3"/>
        </w:trPr>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4"/>
          </w:tcPr>
          <w:p>
            <w:pPr>
              <w:spacing w:after="0" w:line="123" w:lineRule="exact"/>
              <w:rPr>
                <w:sz w:val="20"/>
                <w:szCs w:val="20"/>
                <w:color w:val="auto"/>
              </w:rPr>
            </w:pPr>
            <w:r>
              <w:rPr>
                <w:rFonts w:ascii="Arial" w:cs="Arial" w:eastAsia="Arial" w:hAnsi="Arial"/>
                <w:sz w:val="14"/>
                <w:szCs w:val="14"/>
                <w:color w:val="auto"/>
              </w:rPr>
              <w:t>State and Local</w:t>
            </w:r>
          </w:p>
        </w:tc>
        <w:tc>
          <w:tcPr>
            <w:tcW w:w="540" w:type="dxa"/>
            <w:vAlign w:val="bottom"/>
          </w:tcPr>
          <w:p>
            <w:pPr>
              <w:spacing w:after="0"/>
              <w:rPr>
                <w:sz w:val="10"/>
                <w:szCs w:val="10"/>
                <w:color w:val="auto"/>
              </w:rPr>
            </w:pPr>
          </w:p>
        </w:tc>
        <w:tc>
          <w:tcPr>
            <w:tcW w:w="1620" w:type="dxa"/>
            <w:vAlign w:val="bottom"/>
            <w:gridSpan w:val="3"/>
          </w:tcPr>
          <w:p>
            <w:pPr>
              <w:jc w:val="center"/>
              <w:ind w:right="700"/>
              <w:spacing w:after="0" w:line="123" w:lineRule="exact"/>
              <w:rPr>
                <w:sz w:val="20"/>
                <w:szCs w:val="20"/>
                <w:color w:val="auto"/>
              </w:rPr>
            </w:pPr>
            <w:r>
              <w:rPr>
                <w:rFonts w:ascii="Arial" w:cs="Arial" w:eastAsia="Arial" w:hAnsi="Arial"/>
                <w:sz w:val="14"/>
                <w:szCs w:val="14"/>
                <w:color w:val="auto"/>
                <w:w w:val="90"/>
              </w:rPr>
              <w:t>State and Local</w:t>
            </w:r>
          </w:p>
        </w:tc>
        <w:tc>
          <w:tcPr>
            <w:tcW w:w="92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0"/>
              </w:rPr>
              <w:t>State and Local</w:t>
            </w:r>
          </w:p>
        </w:tc>
        <w:tc>
          <w:tcPr>
            <w:tcW w:w="100" w:type="dxa"/>
            <w:vAlign w:val="bottom"/>
          </w:tcPr>
          <w:p>
            <w:pPr>
              <w:spacing w:after="0"/>
              <w:rPr>
                <w:sz w:val="10"/>
                <w:szCs w:val="10"/>
                <w:color w:val="auto"/>
              </w:rPr>
            </w:pPr>
          </w:p>
        </w:tc>
      </w:tr>
      <w:tr>
        <w:trPr>
          <w:trHeight w:val="149"/>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right"/>
              <w:ind w:right="240"/>
              <w:spacing w:after="0" w:line="149" w:lineRule="exact"/>
              <w:rPr>
                <w:sz w:val="20"/>
                <w:szCs w:val="20"/>
                <w:color w:val="auto"/>
              </w:rPr>
            </w:pPr>
            <w:r>
              <w:rPr>
                <w:rFonts w:ascii="Arial" w:cs="Arial" w:eastAsia="Arial" w:hAnsi="Arial"/>
                <w:sz w:val="14"/>
                <w:szCs w:val="14"/>
                <w:color w:val="auto"/>
                <w:w w:val="95"/>
              </w:rPr>
              <w:t>Governments</w:t>
            </w:r>
          </w:p>
        </w:tc>
        <w:tc>
          <w:tcPr>
            <w:tcW w:w="540" w:type="dxa"/>
            <w:vAlign w:val="bottom"/>
          </w:tcPr>
          <w:p>
            <w:pPr>
              <w:spacing w:after="0"/>
              <w:rPr>
                <w:sz w:val="12"/>
                <w:szCs w:val="12"/>
                <w:color w:val="auto"/>
              </w:rPr>
            </w:pPr>
          </w:p>
        </w:tc>
        <w:tc>
          <w:tcPr>
            <w:tcW w:w="162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0"/>
              </w:rPr>
              <w:t>Governments</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Governments</w:t>
            </w:r>
          </w:p>
        </w:tc>
      </w:tr>
      <w:tr>
        <w:trPr>
          <w:trHeight w:val="167"/>
        </w:trPr>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4"/>
                <w:szCs w:val="14"/>
                <w:color w:val="auto"/>
                <w:w w:val="92"/>
              </w:rPr>
              <w:t>Tax-Exempt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860"/>
              <w:spacing w:after="0"/>
              <w:rPr>
                <w:sz w:val="20"/>
                <w:szCs w:val="20"/>
                <w:color w:val="auto"/>
              </w:rPr>
            </w:pPr>
            <w:r>
              <w:rPr>
                <w:rFonts w:ascii="Arial" w:cs="Arial" w:eastAsia="Arial" w:hAnsi="Arial"/>
                <w:sz w:val="14"/>
                <w:szCs w:val="14"/>
                <w:color w:val="auto"/>
                <w:w w:val="88"/>
              </w:rPr>
              <w:t>Taxable</w:t>
            </w:r>
          </w:p>
        </w:tc>
        <w:tc>
          <w:tcPr>
            <w:tcW w:w="20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Total</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Change in Market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Payments &amp; Maturities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(5,640)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(5,640)</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800" w:right="420"/>
        <w:spacing w:after="0" w:line="277" w:lineRule="auto"/>
        <w:rPr>
          <w:sz w:val="20"/>
          <w:szCs w:val="20"/>
          <w:color w:val="auto"/>
        </w:rPr>
      </w:pPr>
      <w:r>
        <w:rPr>
          <w:rFonts w:ascii="Arial" w:cs="Arial" w:eastAsia="Arial" w:hAnsi="Arial"/>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There have been no transfers between Levels 1, 2, and 3 during 2017 and 2016.</w:t>
      </w:r>
    </w:p>
    <w:p>
      <w:pPr>
        <w:spacing w:after="0" w:line="117" w:lineRule="exact"/>
        <w:rPr>
          <w:sz w:val="20"/>
          <w:szCs w:val="20"/>
          <w:color w:val="auto"/>
        </w:rPr>
      </w:pPr>
    </w:p>
    <w:p>
      <w:pPr>
        <w:ind w:left="800" w:right="24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December 31, 2017 and 2016,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50" w:lineRule="exact"/>
        <w:rPr>
          <w:sz w:val="20"/>
          <w:szCs w:val="20"/>
          <w:color w:val="auto"/>
        </w:rPr>
      </w:pPr>
    </w:p>
    <w:p>
      <w:pPr>
        <w:ind w:left="800" w:right="40"/>
        <w:spacing w:after="0" w:line="264" w:lineRule="auto"/>
        <w:rPr>
          <w:sz w:val="20"/>
          <w:szCs w:val="20"/>
          <w:color w:val="auto"/>
        </w:rPr>
      </w:pPr>
      <w:r>
        <w:rPr>
          <w:rFonts w:ascii="Arial" w:cs="Arial" w:eastAsia="Arial" w:hAnsi="Arial"/>
          <w:sz w:val="18"/>
          <w:szCs w:val="18"/>
          <w:color w:val="auto"/>
        </w:rPr>
        <w:t>At December 31, 2017 and 2016, collateral dependent impaired loans categorized as Level 3 were $1.6 and $1.7 million, respectively. The specific allocation for collateral dependent impaired loans was $106 thousand as of December 31, 2017 and $135 thousand as of December 31, 2016, respectively, which are accounted for in the allowance for loan losses (see Note 4).</w:t>
      </w:r>
    </w:p>
    <w:p>
      <w:pPr>
        <w:spacing w:after="0" w:line="73" w:lineRule="exact"/>
        <w:rPr>
          <w:sz w:val="20"/>
          <w:szCs w:val="20"/>
          <w:color w:val="auto"/>
        </w:rPr>
      </w:pPr>
    </w:p>
    <w:p>
      <w:pPr>
        <w:ind w:left="800" w:right="20"/>
        <w:spacing w:after="0" w:line="257" w:lineRule="auto"/>
        <w:rPr>
          <w:sz w:val="20"/>
          <w:szCs w:val="20"/>
          <w:color w:val="auto"/>
        </w:rPr>
      </w:pPr>
      <w:r>
        <w:rPr>
          <w:rFonts w:ascii="Arial" w:cs="Arial" w:eastAsia="Arial" w:hAnsi="Arial"/>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70"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 following table presents collateral dependent impaired loans and other real estate owned as recorded at fair value: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800" w:type="dxa"/>
            <w:vAlign w:val="bottom"/>
            <w:vMerge w:val="restart"/>
          </w:tcPr>
          <w:p>
            <w:pPr>
              <w:ind w:left="1420"/>
              <w:spacing w:after="0"/>
              <w:rPr>
                <w:sz w:val="20"/>
                <w:szCs w:val="20"/>
                <w:color w:val="auto"/>
              </w:rPr>
            </w:pPr>
            <w:r>
              <w:rPr>
                <w:rFonts w:ascii="Arial" w:cs="Arial" w:eastAsia="Arial" w:hAnsi="Arial"/>
                <w:sz w:val="14"/>
                <w:szCs w:val="14"/>
                <w:color w:val="auto"/>
              </w:rPr>
              <w:t>($ in Thousands)</w:t>
            </w:r>
          </w:p>
        </w:tc>
        <w:tc>
          <w:tcPr>
            <w:tcW w:w="180" w:type="dxa"/>
            <w:vAlign w:val="bottom"/>
            <w:tcBorders>
              <w:bottom w:val="single" w:sz="8" w:color="auto"/>
            </w:tcBorders>
          </w:tcPr>
          <w:p>
            <w:pPr>
              <w:spacing w:after="0"/>
              <w:rPr>
                <w:sz w:val="14"/>
                <w:szCs w:val="14"/>
                <w:color w:val="auto"/>
              </w:rPr>
            </w:pPr>
          </w:p>
        </w:tc>
        <w:tc>
          <w:tcPr>
            <w:tcW w:w="54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Assets Measured at Fair Value on a Nonrecurring Basis at December 31, 2017</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gridSpan w:val="3"/>
          </w:tcPr>
          <w:p>
            <w:pPr>
              <w:jc w:val="center"/>
              <w:ind w:right="760"/>
              <w:spacing w:after="0" w:line="123" w:lineRule="exact"/>
              <w:rPr>
                <w:sz w:val="20"/>
                <w:szCs w:val="20"/>
                <w:color w:val="auto"/>
              </w:rPr>
            </w:pPr>
            <w:r>
              <w:rPr>
                <w:rFonts w:ascii="Arial" w:cs="Arial" w:eastAsia="Arial" w:hAnsi="Arial"/>
                <w:sz w:val="14"/>
                <w:szCs w:val="14"/>
                <w:color w:val="auto"/>
                <w:w w:val="92"/>
              </w:rPr>
              <w:t>Quoted Prices in</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880"/>
              <w:spacing w:after="0"/>
              <w:rPr>
                <w:sz w:val="20"/>
                <w:szCs w:val="20"/>
                <w:color w:val="auto"/>
              </w:rPr>
            </w:pPr>
            <w:r>
              <w:rPr>
                <w:rFonts w:ascii="Arial" w:cs="Arial" w:eastAsia="Arial" w:hAnsi="Arial"/>
                <w:sz w:val="14"/>
                <w:szCs w:val="14"/>
                <w:color w:val="auto"/>
                <w:w w:val="97"/>
              </w:rPr>
              <w:t>Markets for</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Balance at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9"/>
              </w:rPr>
              <w:t>Identical</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Observable Inputs</w:t>
            </w: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December 31, 2017</w:t>
            </w:r>
          </w:p>
        </w:tc>
        <w:tc>
          <w:tcPr>
            <w:tcW w:w="640" w:type="dxa"/>
            <w:vAlign w:val="bottom"/>
          </w:tcPr>
          <w:p>
            <w:pPr>
              <w:spacing w:after="0"/>
              <w:rPr>
                <w:sz w:val="14"/>
                <w:szCs w:val="14"/>
                <w:color w:val="auto"/>
              </w:rPr>
            </w:pPr>
          </w:p>
        </w:tc>
        <w:tc>
          <w:tcPr>
            <w:tcW w:w="1720" w:type="dxa"/>
            <w:vAlign w:val="bottom"/>
            <w:gridSpan w:val="3"/>
          </w:tcPr>
          <w:p>
            <w:pPr>
              <w:jc w:val="center"/>
              <w:ind w:right="760"/>
              <w:spacing w:after="0"/>
              <w:rPr>
                <w:sz w:val="20"/>
                <w:szCs w:val="20"/>
                <w:color w:val="auto"/>
              </w:rPr>
            </w:pPr>
            <w:r>
              <w:rPr>
                <w:rFonts w:ascii="Arial" w:cs="Arial" w:eastAsia="Arial" w:hAnsi="Arial"/>
                <w:sz w:val="14"/>
                <w:szCs w:val="14"/>
                <w:color w:val="auto"/>
                <w:w w:val="95"/>
              </w:rPr>
              <w:t>Assets (Level 1)</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9"/>
              </w:rPr>
              <w:t>(Level 2)</w:t>
            </w: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real estate owned—residential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owned—commercial</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365"/>
        </w:trPr>
        <w:tc>
          <w:tcPr>
            <w:tcW w:w="3800" w:type="dxa"/>
            <w:vAlign w:val="bottom"/>
            <w:vMerge w:val="restart"/>
          </w:tcPr>
          <w:p>
            <w:pPr>
              <w:ind w:left="1420"/>
              <w:spacing w:after="0"/>
              <w:rPr>
                <w:sz w:val="20"/>
                <w:szCs w:val="20"/>
                <w:color w:val="auto"/>
              </w:rPr>
            </w:pPr>
            <w:r>
              <w:rPr>
                <w:rFonts w:ascii="Arial" w:cs="Arial" w:eastAsia="Arial" w:hAnsi="Arial"/>
                <w:sz w:val="14"/>
                <w:szCs w:val="14"/>
                <w:color w:val="auto"/>
              </w:rPr>
              <w:t>($ in Thousands)</w:t>
            </w:r>
          </w:p>
        </w:tc>
        <w:tc>
          <w:tcPr>
            <w:tcW w:w="18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color w:val="auto"/>
              </w:rPr>
              <w:t>Assets Measured at Fair Value on a Nonrecurring Basis at December 31, 2016</w:t>
            </w: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720" w:type="dxa"/>
            <w:vAlign w:val="bottom"/>
            <w:gridSpan w:val="3"/>
          </w:tcPr>
          <w:p>
            <w:pPr>
              <w:jc w:val="center"/>
              <w:ind w:right="760"/>
              <w:spacing w:after="0" w:line="123" w:lineRule="exact"/>
              <w:rPr>
                <w:sz w:val="20"/>
                <w:szCs w:val="20"/>
                <w:color w:val="auto"/>
              </w:rPr>
            </w:pPr>
            <w:r>
              <w:rPr>
                <w:rFonts w:ascii="Arial" w:cs="Arial" w:eastAsia="Arial" w:hAnsi="Arial"/>
                <w:sz w:val="14"/>
                <w:szCs w:val="14"/>
                <w:color w:val="auto"/>
                <w:w w:val="92"/>
              </w:rPr>
              <w:t>Quoted Prices in</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7"/>
              </w:rPr>
              <w:t>Markets for</w:t>
            </w:r>
          </w:p>
        </w:tc>
        <w:tc>
          <w:tcPr>
            <w:tcW w:w="160" w:type="dxa"/>
            <w:vAlign w:val="bottom"/>
          </w:tcPr>
          <w:p>
            <w:pPr>
              <w:spacing w:after="0"/>
              <w:rPr>
                <w:sz w:val="12"/>
                <w:szCs w:val="12"/>
                <w:color w:val="auto"/>
              </w:rPr>
            </w:pP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w w:val="95"/>
              </w:rPr>
              <w:t>Significant</w:t>
            </w: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Balance at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9"/>
              </w:rPr>
              <w:t>Identical</w:t>
            </w:r>
          </w:p>
        </w:tc>
        <w:tc>
          <w:tcPr>
            <w:tcW w:w="1820" w:type="dxa"/>
            <w:vAlign w:val="bottom"/>
            <w:gridSpan w:val="3"/>
          </w:tcPr>
          <w:p>
            <w:pPr>
              <w:jc w:val="center"/>
              <w:ind w:right="760"/>
              <w:spacing w:after="0" w:line="149" w:lineRule="exact"/>
              <w:rPr>
                <w:sz w:val="20"/>
                <w:szCs w:val="20"/>
                <w:color w:val="auto"/>
              </w:rPr>
            </w:pPr>
            <w:r>
              <w:rPr>
                <w:rFonts w:ascii="Arial" w:cs="Arial" w:eastAsia="Arial" w:hAnsi="Arial"/>
                <w:sz w:val="14"/>
                <w:szCs w:val="14"/>
                <w:color w:val="auto"/>
                <w:w w:val="93"/>
              </w:rPr>
              <w:t>Observable Inputs</w:t>
            </w: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Unobservable Inputs</w:t>
            </w:r>
          </w:p>
        </w:tc>
        <w:tc>
          <w:tcPr>
            <w:tcW w:w="0" w:type="dxa"/>
            <w:vAlign w:val="bottom"/>
          </w:tcPr>
          <w:p>
            <w:pPr>
              <w:spacing w:after="0"/>
              <w:rPr>
                <w:sz w:val="1"/>
                <w:szCs w:val="1"/>
                <w:color w:val="auto"/>
              </w:rPr>
            </w:pPr>
          </w:p>
        </w:tc>
      </w:tr>
      <w:tr>
        <w:trPr>
          <w:trHeight w:val="167"/>
        </w:trPr>
        <w:tc>
          <w:tcPr>
            <w:tcW w:w="38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December 31, 2016</w:t>
            </w:r>
          </w:p>
        </w:tc>
        <w:tc>
          <w:tcPr>
            <w:tcW w:w="640" w:type="dxa"/>
            <w:vAlign w:val="bottom"/>
          </w:tcPr>
          <w:p>
            <w:pPr>
              <w:spacing w:after="0"/>
              <w:rPr>
                <w:sz w:val="14"/>
                <w:szCs w:val="14"/>
                <w:color w:val="auto"/>
              </w:rPr>
            </w:pPr>
          </w:p>
        </w:tc>
        <w:tc>
          <w:tcPr>
            <w:tcW w:w="1720" w:type="dxa"/>
            <w:vAlign w:val="bottom"/>
            <w:gridSpan w:val="3"/>
          </w:tcPr>
          <w:p>
            <w:pPr>
              <w:jc w:val="center"/>
              <w:ind w:right="760"/>
              <w:spacing w:after="0"/>
              <w:rPr>
                <w:sz w:val="20"/>
                <w:szCs w:val="20"/>
                <w:color w:val="auto"/>
              </w:rPr>
            </w:pPr>
            <w:r>
              <w:rPr>
                <w:rFonts w:ascii="Arial" w:cs="Arial" w:eastAsia="Arial" w:hAnsi="Arial"/>
                <w:sz w:val="14"/>
                <w:szCs w:val="14"/>
                <w:color w:val="auto"/>
                <w:w w:val="95"/>
              </w:rPr>
              <w:t>Assets (Level 1)</w:t>
            </w:r>
          </w:p>
        </w:tc>
        <w:tc>
          <w:tcPr>
            <w:tcW w:w="160" w:type="dxa"/>
            <w:vAlign w:val="bottom"/>
          </w:tcPr>
          <w:p>
            <w:pPr>
              <w:spacing w:after="0"/>
              <w:rPr>
                <w:sz w:val="14"/>
                <w:szCs w:val="14"/>
                <w:color w:val="auto"/>
              </w:rPr>
            </w:pPr>
          </w:p>
        </w:tc>
        <w:tc>
          <w:tcPr>
            <w:tcW w:w="1660" w:type="dxa"/>
            <w:vAlign w:val="bottom"/>
            <w:gridSpan w:val="2"/>
          </w:tcPr>
          <w:p>
            <w:pPr>
              <w:jc w:val="center"/>
              <w:ind w:right="920"/>
              <w:spacing w:after="0"/>
              <w:rPr>
                <w:sz w:val="20"/>
                <w:szCs w:val="20"/>
                <w:color w:val="auto"/>
              </w:rPr>
            </w:pPr>
            <w:r>
              <w:rPr>
                <w:rFonts w:ascii="Arial" w:cs="Arial" w:eastAsia="Arial" w:hAnsi="Arial"/>
                <w:sz w:val="14"/>
                <w:szCs w:val="14"/>
                <w:color w:val="auto"/>
                <w:w w:val="99"/>
              </w:rPr>
              <w:t>(Level 2)</w:t>
            </w:r>
          </w:p>
        </w:tc>
        <w:tc>
          <w:tcPr>
            <w:tcW w:w="2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(Level 3)</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Collateral dependent impaired loans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real estate owned—residential</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owned—commercial—</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162" w:lineRule="exact"/>
        <w:rPr>
          <w:sz w:val="20"/>
          <w:szCs w:val="20"/>
          <w:color w:val="auto"/>
        </w:rPr>
      </w:pPr>
    </w:p>
    <w:p>
      <w:pPr>
        <w:ind w:left="800" w:right="98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Range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Fair Value at</w:t>
            </w:r>
          </w:p>
        </w:tc>
        <w:tc>
          <w:tcPr>
            <w:tcW w:w="2800" w:type="dxa"/>
            <w:vAlign w:val="bottom"/>
            <w:gridSpan w:val="2"/>
            <w:vMerge w:val="restart"/>
          </w:tcPr>
          <w:p>
            <w:pPr>
              <w:ind w:left="200"/>
              <w:spacing w:after="0"/>
              <w:rPr>
                <w:sz w:val="20"/>
                <w:szCs w:val="20"/>
                <w:color w:val="auto"/>
              </w:rPr>
            </w:pPr>
            <w:r>
              <w:rPr>
                <w:rFonts w:ascii="Arial" w:cs="Arial" w:eastAsia="Arial" w:hAnsi="Arial"/>
                <w:sz w:val="14"/>
                <w:szCs w:val="14"/>
                <w:color w:val="auto"/>
              </w:rPr>
              <w:t>Valuation Technique</w:t>
            </w:r>
          </w:p>
        </w:tc>
        <w:tc>
          <w:tcPr>
            <w:tcW w:w="2920" w:type="dxa"/>
            <w:vAlign w:val="bottom"/>
            <w:gridSpan w:val="2"/>
            <w:vMerge w:val="restart"/>
          </w:tcPr>
          <w:p>
            <w:pPr>
              <w:ind w:left="340"/>
              <w:spacing w:after="0"/>
              <w:rPr>
                <w:sz w:val="20"/>
                <w:szCs w:val="20"/>
                <w:color w:val="auto"/>
              </w:rPr>
            </w:pPr>
            <w:r>
              <w:rPr>
                <w:rFonts w:ascii="Arial" w:cs="Arial" w:eastAsia="Arial" w:hAnsi="Arial"/>
                <w:sz w:val="14"/>
                <w:szCs w:val="14"/>
                <w:color w:val="auto"/>
              </w:rPr>
              <w:t>Unobservable Inputs</w:t>
            </w: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December 31, 2017</w:t>
            </w:r>
          </w:p>
        </w:tc>
        <w:tc>
          <w:tcPr>
            <w:tcW w:w="280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95"/>
        </w:trPr>
        <w:tc>
          <w:tcPr>
            <w:tcW w:w="33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State and local government</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Credit strength of underlying</w:t>
            </w: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1,428</w:t>
            </w: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Discounted Cash Flow</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project or entity / Discount rate</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Collateral dependent impaired loans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9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Discount to reflect current market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rPr>
              <w:t>conditions and ultimate</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Collateral based measurements</w:t>
            </w: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rPr>
              <w:t>collectability</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w w:val="90"/>
              </w:rPr>
              <w:t>(17.28%)</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 residential</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Appraisals</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Discount to reflect current market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Other real estate owned - commercial</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2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266</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Appraisals</w:t>
            </w: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w w:val="96"/>
              </w:rPr>
              <w:t>Discount to reflect current market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346"/>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Range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Fair Value at</w:t>
            </w:r>
          </w:p>
        </w:tc>
        <w:tc>
          <w:tcPr>
            <w:tcW w:w="2800" w:type="dxa"/>
            <w:vAlign w:val="bottom"/>
            <w:gridSpan w:val="2"/>
            <w:vMerge w:val="restart"/>
          </w:tcPr>
          <w:p>
            <w:pPr>
              <w:ind w:left="200"/>
              <w:spacing w:after="0"/>
              <w:rPr>
                <w:sz w:val="20"/>
                <w:szCs w:val="20"/>
                <w:color w:val="auto"/>
              </w:rPr>
            </w:pPr>
            <w:r>
              <w:rPr>
                <w:rFonts w:ascii="Arial" w:cs="Arial" w:eastAsia="Arial" w:hAnsi="Arial"/>
                <w:sz w:val="14"/>
                <w:szCs w:val="14"/>
                <w:color w:val="auto"/>
              </w:rPr>
              <w:t>Valuation Technique</w:t>
            </w:r>
          </w:p>
        </w:tc>
        <w:tc>
          <w:tcPr>
            <w:tcW w:w="2920" w:type="dxa"/>
            <w:vAlign w:val="bottom"/>
            <w:gridSpan w:val="2"/>
            <w:vMerge w:val="restart"/>
          </w:tcPr>
          <w:p>
            <w:pPr>
              <w:ind w:left="340"/>
              <w:spacing w:after="0"/>
              <w:rPr>
                <w:sz w:val="20"/>
                <w:szCs w:val="20"/>
                <w:color w:val="auto"/>
              </w:rPr>
            </w:pPr>
            <w:r>
              <w:rPr>
                <w:rFonts w:ascii="Arial" w:cs="Arial" w:eastAsia="Arial" w:hAnsi="Arial"/>
                <w:sz w:val="14"/>
                <w:szCs w:val="14"/>
                <w:color w:val="auto"/>
              </w:rPr>
              <w:t>Unobservable Inputs</w:t>
            </w: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67"/>
        </w:trPr>
        <w:tc>
          <w:tcPr>
            <w:tcW w:w="336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December 31, 2016</w:t>
            </w:r>
          </w:p>
        </w:tc>
        <w:tc>
          <w:tcPr>
            <w:tcW w:w="280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020" w:type="dxa"/>
            <w:vAlign w:val="bottom"/>
            <w:gridSpan w:val="2"/>
          </w:tcPr>
          <w:p>
            <w:pPr>
              <w:ind w:left="340"/>
              <w:spacing w:after="0"/>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95"/>
        </w:trPr>
        <w:tc>
          <w:tcPr>
            <w:tcW w:w="33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State and local government</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Credit strength of underlying</w:t>
            </w:r>
          </w:p>
        </w:tc>
        <w:tc>
          <w:tcPr>
            <w:tcW w:w="3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3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1,418</w:t>
            </w: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Discounted Cash Flow</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project or entity / Discount rate</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Collateral dependent impaired loans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92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6"/>
              </w:rPr>
              <w:t>Discount to reflect current market</w:t>
            </w: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rPr>
              <w:t>conditions and ultimate</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Collateral based measurements</w:t>
            </w: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rPr>
              <w:t>collectability</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w w:val="90"/>
              </w:rPr>
              <w:t>(18.92%)</w:t>
            </w:r>
          </w:p>
        </w:tc>
        <w:tc>
          <w:tcPr>
            <w:tcW w:w="0" w:type="dxa"/>
            <w:vAlign w:val="bottom"/>
          </w:tcPr>
          <w:p>
            <w:pPr>
              <w:spacing w:after="0"/>
              <w:rPr>
                <w:sz w:val="1"/>
                <w:szCs w:val="1"/>
                <w:color w:val="auto"/>
              </w:rPr>
            </w:pPr>
          </w:p>
        </w:tc>
      </w:tr>
      <w:tr>
        <w:trPr>
          <w:trHeight w:val="202"/>
        </w:trPr>
        <w:tc>
          <w:tcPr>
            <w:tcW w:w="3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real estate owned - residential</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2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Appraisals</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Discount to reflect current market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Other real estate owned - commercial</w:t>
            </w: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rPr>
              <w:t>Appraisals</w:t>
            </w: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w w:val="96"/>
              </w:rPr>
              <w:t>Discount to reflect current market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800" w:right="160"/>
        <w:spacing w:after="0" w:line="302" w:lineRule="auto"/>
        <w:rPr>
          <w:sz w:val="20"/>
          <w:szCs w:val="20"/>
          <w:color w:val="auto"/>
        </w:rPr>
      </w:pPr>
      <w:r>
        <w:rPr>
          <w:rFonts w:ascii="Arial" w:cs="Arial" w:eastAsia="Arial" w:hAnsi="Arial"/>
          <w:sz w:val="16"/>
          <w:szCs w:val="16"/>
          <w:color w:val="auto"/>
        </w:rPr>
        <w:t>The Company also has other assets, which under certain conditions, are subject to measurement at fair value. These assets include loans held for sale, bank owned life insurance, and mortgage servicing rights. The Company estimated the fair values of these assets utilizing Level 3 inputs, including, the discounted present value of expected future cash flows. At December 31, 2017, the Company estimates that there is no impairment of these assets and therefore, no impairment charge to other expense was required to adjust these assets to their estimated fair values.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3560" w:type="dxa"/>
            <w:vAlign w:val="bottom"/>
            <w:gridSpan w:val="14"/>
          </w:tcPr>
          <w:p>
            <w:pPr>
              <w:jc w:val="right"/>
              <w:spacing w:after="0"/>
              <w:rPr>
                <w:sz w:val="20"/>
                <w:szCs w:val="20"/>
                <w:color w:val="auto"/>
              </w:rPr>
            </w:pPr>
            <w:r>
              <w:rPr>
                <w:rFonts w:ascii="Arial" w:cs="Arial" w:eastAsia="Arial" w:hAnsi="Arial"/>
                <w:sz w:val="18"/>
                <w:szCs w:val="18"/>
                <w:b w:val="1"/>
                <w:bCs w:val="1"/>
                <w:color w:val="auto"/>
                <w:w w:val="94"/>
              </w:rPr>
              <w:t>Notes to Consolidated Financial Statements</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9"/>
          </w:tcPr>
          <w:p>
            <w:pPr>
              <w:jc w:val="right"/>
              <w:spacing w:after="0"/>
              <w:rPr>
                <w:sz w:val="20"/>
                <w:szCs w:val="20"/>
                <w:color w:val="auto"/>
              </w:rPr>
            </w:pPr>
            <w:r>
              <w:rPr>
                <w:rFonts w:ascii="Arial" w:cs="Arial" w:eastAsia="Arial" w:hAnsi="Arial"/>
                <w:sz w:val="18"/>
                <w:szCs w:val="18"/>
                <w:b w:val="1"/>
                <w:bCs w:val="1"/>
                <w:color w:val="auto"/>
                <w:w w:val="94"/>
              </w:rPr>
              <w:t>December 31, 2017, 2016, 2015</w:t>
            </w:r>
          </w:p>
        </w:tc>
        <w:tc>
          <w:tcPr>
            <w:tcW w:w="0" w:type="dxa"/>
            <w:vAlign w:val="bottom"/>
          </w:tcPr>
          <w:p>
            <w:pPr>
              <w:spacing w:after="0"/>
              <w:rPr>
                <w:sz w:val="1"/>
                <w:szCs w:val="1"/>
                <w:color w:val="auto"/>
              </w:rPr>
            </w:pPr>
          </w:p>
        </w:tc>
      </w:tr>
      <w:tr>
        <w:trPr>
          <w:trHeight w:val="378"/>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Note 18 – Condensed Financial Statements of Parent Company</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tcPr>
          <w:p>
            <w:pPr>
              <w:ind w:left="2680"/>
              <w:spacing w:after="0"/>
              <w:rPr>
                <w:sz w:val="20"/>
                <w:szCs w:val="20"/>
                <w:color w:val="auto"/>
              </w:rPr>
            </w:pPr>
            <w:r>
              <w:rPr>
                <w:rFonts w:ascii="Arial" w:cs="Arial" w:eastAsia="Arial" w:hAnsi="Arial"/>
                <w:sz w:val="18"/>
                <w:szCs w:val="18"/>
                <w:b w:val="1"/>
                <w:bCs w:val="1"/>
                <w:color w:val="auto"/>
              </w:rPr>
              <w:t>Balance Sheets</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color w:val="auto"/>
                <w:w w:val="91"/>
              </w:rPr>
              <w:t>(In Thousands)</w:t>
            </w:r>
          </w:p>
        </w:tc>
        <w:tc>
          <w:tcPr>
            <w:tcW w:w="1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3"/>
          </w:tcPr>
          <w:p>
            <w:pPr>
              <w:jc w:val="right"/>
              <w:ind w:right="13"/>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Cash</w:t>
            </w:r>
          </w:p>
        </w:tc>
        <w:tc>
          <w:tcPr>
            <w:tcW w:w="580" w:type="dxa"/>
            <w:vAlign w:val="bottom"/>
            <w:gridSpan w:val="2"/>
          </w:tcPr>
          <w:p>
            <w:pPr>
              <w:jc w:val="center"/>
              <w:ind w:left="15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1,435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Dividends &amp; Accounts receivable from subsidiaries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2,038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1,842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Municipals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Note receivable from Bank subsidiary</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Securities—Municipals</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18,944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17,290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Certificate of Deposits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1,974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subsidiaries</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112,025</w:t>
            </w:r>
          </w:p>
        </w:tc>
        <w:tc>
          <w:tcPr>
            <w:tcW w:w="11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106,044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135,368</w:t>
            </w: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126,674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580" w:type="dxa"/>
            <w:vAlign w:val="bottom"/>
            <w:gridSpan w:val="2"/>
          </w:tcPr>
          <w:p>
            <w:pPr>
              <w:jc w:val="center"/>
              <w:ind w:left="15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payable</w:t>
            </w:r>
          </w:p>
        </w:tc>
        <w:tc>
          <w:tcPr>
            <w:tcW w:w="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1,192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1,231</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1,097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134,137</w:t>
            </w:r>
          </w:p>
        </w:tc>
        <w:tc>
          <w:tcPr>
            <w:tcW w:w="114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125,577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4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Liabilities and Stockholders’ Equity</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135,368</w:t>
            </w: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126,674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80" w:type="dxa"/>
            <w:vAlign w:val="bottom"/>
            <w:vMerge w:val="restart"/>
          </w:tcPr>
          <w:p>
            <w:pPr>
              <w:ind w:left="2360"/>
              <w:spacing w:after="0"/>
              <w:rPr>
                <w:sz w:val="20"/>
                <w:szCs w:val="20"/>
                <w:color w:val="auto"/>
              </w:rPr>
            </w:pPr>
            <w:r>
              <w:rPr>
                <w:rFonts w:ascii="Arial" w:cs="Arial" w:eastAsia="Arial" w:hAnsi="Arial"/>
                <w:sz w:val="18"/>
                <w:szCs w:val="18"/>
                <w:b w:val="1"/>
                <w:bCs w:val="1"/>
                <w:color w:val="auto"/>
                <w:w w:val="94"/>
              </w:rPr>
              <w:t>Statements of Income and Comprehensive Income</w:t>
            </w: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color w:val="auto"/>
                <w:w w:val="93"/>
              </w:rPr>
              <w:t>(In Thousands)</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2016</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Dividends from subsidiaries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$ 6,850</w:t>
            </w: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6,000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6,220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640" w:type="dxa"/>
            <w:vAlign w:val="bottom"/>
            <w:gridSpan w:val="3"/>
            <w:shd w:val="clear" w:color="auto" w:fill="CCEEFF"/>
          </w:tcPr>
          <w:p>
            <w:pPr>
              <w:jc w:val="center"/>
              <w:ind w:left="9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Interest Municipals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sales of available-for-sale securities</w:t>
            </w:r>
          </w:p>
        </w:tc>
        <w:tc>
          <w:tcPr>
            <w:tcW w:w="640" w:type="dxa"/>
            <w:vAlign w:val="bottom"/>
            <w:gridSpan w:val="3"/>
            <w:shd w:val="clear" w:color="auto" w:fill="CCEEFF"/>
          </w:tcPr>
          <w:p>
            <w:pPr>
              <w:jc w:val="center"/>
              <w:ind w:left="91"/>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80" w:type="dxa"/>
            <w:vAlign w:val="bottom"/>
          </w:tcPr>
          <w:p>
            <w:pPr>
              <w:ind w:left="260"/>
              <w:spacing w:after="0"/>
              <w:rPr>
                <w:sz w:val="20"/>
                <w:szCs w:val="20"/>
                <w:color w:val="auto"/>
              </w:rPr>
            </w:pPr>
            <w:r>
              <w:rPr>
                <w:rFonts w:ascii="Arial" w:cs="Arial" w:eastAsia="Arial" w:hAnsi="Arial"/>
                <w:sz w:val="18"/>
                <w:szCs w:val="18"/>
                <w:color w:val="auto"/>
              </w:rPr>
              <w:t>Total Income</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7,163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6,563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w w:val="98"/>
              </w:rPr>
              <w:t>Income Before Income Taxes and Equity in Undistributed Earnings of Subsidiaries</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6,335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Taxes (Benefit)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6,757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5,829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6,074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Equity in undistributed earnings of Subsidiaries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12,720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11,664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10,340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tcPr>
          <w:p>
            <w:pPr>
              <w:ind w:left="360"/>
              <w:spacing w:after="0"/>
              <w:rPr>
                <w:sz w:val="20"/>
                <w:szCs w:val="20"/>
                <w:color w:val="auto"/>
              </w:rPr>
            </w:pPr>
            <w:r>
              <w:rPr>
                <w:rFonts w:ascii="Arial" w:cs="Arial" w:eastAsia="Arial" w:hAnsi="Arial"/>
                <w:sz w:val="18"/>
                <w:szCs w:val="18"/>
                <w:color w:val="auto"/>
              </w:rPr>
              <w:t>Unrealized gains (losses) on securities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(2,184)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(232)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9,480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7"/>
              </w:rPr>
              <w:t>10,108</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3"/>
            <w:vMerge w:val="restart"/>
          </w:tcPr>
          <w:p>
            <w:pPr>
              <w:jc w:val="right"/>
              <w:ind w:right="1970"/>
              <w:spacing w:after="0"/>
              <w:rPr>
                <w:sz w:val="20"/>
                <w:szCs w:val="20"/>
                <w:color w:val="auto"/>
              </w:rPr>
            </w:pPr>
            <w:r>
              <w:rPr>
                <w:rFonts w:ascii="Arial" w:cs="Arial" w:eastAsia="Arial" w:hAnsi="Arial"/>
                <w:sz w:val="18"/>
                <w:szCs w:val="18"/>
                <w:color w:val="auto"/>
              </w:rPr>
              <w:t>94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2017, 2016,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Condensed Financial Statements of Parent Company (Continued)</w:t>
      </w: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w w:val="97"/>
              </w:rPr>
              <w:t>(In Thousands)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2017</w:t>
            </w: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2016</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12,720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11,664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Equity in undistributed net income (Distributions in excess earnings) of subsidiaries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(5,963)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(5,835)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&amp; Amortization of Securities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Gain on Sale of Available for Sale Securities</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Dividends receivable</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and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1060"/>
              <w:spacing w:after="0"/>
              <w:rPr>
                <w:sz w:val="20"/>
                <w:szCs w:val="20"/>
                <w:color w:val="auto"/>
              </w:rPr>
            </w:pPr>
            <w:r>
              <w:rPr>
                <w:rFonts w:ascii="Arial" w:cs="Arial" w:eastAsia="Arial" w:hAnsi="Arial"/>
                <w:sz w:val="18"/>
                <w:szCs w:val="18"/>
                <w:color w:val="auto"/>
              </w:rPr>
              <w:t>Net Cash Provided by</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Activity in available for sale securities: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Maturities, prepayments and calls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(2,891)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Certificates of Deposit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(3,641)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ind w:left="10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(4,679)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(4,309)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(4,746)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Change in Cash and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106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(1,158)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Beginning of year</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277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jc w:val="right"/>
              <w:ind w:right="2990"/>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60" w:type="dxa"/>
            <w:vAlign w:val="bottom"/>
            <w:gridSpan w:val="8"/>
          </w:tcPr>
          <w:p>
            <w:pPr>
              <w:jc w:val="right"/>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6"/>
          </w:tcPr>
          <w:p>
            <w:pPr>
              <w:jc w:val="right"/>
              <w:spacing w:after="0"/>
              <w:rPr>
                <w:sz w:val="20"/>
                <w:szCs w:val="20"/>
                <w:color w:val="auto"/>
              </w:rPr>
            </w:pPr>
            <w:r>
              <w:rPr>
                <w:rFonts w:ascii="Arial" w:cs="Arial" w:eastAsia="Arial" w:hAnsi="Arial"/>
                <w:sz w:val="18"/>
                <w:szCs w:val="18"/>
                <w:b w:val="1"/>
                <w:bCs w:val="1"/>
                <w:color w:val="auto"/>
              </w:rPr>
              <w:t>December 31, 2017, 2016, 2015</w:t>
            </w:r>
          </w:p>
        </w:tc>
        <w:tc>
          <w:tcPr>
            <w:tcW w:w="0" w:type="dxa"/>
            <w:vAlign w:val="bottom"/>
          </w:tcPr>
          <w:p>
            <w:pPr>
              <w:spacing w:after="0"/>
              <w:rPr>
                <w:sz w:val="1"/>
                <w:szCs w:val="1"/>
                <w:color w:val="auto"/>
              </w:rPr>
            </w:pPr>
          </w:p>
        </w:tc>
      </w:tr>
      <w:tr>
        <w:trPr>
          <w:trHeight w:val="37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Note 19 – Quarterly Financial Data</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Quarterly Financial Data—UNAUDITED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2"/>
        </w:trPr>
        <w:tc>
          <w:tcPr>
            <w:tcW w:w="4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7"/>
          </w:tcPr>
          <w:p>
            <w:pPr>
              <w:jc w:val="right"/>
              <w:ind w:right="660"/>
              <w:spacing w:after="0"/>
              <w:rPr>
                <w:sz w:val="20"/>
                <w:szCs w:val="20"/>
                <w:color w:val="auto"/>
              </w:rPr>
            </w:pPr>
            <w:r>
              <w:rPr>
                <w:rFonts w:ascii="Arial" w:cs="Arial" w:eastAsia="Arial" w:hAnsi="Arial"/>
                <w:sz w:val="14"/>
                <w:szCs w:val="14"/>
                <w:color w:val="auto"/>
                <w:w w:val="93"/>
              </w:rPr>
              <w:t>(000’s omitted except per share data)</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color w:val="auto"/>
              </w:rPr>
              <w:t>Quarter Ended in 2017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Mar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Sep 30</w:t>
            </w:r>
          </w:p>
        </w:tc>
        <w:tc>
          <w:tcPr>
            <w:tcW w:w="10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Dec 31</w:t>
            </w:r>
          </w:p>
        </w:tc>
        <w:tc>
          <w:tcPr>
            <w:tcW w:w="5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Summary of Income:</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9,721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10,124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10,535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10,868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9,202</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Net interest income after provision of loan loss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(4,722)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Net income before income taxes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60"/>
              <w:spacing w:after="0"/>
              <w:rPr>
                <w:sz w:val="20"/>
                <w:szCs w:val="20"/>
                <w:color w:val="auto"/>
              </w:rPr>
            </w:pPr>
            <w:r>
              <w:rPr>
                <w:rFonts w:ascii="Arial" w:cs="Arial" w:eastAsia="Arial" w:hAnsi="Arial"/>
                <w:sz w:val="18"/>
                <w:szCs w:val="18"/>
                <w:color w:val="auto"/>
              </w:rPr>
              <w:t xml:space="preserve">Average common shares outstanding </w:t>
            </w:r>
            <w:r>
              <w:rPr>
                <w:rFonts w:ascii="Arial" w:cs="Arial" w:eastAsia="Arial" w:hAnsi="Arial"/>
                <w:sz w:val="15"/>
                <w:szCs w:val="15"/>
                <w:color w:val="auto"/>
              </w:rPr>
              <w:t>(1)</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9,241,750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9,241,750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9,252,919</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9,266,584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color w:val="auto"/>
              </w:rPr>
              <w:t>Quarter Ended in 2016</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40"/>
              <w:spacing w:after="0" w:line="142" w:lineRule="exact"/>
              <w:rPr>
                <w:sz w:val="20"/>
                <w:szCs w:val="20"/>
                <w:color w:val="auto"/>
              </w:rPr>
            </w:pPr>
            <w:r>
              <w:rPr>
                <w:rFonts w:ascii="Arial" w:cs="Arial" w:eastAsia="Arial" w:hAnsi="Arial"/>
                <w:sz w:val="14"/>
                <w:szCs w:val="14"/>
                <w:color w:val="auto"/>
              </w:rPr>
              <w:t>Mar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June 30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right"/>
              <w:ind w:right="820"/>
              <w:spacing w:after="0" w:line="142" w:lineRule="exact"/>
              <w:rPr>
                <w:sz w:val="20"/>
                <w:szCs w:val="20"/>
                <w:color w:val="auto"/>
              </w:rPr>
            </w:pPr>
            <w:r>
              <w:rPr>
                <w:rFonts w:ascii="Arial" w:cs="Arial" w:eastAsia="Arial" w:hAnsi="Arial"/>
                <w:sz w:val="14"/>
                <w:szCs w:val="14"/>
                <w:color w:val="auto"/>
              </w:rPr>
              <w:t>Sep 30</w:t>
            </w:r>
          </w:p>
        </w:tc>
        <w:tc>
          <w:tcPr>
            <w:tcW w:w="100" w:type="dxa"/>
            <w:vAlign w:val="bottom"/>
          </w:tcPr>
          <w:p>
            <w:pPr>
              <w:spacing w:after="0"/>
              <w:rPr>
                <w:sz w:val="12"/>
                <w:szCs w:val="12"/>
                <w:color w:val="auto"/>
              </w:rPr>
            </w:pPr>
          </w:p>
        </w:tc>
        <w:tc>
          <w:tcPr>
            <w:tcW w:w="74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Dec 31</w:t>
            </w:r>
          </w:p>
        </w:tc>
        <w:tc>
          <w:tcPr>
            <w:tcW w:w="5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Summary of Income:</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9,004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9,387</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9,590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9,746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8,491</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Net interest income after provision of loan loss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Net income before income taxes</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4,176</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46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Common Share </w:t>
            </w:r>
            <w:r>
              <w:rPr>
                <w:rFonts w:ascii="Arial" w:cs="Arial" w:eastAsia="Arial" w:hAnsi="Arial"/>
                <w:sz w:val="15"/>
                <w:szCs w:val="15"/>
                <w:color w:val="auto"/>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ind w:left="460"/>
              <w:spacing w:after="0"/>
              <w:rPr>
                <w:sz w:val="20"/>
                <w:szCs w:val="20"/>
                <w:color w:val="auto"/>
              </w:rPr>
            </w:pPr>
            <w:r>
              <w:rPr>
                <w:rFonts w:ascii="Arial" w:cs="Arial" w:eastAsia="Arial" w:hAnsi="Arial"/>
                <w:sz w:val="18"/>
                <w:szCs w:val="18"/>
                <w:color w:val="auto"/>
              </w:rPr>
              <w:t xml:space="preserve">Average common shares outstanding </w:t>
            </w:r>
            <w:r>
              <w:rPr>
                <w:rFonts w:ascii="Arial" w:cs="Arial" w:eastAsia="Arial" w:hAnsi="Arial"/>
                <w:sz w:val="15"/>
                <w:szCs w:val="15"/>
                <w:color w:val="auto"/>
              </w:rPr>
              <w:t>(1)</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9,218,452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9,211,068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9,225,532</w:t>
            </w: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9,241,662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620" w:right="5040" w:hanging="5612"/>
        <w:spacing w:after="0" w:line="490" w:lineRule="auto"/>
        <w:tabs>
          <w:tab w:leader="none" w:pos="450" w:val="left"/>
        </w:tabs>
        <w:numPr>
          <w:ilvl w:val="0"/>
          <w:numId w:val="18"/>
        </w:numPr>
        <w:rPr>
          <w:rFonts w:ascii="Arial" w:cs="Arial" w:eastAsia="Arial" w:hAnsi="Arial"/>
          <w:sz w:val="14"/>
          <w:szCs w:val="14"/>
          <w:color w:val="auto"/>
        </w:rPr>
      </w:pPr>
      <w:r>
        <w:rPr>
          <w:rFonts w:ascii="Arial" w:cs="Arial" w:eastAsia="Arial" w:hAnsi="Arial"/>
          <w:sz w:val="17"/>
          <w:szCs w:val="17"/>
          <w:color w:val="auto"/>
        </w:rPr>
        <w:t>Share data has been adjusted to reflect a 2-for-1 stock split on September 20, 2017 96</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 IN AND DISAGREEMENTS WITH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disagreements exist on accounting and financial disclosures or related matter.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 REPORT REGARDING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DISCLOSURE CONTROLS AND PROCEDURES</w:t>
      </w:r>
    </w:p>
    <w:p>
      <w:pPr>
        <w:spacing w:after="0" w:line="103" w:lineRule="exact"/>
        <w:rPr>
          <w:sz w:val="20"/>
          <w:szCs w:val="20"/>
          <w:color w:val="auto"/>
        </w:rPr>
      </w:pPr>
    </w:p>
    <w:p>
      <w:pPr>
        <w:ind w:left="460" w:right="200"/>
        <w:spacing w:after="0" w:line="297"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2017, pursuant to Exchange Act 13a-15. Based upon that evaluation, the Chief Executive Officer and Chief Financial Officer concluded that the Company’s disclosure controls and procedures were effective as of December 31, 2017, in timely alerting them to material information relating to the Company (including its consolidated subsidiaries) required to be included in the Company’s periodic SEC filings.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 REPORT REGARDING INTERNAL CONTROL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COMPLIANCE WITH DESIGNATED LAWS AND REGULATIONS</w:t>
      </w:r>
    </w:p>
    <w:p>
      <w:pPr>
        <w:spacing w:after="0" w:line="10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80" w:lineRule="exact"/>
        <w:rPr>
          <w:sz w:val="20"/>
          <w:szCs w:val="20"/>
          <w:color w:val="auto"/>
        </w:rPr>
      </w:pPr>
    </w:p>
    <w:p>
      <w:pPr>
        <w:jc w:val="both"/>
        <w:ind w:left="460" w:right="100"/>
        <w:spacing w:after="0" w:line="264" w:lineRule="auto"/>
        <w:rPr>
          <w:sz w:val="20"/>
          <w:szCs w:val="20"/>
          <w:color w:val="auto"/>
        </w:rPr>
      </w:pPr>
      <w:r>
        <w:rPr>
          <w:rFonts w:ascii="Arial" w:cs="Arial" w:eastAsia="Arial" w:hAnsi="Arial"/>
          <w:sz w:val="18"/>
          <w:szCs w:val="18"/>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73" w:lineRule="exact"/>
        <w:rPr>
          <w:sz w:val="20"/>
          <w:szCs w:val="20"/>
          <w:color w:val="auto"/>
        </w:rPr>
      </w:pPr>
    </w:p>
    <w:p>
      <w:pPr>
        <w:ind w:left="460" w:right="500"/>
        <w:spacing w:after="0" w:line="264"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73"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2017. The registered public accounting firm that audited the financial statements included in this annual report has issued an attestation report on the Company’s internal control over financial reporting which can be found under Item 8 of this form 10-K.</w:t>
      </w:r>
    </w:p>
    <w:p>
      <w:pPr>
        <w:spacing w:after="0" w:line="59" w:lineRule="exact"/>
        <w:rPr>
          <w:sz w:val="20"/>
          <w:szCs w:val="20"/>
          <w:color w:val="auto"/>
        </w:rPr>
      </w:pPr>
    </w:p>
    <w:p>
      <w:pPr>
        <w:ind w:left="460" w:right="100"/>
        <w:spacing w:after="0" w:line="342" w:lineRule="auto"/>
        <w:rPr>
          <w:sz w:val="20"/>
          <w:szCs w:val="20"/>
          <w:color w:val="auto"/>
        </w:rPr>
      </w:pPr>
      <w:r>
        <w:rPr>
          <w:rFonts w:ascii="Arial" w:cs="Arial" w:eastAsia="Arial" w:hAnsi="Arial"/>
          <w:sz w:val="16"/>
          <w:szCs w:val="16"/>
          <w:color w:val="auto"/>
        </w:rPr>
        <w:t>There was no change in the company’s internal control over financial reporting that occurred during the Company’s fiscal quarter ended December 31, 2017 that has materially affected, or is reasonably likely to materially affect, the Company’s internal control over financial reporting.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herein is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78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Principal Occupation or</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44"/>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w:t>
            </w:r>
          </w:p>
        </w:tc>
        <w:tc>
          <w:tcPr>
            <w:tcW w:w="4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Became</w:t>
            </w:r>
          </w:p>
        </w:tc>
        <w:tc>
          <w:tcPr>
            <w:tcW w:w="0" w:type="dxa"/>
            <w:vAlign w:val="bottom"/>
          </w:tcPr>
          <w:p>
            <w:pPr>
              <w:spacing w:after="0"/>
              <w:rPr>
                <w:sz w:val="1"/>
                <w:szCs w:val="1"/>
                <w:color w:val="auto"/>
              </w:rPr>
            </w:pPr>
          </w:p>
        </w:tc>
      </w:tr>
      <w:tr>
        <w:trPr>
          <w:trHeight w:val="183"/>
        </w:trPr>
        <w:tc>
          <w:tcPr>
            <w:tcW w:w="5440" w:type="dxa"/>
            <w:vAlign w:val="bottom"/>
            <w:gridSpan w:val="3"/>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780" w:type="dxa"/>
            <w:vAlign w:val="bottom"/>
          </w:tcPr>
          <w:p>
            <w:pPr>
              <w:ind w:left="1400"/>
              <w:spacing w:after="0"/>
              <w:rPr>
                <w:sz w:val="20"/>
                <w:szCs w:val="20"/>
                <w:color w:val="auto"/>
              </w:rPr>
            </w:pPr>
            <w:r>
              <w:rPr>
                <w:rFonts w:ascii="Arial" w:cs="Arial" w:eastAsia="Arial" w:hAnsi="Arial"/>
                <w:sz w:val="14"/>
                <w:szCs w:val="14"/>
                <w:b w:val="1"/>
                <w:bCs w:val="1"/>
                <w:color w:val="auto"/>
              </w:rPr>
              <w:t>Employment for Past Five Years</w:t>
            </w:r>
          </w:p>
        </w:tc>
        <w:tc>
          <w:tcPr>
            <w:tcW w:w="2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0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7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N. Burkholder</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President, Falor Farm Center, Inc.</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A. Everhart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Self Employed</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 Ellen Hornish</w:t>
            </w:r>
          </w:p>
        </w:tc>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CEO, Hornish Bros, Inc./Fountain City Leasing, Inc./ Advantage</w:t>
            </w:r>
          </w:p>
        </w:tc>
        <w:tc>
          <w:tcPr>
            <w:tcW w:w="7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Powder Coating, Inc.</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color w:val="auto"/>
              </w:rPr>
              <w:t>Jack C. Johnson</w:t>
            </w:r>
          </w:p>
        </w:tc>
        <w:tc>
          <w:tcPr>
            <w:tcW w:w="240" w:type="dxa"/>
            <w:vAlign w:val="bottom"/>
          </w:tcPr>
          <w:p>
            <w:pPr>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Hawk’s Clothing, Inc.</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Marcia S. Latta</w:t>
            </w:r>
          </w:p>
        </w:tc>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Vice President / Division of University</w:t>
            </w:r>
          </w:p>
        </w:tc>
        <w:tc>
          <w:tcPr>
            <w:tcW w:w="7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Advancement / University of Findlay</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color w:val="auto"/>
              </w:rPr>
              <w:t>Steven J. Planson</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Planson Farms, Inc.</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J. Rupp</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Retired, Past President of Rupp Furniture Co.</w:t>
            </w: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324"/>
        </w:trPr>
        <w:tc>
          <w:tcPr>
            <w:tcW w:w="5440" w:type="dxa"/>
            <w:vAlign w:val="bottom"/>
            <w:gridSpan w:val="3"/>
          </w:tcPr>
          <w:p>
            <w:pPr>
              <w:spacing w:after="0"/>
              <w:rPr>
                <w:sz w:val="20"/>
                <w:szCs w:val="20"/>
                <w:color w:val="auto"/>
              </w:rPr>
            </w:pPr>
            <w:r>
              <w:rPr>
                <w:rFonts w:ascii="Arial" w:cs="Arial" w:eastAsia="Arial" w:hAnsi="Arial"/>
                <w:sz w:val="18"/>
                <w:szCs w:val="18"/>
                <w:color w:val="auto"/>
              </w:rPr>
              <w:t>Kevin J. Sauder</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President/CEO, Sauder Woodworking Co.</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Paul S. Siebenmorgen</w:t>
            </w:r>
          </w:p>
        </w:tc>
        <w:tc>
          <w:tcPr>
            <w:tcW w:w="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President/CEO of the Corporation and The Farmers &amp; Merchants</w:t>
            </w:r>
          </w:p>
        </w:tc>
        <w:tc>
          <w:tcPr>
            <w:tcW w:w="7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State Bank</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40" w:type="dxa"/>
            <w:vAlign w:val="bottom"/>
            <w:gridSpan w:val="3"/>
          </w:tcPr>
          <w:p>
            <w:pPr>
              <w:spacing w:after="0"/>
              <w:rPr>
                <w:sz w:val="20"/>
                <w:szCs w:val="20"/>
                <w:color w:val="auto"/>
              </w:rPr>
            </w:pPr>
            <w:r>
              <w:rPr>
                <w:rFonts w:ascii="Arial" w:cs="Arial" w:eastAsia="Arial" w:hAnsi="Arial"/>
                <w:sz w:val="18"/>
                <w:szCs w:val="18"/>
                <w:color w:val="auto"/>
              </w:rPr>
              <w:t>K. Brad Stamm</w:t>
            </w:r>
          </w:p>
        </w:tc>
        <w:tc>
          <w:tcPr>
            <w:tcW w:w="240" w:type="dxa"/>
            <w:vAlign w:val="bottom"/>
          </w:tcPr>
          <w:p>
            <w:pPr>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Professor of Economics, Chairman of Division of Business at</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Cornerstone University</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Directors are elected annually at the annual meeting of shareholders.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EXECUTIVE OFFICERS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Pr>
          <w:p>
            <w:pPr>
              <w:jc w:val="center"/>
              <w:spacing w:after="0"/>
              <w:rPr>
                <w:sz w:val="20"/>
                <w:szCs w:val="20"/>
                <w:color w:val="auto"/>
              </w:rPr>
            </w:pPr>
            <w:r>
              <w:rPr>
                <w:rFonts w:ascii="Arial" w:cs="Arial" w:eastAsia="Arial" w:hAnsi="Arial"/>
                <w:sz w:val="14"/>
                <w:szCs w:val="14"/>
                <w:color w:val="auto"/>
                <w:w w:val="97"/>
              </w:rPr>
              <w:t>Principal Occupation &amp; Offices Held with</w:t>
            </w:r>
          </w:p>
        </w:tc>
      </w:tr>
      <w:tr>
        <w:trPr>
          <w:trHeight w:val="206"/>
        </w:trPr>
        <w:tc>
          <w:tcPr>
            <w:tcW w:w="36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Name</w:t>
            </w:r>
          </w:p>
        </w:tc>
        <w:tc>
          <w:tcPr>
            <w:tcW w:w="20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Age</w:t>
            </w:r>
          </w:p>
        </w:tc>
        <w:tc>
          <w:tcPr>
            <w:tcW w:w="220" w:type="dxa"/>
            <w:vAlign w:val="bottom"/>
            <w:tcBorders>
              <w:bottom w:val="single" w:sz="8" w:color="CCEEFF"/>
            </w:tcBorders>
          </w:tcPr>
          <w:p>
            <w:pPr>
              <w:spacing w:after="0"/>
              <w:rPr>
                <w:sz w:val="17"/>
                <w:szCs w:val="17"/>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Corporation &amp; Bank for Past Five Years</w:t>
            </w:r>
          </w:p>
        </w:tc>
      </w:tr>
      <w:tr>
        <w:trPr>
          <w:trHeight w:val="190"/>
        </w:trPr>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6"/>
              </w:rPr>
              <w:t>Jack</w:t>
            </w:r>
          </w:p>
        </w:tc>
        <w:tc>
          <w:tcPr>
            <w:tcW w:w="334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C. Johnson</w:t>
            </w:r>
          </w:p>
        </w:tc>
        <w:tc>
          <w:tcPr>
            <w:tcW w:w="20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6"/>
                <w:szCs w:val="16"/>
                <w:color w:val="auto"/>
              </w:rPr>
            </w:pPr>
          </w:p>
        </w:tc>
        <w:tc>
          <w:tcPr>
            <w:tcW w:w="52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Chairman</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Paul S. Siebenmorgen</w:t>
            </w:r>
          </w:p>
        </w:tc>
        <w:tc>
          <w:tcPr>
            <w:tcW w:w="2320" w:type="dxa"/>
            <w:vAlign w:val="bottom"/>
            <w:gridSpan w:val="2"/>
          </w:tcPr>
          <w:p>
            <w:pPr>
              <w:ind w:left="2080"/>
              <w:spacing w:after="0"/>
              <w:rPr>
                <w:sz w:val="20"/>
                <w:szCs w:val="20"/>
                <w:color w:val="auto"/>
              </w:rPr>
            </w:pPr>
            <w:r>
              <w:rPr>
                <w:rFonts w:ascii="Arial" w:cs="Arial" w:eastAsia="Arial" w:hAnsi="Arial"/>
                <w:sz w:val="18"/>
                <w:szCs w:val="18"/>
                <w:color w:val="auto"/>
              </w:rPr>
              <w:t>68</w:t>
            </w: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President &amp; Chief Executive Officer</w:t>
            </w:r>
          </w:p>
        </w:tc>
      </w:tr>
      <w:tr>
        <w:trPr>
          <w:trHeight w:val="202"/>
        </w:trPr>
        <w:tc>
          <w:tcPr>
            <w:tcW w:w="3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Barbara J. Britenriker</w:t>
            </w:r>
          </w:p>
        </w:tc>
        <w:tc>
          <w:tcPr>
            <w:tcW w:w="2320" w:type="dxa"/>
            <w:vAlign w:val="bottom"/>
            <w:gridSpan w:val="2"/>
            <w:shd w:val="clear" w:color="auto" w:fill="CCEEFF"/>
          </w:tcPr>
          <w:p>
            <w:pPr>
              <w:ind w:left="2080"/>
              <w:spacing w:after="0" w:line="201" w:lineRule="exact"/>
              <w:rPr>
                <w:sz w:val="20"/>
                <w:szCs w:val="20"/>
                <w:color w:val="auto"/>
              </w:rPr>
            </w:pPr>
            <w:r>
              <w:rPr>
                <w:rFonts w:ascii="Arial" w:cs="Arial" w:eastAsia="Arial" w:hAnsi="Arial"/>
                <w:sz w:val="18"/>
                <w:szCs w:val="18"/>
                <w:color w:val="auto"/>
              </w:rPr>
              <w:t>56</w:t>
            </w:r>
          </w:p>
        </w:tc>
        <w:tc>
          <w:tcPr>
            <w:tcW w:w="54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Executive Vice President</w:t>
            </w:r>
          </w:p>
        </w:tc>
      </w:tr>
      <w:tr>
        <w:trPr>
          <w:trHeight w:val="244"/>
        </w:trPr>
        <w:tc>
          <w:tcPr>
            <w:tcW w:w="34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r>
      <w:tr>
        <w:trPr>
          <w:trHeight w:val="202"/>
        </w:trPr>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Todd A. Graham</w:t>
            </w:r>
          </w:p>
        </w:tc>
        <w:tc>
          <w:tcPr>
            <w:tcW w:w="2320" w:type="dxa"/>
            <w:vAlign w:val="bottom"/>
            <w:gridSpan w:val="2"/>
          </w:tcPr>
          <w:p>
            <w:pPr>
              <w:ind w:left="2080"/>
              <w:spacing w:after="0" w:line="201" w:lineRule="exact"/>
              <w:rPr>
                <w:sz w:val="20"/>
                <w:szCs w:val="20"/>
                <w:color w:val="auto"/>
              </w:rPr>
            </w:pPr>
            <w:r>
              <w:rPr>
                <w:rFonts w:ascii="Arial" w:cs="Arial" w:eastAsia="Arial" w:hAnsi="Arial"/>
                <w:sz w:val="18"/>
                <w:szCs w:val="18"/>
                <w:color w:val="auto"/>
              </w:rPr>
              <w:t>67</w:t>
            </w:r>
          </w:p>
        </w:tc>
        <w:tc>
          <w:tcPr>
            <w:tcW w:w="54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Executive Vice President</w:t>
            </w: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Chief Lending Officer</w:t>
            </w:r>
          </w:p>
        </w:tc>
      </w:tr>
      <w:tr>
        <w:trPr>
          <w:trHeight w:val="215"/>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Leininger</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61</w:t>
            </w: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w:t>
            </w:r>
          </w:p>
        </w:tc>
      </w:tr>
      <w:tr>
        <w:trPr>
          <w:trHeight w:val="244"/>
        </w:trPr>
        <w:tc>
          <w:tcPr>
            <w:tcW w:w="34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Operating Officer</w:t>
            </w:r>
          </w:p>
        </w:tc>
      </w:tr>
      <w:tr>
        <w:trPr>
          <w:trHeight w:val="202"/>
        </w:trPr>
        <w:tc>
          <w:tcPr>
            <w:tcW w:w="3680" w:type="dxa"/>
            <w:vAlign w:val="bottom"/>
            <w:gridSpan w:val="2"/>
          </w:tcPr>
          <w:p>
            <w:pPr>
              <w:spacing w:after="0" w:line="201" w:lineRule="exact"/>
              <w:rPr>
                <w:sz w:val="20"/>
                <w:szCs w:val="20"/>
                <w:color w:val="auto"/>
              </w:rPr>
            </w:pPr>
            <w:r>
              <w:rPr>
                <w:rFonts w:ascii="Arial" w:cs="Arial" w:eastAsia="Arial" w:hAnsi="Arial"/>
                <w:sz w:val="18"/>
                <w:szCs w:val="18"/>
                <w:color w:val="auto"/>
              </w:rPr>
              <w:t>Rex D. Rice</w:t>
            </w:r>
          </w:p>
        </w:tc>
        <w:tc>
          <w:tcPr>
            <w:tcW w:w="2320" w:type="dxa"/>
            <w:vAlign w:val="bottom"/>
            <w:gridSpan w:val="2"/>
          </w:tcPr>
          <w:p>
            <w:pPr>
              <w:ind w:left="2080"/>
              <w:spacing w:after="0" w:line="201" w:lineRule="exact"/>
              <w:rPr>
                <w:sz w:val="20"/>
                <w:szCs w:val="20"/>
                <w:color w:val="auto"/>
              </w:rPr>
            </w:pPr>
            <w:r>
              <w:rPr>
                <w:rFonts w:ascii="Arial" w:cs="Arial" w:eastAsia="Arial" w:hAnsi="Arial"/>
                <w:sz w:val="18"/>
                <w:szCs w:val="18"/>
                <w:color w:val="auto"/>
              </w:rPr>
              <w:t>59</w:t>
            </w:r>
          </w:p>
        </w:tc>
        <w:tc>
          <w:tcPr>
            <w:tcW w:w="54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Executive Vice President</w:t>
            </w:r>
          </w:p>
        </w:tc>
      </w:tr>
      <w:tr>
        <w:trPr>
          <w:trHeight w:val="230"/>
        </w:trPr>
        <w:tc>
          <w:tcPr>
            <w:tcW w:w="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20" w:type="dxa"/>
            <w:vAlign w:val="bottom"/>
            <w:gridSpan w:val="2"/>
          </w:tcPr>
          <w:p>
            <w:pPr>
              <w:ind w:left="220"/>
              <w:spacing w:after="0"/>
              <w:rPr>
                <w:sz w:val="20"/>
                <w:szCs w:val="20"/>
                <w:color w:val="auto"/>
              </w:rPr>
            </w:pPr>
            <w:r>
              <w:rPr>
                <w:rFonts w:ascii="Arial" w:cs="Arial" w:eastAsia="Arial" w:hAnsi="Arial"/>
                <w:sz w:val="18"/>
                <w:szCs w:val="18"/>
                <w:color w:val="auto"/>
              </w:rPr>
              <w:t>Senior Commercial Banking Director</w:t>
            </w:r>
          </w:p>
        </w:tc>
      </w:tr>
      <w:tr>
        <w:trPr>
          <w:trHeight w:val="23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G. Lantz</w:t>
            </w:r>
          </w:p>
        </w:tc>
        <w:tc>
          <w:tcPr>
            <w:tcW w:w="23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64</w:t>
            </w:r>
          </w:p>
        </w:tc>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Executive Vice President Retail Banking</w:t>
            </w:r>
          </w:p>
        </w:tc>
      </w:tr>
    </w:tbl>
    <w:p>
      <w:pPr>
        <w:spacing w:after="0" w:line="202" w:lineRule="exact"/>
        <w:rPr>
          <w:sz w:val="20"/>
          <w:szCs w:val="20"/>
          <w:color w:val="auto"/>
        </w:rPr>
      </w:pPr>
    </w:p>
    <w:p>
      <w:pPr>
        <w:ind w:left="460" w:right="60"/>
        <w:spacing w:after="0" w:line="291" w:lineRule="auto"/>
        <w:rPr>
          <w:sz w:val="20"/>
          <w:szCs w:val="20"/>
          <w:color w:val="auto"/>
        </w:rPr>
      </w:pPr>
      <w:r>
        <w:rPr>
          <w:rFonts w:ascii="Arial" w:cs="Arial" w:eastAsia="Arial" w:hAnsi="Arial"/>
          <w:sz w:val="16"/>
          <w:szCs w:val="16"/>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19, 2018, and is incorporated herein by reference to the sections of the proxy statement captioned ‘Nominations for Members of the Board of Director” and “PROPOSAL ONE – Election of Directors and Information Concerning Directors and Officers.” The information called for under Item 405 of Regulation S-K and called for under Item 407(d)(5) is presented in the proxy statement to be furnished in connection with the solicitation of proxies on behalf of the Board of Directors of the Registrant for use at its Annual Meeting to be held on April 19, 2018, and is incorporated herein by reference to the sections of the proxy statement captioned “Section 16(a) Beneficial Ownership Reporting Compliance” and “Audit Committee Report.”</w:t>
      </w:r>
    </w:p>
    <w:p>
      <w:pPr>
        <w:spacing w:after="0" w:line="167"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169" w:lineRule="exact"/>
        <w:rPr>
          <w:sz w:val="20"/>
          <w:szCs w:val="20"/>
          <w:color w:val="auto"/>
        </w:rPr>
      </w:pPr>
    </w:p>
    <w:p>
      <w:pPr>
        <w:ind w:left="460" w:right="280"/>
        <w:spacing w:after="0" w:line="279" w:lineRule="auto"/>
        <w:rPr>
          <w:sz w:val="20"/>
          <w:szCs w:val="20"/>
          <w:color w:val="auto"/>
        </w:rPr>
      </w:pPr>
      <w:r>
        <w:rPr>
          <w:rFonts w:ascii="Arial" w:cs="Arial" w:eastAsia="Arial" w:hAnsi="Arial"/>
          <w:sz w:val="17"/>
          <w:szCs w:val="17"/>
          <w:color w:val="auto"/>
        </w:rPr>
        <w:t>A copy of the Corporation’s Code is available on the website of the Bank (</w:t>
      </w:r>
      <w:r>
        <w:rPr>
          <w:rFonts w:ascii="Arial" w:cs="Arial" w:eastAsia="Arial" w:hAnsi="Arial"/>
          <w:sz w:val="17"/>
          <w:szCs w:val="17"/>
          <w:u w:val="single" w:color="auto"/>
          <w:color w:val="auto"/>
        </w:rPr>
        <w:t>www.fm.bank</w:t>
      </w:r>
      <w:r>
        <w:rPr>
          <w:rFonts w:ascii="Arial" w:cs="Arial" w:eastAsia="Arial" w:hAnsi="Arial"/>
          <w:sz w:val="17"/>
          <w:szCs w:val="17"/>
          <w:color w:val="auto"/>
        </w:rPr>
        <w:t>). In addition, a copy of the Code is available to any shareholder free of charge upon request. Shareholders desiring a copy of the Code should address written requests to Mr. Paul S. Siebenmorgen, President, Chief Executive Officer and Treasurer of Farmers &amp; Merchants Bancorp, Inc., 307 North Defiance Street, Archbold, Ohio 43502, and are asked to mark Code of Business Conduct and Ethics on the outside of the envelope containing the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21"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19, 2018, and is incorporated herein by reference to the sections of the proxy statement captioned “Compensation Discussion and Analysis,” “Compensation Committee Report,” and “Related Party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w:t>
      </w:r>
    </w:p>
    <w:p>
      <w:pPr>
        <w:spacing w:after="0" w:line="121" w:lineRule="exact"/>
        <w:rPr>
          <w:sz w:val="20"/>
          <w:szCs w:val="20"/>
          <w:color w:val="auto"/>
        </w:rPr>
      </w:pPr>
    </w:p>
    <w:p>
      <w:pPr>
        <w:jc w:val="both"/>
        <w:ind w:left="460" w:right="400"/>
        <w:spacing w:after="0" w:line="312" w:lineRule="auto"/>
        <w:rPr>
          <w:sz w:val="20"/>
          <w:szCs w:val="20"/>
          <w:color w:val="auto"/>
        </w:rPr>
      </w:pPr>
      <w:r>
        <w:rPr>
          <w:rFonts w:ascii="Arial" w:cs="Arial" w:eastAsia="Arial" w:hAnsi="Arial"/>
          <w:sz w:val="16"/>
          <w:szCs w:val="16"/>
          <w:color w:val="auto"/>
        </w:rPr>
        <w:t>The information called for by Item 403 of Regulation S-K is presented in the proxy statement to be furnished in connection with the solicitation of proxies on behalf of the Board of Directors of the Registrant for use at its Annual Meeting to be held Thursday, April 19, 2018 and is incorporated herein by reference to the section of the proxy statement captioned “Security Ownership of Certain Beneficial Owners and Management.”</w:t>
      </w:r>
    </w:p>
    <w:p>
      <w:pPr>
        <w:spacing w:after="0" w:line="14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2017, 32,000 shares were awarded to 74 employees and 1,080 were forfeited under its long term incentive plan. At year end, 2017, the Company held 1,134,120 shares in Treasury stock and 92,350 in unearned stock awards.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80" w:type="dxa"/>
            <w:vAlign w:val="bottom"/>
            <w:gridSpan w:val="6"/>
          </w:tcPr>
          <w:p>
            <w:pPr>
              <w:jc w:val="right"/>
              <w:ind w:right="1580"/>
              <w:spacing w:after="0"/>
              <w:rPr>
                <w:sz w:val="20"/>
                <w:szCs w:val="20"/>
                <w:color w:val="auto"/>
              </w:rPr>
            </w:pPr>
            <w:r>
              <w:rPr>
                <w:rFonts w:ascii="Arial" w:cs="Arial" w:eastAsia="Arial" w:hAnsi="Arial"/>
                <w:sz w:val="14"/>
                <w:szCs w:val="14"/>
                <w:color w:val="auto"/>
              </w:rPr>
              <w:t>Equity Compensation Plan Information</w:t>
            </w:r>
          </w:p>
        </w:tc>
      </w:tr>
      <w:tr>
        <w:trPr>
          <w:trHeight w:val="123"/>
        </w:trPr>
        <w:tc>
          <w:tcPr>
            <w:tcW w:w="42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Number of</w:t>
            </w: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4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securities to be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Number of securities</w:t>
            </w:r>
          </w:p>
        </w:tc>
      </w:tr>
      <w:tr>
        <w:trPr>
          <w:trHeight w:val="149"/>
        </w:trPr>
        <w:tc>
          <w:tcPr>
            <w:tcW w:w="4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0"/>
              </w:rPr>
              <w:t>issued upon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remaining available for</w:t>
            </w:r>
          </w:p>
        </w:tc>
      </w:tr>
      <w:tr>
        <w:trPr>
          <w:trHeight w:val="149"/>
        </w:trPr>
        <w:tc>
          <w:tcPr>
            <w:tcW w:w="4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 of</w:t>
            </w:r>
          </w:p>
        </w:tc>
        <w:tc>
          <w:tcPr>
            <w:tcW w:w="800" w:type="dxa"/>
            <w:vAlign w:val="bottom"/>
          </w:tcPr>
          <w:p>
            <w:pPr>
              <w:spacing w:after="0"/>
              <w:rPr>
                <w:sz w:val="12"/>
                <w:szCs w:val="12"/>
                <w:color w:val="auto"/>
              </w:rPr>
            </w:pPr>
          </w:p>
        </w:tc>
        <w:tc>
          <w:tcPr>
            <w:tcW w:w="198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2"/>
              </w:rPr>
              <w:t>Weighted-average</w:t>
            </w:r>
          </w:p>
        </w:tc>
        <w:tc>
          <w:tcPr>
            <w:tcW w:w="1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future issuance under</w:t>
            </w:r>
          </w:p>
        </w:tc>
      </w:tr>
      <w:tr>
        <w:trPr>
          <w:trHeight w:val="149"/>
        </w:trPr>
        <w:tc>
          <w:tcPr>
            <w:tcW w:w="4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outstanding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2"/>
              </w:rPr>
              <w:t>exercise price of</w:t>
            </w:r>
          </w:p>
        </w:tc>
        <w:tc>
          <w:tcPr>
            <w:tcW w:w="1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equity compensation plans</w:t>
            </w:r>
          </w:p>
        </w:tc>
      </w:tr>
      <w:tr>
        <w:trPr>
          <w:trHeight w:val="149"/>
        </w:trPr>
        <w:tc>
          <w:tcPr>
            <w:tcW w:w="42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1"/>
              </w:rPr>
              <w:t>options, warrants</w:t>
            </w:r>
          </w:p>
        </w:tc>
        <w:tc>
          <w:tcPr>
            <w:tcW w:w="800" w:type="dxa"/>
            <w:vAlign w:val="bottom"/>
          </w:tcPr>
          <w:p>
            <w:pPr>
              <w:spacing w:after="0"/>
              <w:rPr>
                <w:sz w:val="12"/>
                <w:szCs w:val="12"/>
                <w:color w:val="auto"/>
              </w:rPr>
            </w:pPr>
          </w:p>
        </w:tc>
        <w:tc>
          <w:tcPr>
            <w:tcW w:w="198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4"/>
              </w:rPr>
              <w:t>outstanding options,</w:t>
            </w:r>
          </w:p>
        </w:tc>
        <w:tc>
          <w:tcPr>
            <w:tcW w:w="16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(excluding securities</w:t>
            </w:r>
          </w:p>
        </w:tc>
      </w:tr>
      <w:tr>
        <w:trPr>
          <w:trHeight w:val="167"/>
        </w:trPr>
        <w:tc>
          <w:tcPr>
            <w:tcW w:w="42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and rights</w:t>
            </w:r>
          </w:p>
        </w:tc>
        <w:tc>
          <w:tcPr>
            <w:tcW w:w="800" w:type="dxa"/>
            <w:vAlign w:val="bottom"/>
          </w:tcPr>
          <w:p>
            <w:pPr>
              <w:spacing w:after="0"/>
              <w:rPr>
                <w:sz w:val="14"/>
                <w:szCs w:val="14"/>
                <w:color w:val="auto"/>
              </w:rPr>
            </w:pPr>
          </w:p>
        </w:tc>
        <w:tc>
          <w:tcPr>
            <w:tcW w:w="1980" w:type="dxa"/>
            <w:vAlign w:val="bottom"/>
            <w:gridSpan w:val="3"/>
          </w:tcPr>
          <w:p>
            <w:pPr>
              <w:jc w:val="center"/>
              <w:ind w:right="800"/>
              <w:spacing w:after="0"/>
              <w:rPr>
                <w:sz w:val="20"/>
                <w:szCs w:val="20"/>
                <w:color w:val="auto"/>
              </w:rPr>
            </w:pPr>
            <w:r>
              <w:rPr>
                <w:rFonts w:ascii="Arial" w:cs="Arial" w:eastAsia="Arial" w:hAnsi="Arial"/>
                <w:sz w:val="14"/>
                <w:szCs w:val="14"/>
                <w:color w:val="auto"/>
                <w:w w:val="92"/>
              </w:rPr>
              <w:t>warrants and rights</w:t>
            </w:r>
          </w:p>
        </w:tc>
        <w:tc>
          <w:tcPr>
            <w:tcW w:w="160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reflected in column (a))</w:t>
            </w:r>
          </w:p>
        </w:tc>
      </w:tr>
      <w:tr>
        <w:trPr>
          <w:trHeight w:val="142"/>
        </w:trPr>
        <w:tc>
          <w:tcPr>
            <w:tcW w:w="42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 a )</w:t>
            </w:r>
          </w:p>
        </w:tc>
        <w:tc>
          <w:tcPr>
            <w:tcW w:w="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 b )</w:t>
            </w:r>
          </w:p>
        </w:tc>
        <w:tc>
          <w:tcPr>
            <w:tcW w:w="800" w:type="dxa"/>
            <w:vAlign w:val="bottom"/>
            <w:tcBorders>
              <w:bottom w:val="single" w:sz="8" w:color="CCEEFF"/>
            </w:tcBorders>
          </w:tcPr>
          <w:p>
            <w:pPr>
              <w:spacing w:after="0"/>
              <w:rPr>
                <w:sz w:val="12"/>
                <w:szCs w:val="12"/>
                <w:color w:val="auto"/>
              </w:rPr>
            </w:pPr>
          </w:p>
        </w:tc>
        <w:tc>
          <w:tcPr>
            <w:tcW w:w="1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 c )</w:t>
            </w:r>
          </w:p>
        </w:tc>
        <w:tc>
          <w:tcPr>
            <w:tcW w:w="60" w:type="dxa"/>
            <w:vAlign w:val="bottom"/>
            <w:tcBorders>
              <w:bottom w:val="single" w:sz="8" w:color="CCEEFF"/>
            </w:tcBorders>
          </w:tcPr>
          <w:p>
            <w:pPr>
              <w:spacing w:after="0"/>
              <w:rPr>
                <w:sz w:val="12"/>
                <w:szCs w:val="12"/>
                <w:color w:val="auto"/>
              </w:rPr>
            </w:pPr>
          </w:p>
        </w:tc>
      </w:tr>
      <w:tr>
        <w:trPr>
          <w:trHeight w:val="182"/>
        </w:trPr>
        <w:tc>
          <w:tcPr>
            <w:tcW w:w="4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w:t>
            </w:r>
          </w:p>
        </w:tc>
        <w:tc>
          <w:tcPr>
            <w:tcW w:w="1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0"/>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1,506,020</w:t>
            </w: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security holders</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1,506,020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121" w:lineRule="exact"/>
        <w:rPr>
          <w:sz w:val="20"/>
          <w:szCs w:val="20"/>
          <w:color w:val="auto"/>
        </w:rPr>
      </w:pPr>
    </w:p>
    <w:p>
      <w:pPr>
        <w:ind w:left="460" w:right="120"/>
        <w:spacing w:after="0" w:line="312" w:lineRule="auto"/>
        <w:rPr>
          <w:sz w:val="20"/>
          <w:szCs w:val="20"/>
          <w:color w:val="auto"/>
        </w:rPr>
      </w:pPr>
      <w:r>
        <w:rPr>
          <w:rFonts w:ascii="Arial" w:cs="Arial" w:eastAsia="Arial" w:hAnsi="Arial"/>
          <w:sz w:val="16"/>
          <w:szCs w:val="16"/>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19, 2018, and is incorporated herein by reference to the sections of the proxy statement captioned “Related Party Transactions” and “Director Independence.”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information called for by this Item is presented in the proxy statement to be furnished in connection with the solicitation of proxies on behalf of the Board of Directors of the Registrant for use at its Annual Meeting to be held on April 19, 2018, and is incorporated herein by reference to the section of the proxy statement captioned “Selection of Auditors/Principal Accounting Firm Fees.”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STATEMENTS SCHEDULES</w:t>
      </w:r>
    </w:p>
    <w:p>
      <w:pPr>
        <w:spacing w:after="0" w:line="135" w:lineRule="exact"/>
        <w:rPr>
          <w:sz w:val="20"/>
          <w:szCs w:val="20"/>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30" w:lineRule="exact"/>
        <w:rPr>
          <w:rFonts w:ascii="Arial" w:cs="Arial" w:eastAsia="Arial" w:hAnsi="Arial"/>
          <w:sz w:val="18"/>
          <w:szCs w:val="18"/>
          <w:color w:val="auto"/>
        </w:rPr>
      </w:pPr>
    </w:p>
    <w:p>
      <w:pPr>
        <w:ind w:left="1920" w:right="5320" w:hanging="440"/>
        <w:spacing w:after="0" w:line="258" w:lineRule="auto"/>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Financial Statements (included in this 10-K under Item 8) Report of Independent Accountants</w:t>
      </w:r>
    </w:p>
    <w:p>
      <w:pPr>
        <w:spacing w:after="0" w:line="1" w:lineRule="exact"/>
        <w:rPr>
          <w:rFonts w:ascii="Arial" w:cs="Arial" w:eastAsia="Arial" w:hAnsi="Arial"/>
          <w:sz w:val="18"/>
          <w:szCs w:val="18"/>
          <w:color w:val="auto"/>
        </w:rPr>
      </w:pPr>
    </w:p>
    <w:p>
      <w:pPr>
        <w:ind w:left="1920" w:right="6900"/>
        <w:spacing w:after="0" w:line="281" w:lineRule="auto"/>
        <w:rPr>
          <w:rFonts w:ascii="Arial" w:cs="Arial" w:eastAsia="Arial" w:hAnsi="Arial"/>
          <w:sz w:val="18"/>
          <w:szCs w:val="18"/>
          <w:color w:val="auto"/>
        </w:rPr>
      </w:pPr>
      <w:r>
        <w:rPr>
          <w:rFonts w:ascii="Arial" w:cs="Arial" w:eastAsia="Arial" w:hAnsi="Arial"/>
          <w:sz w:val="16"/>
          <w:szCs w:val="16"/>
          <w:color w:val="auto"/>
        </w:rPr>
        <w:t>Consolidated Balance Sheets Consolidated Statements of Income</w:t>
      </w:r>
    </w:p>
    <w:p>
      <w:pPr>
        <w:spacing w:after="0" w:line="1" w:lineRule="exact"/>
        <w:rPr>
          <w:rFonts w:ascii="Arial" w:cs="Arial" w:eastAsia="Arial" w:hAnsi="Arial"/>
          <w:sz w:val="18"/>
          <w:szCs w:val="18"/>
          <w:color w:val="auto"/>
        </w:rPr>
      </w:pPr>
    </w:p>
    <w:p>
      <w:pPr>
        <w:ind w:left="1920" w:right="5080"/>
        <w:spacing w:after="0" w:line="250" w:lineRule="auto"/>
        <w:rPr>
          <w:rFonts w:ascii="Arial" w:cs="Arial" w:eastAsia="Arial" w:hAnsi="Arial"/>
          <w:sz w:val="18"/>
          <w:szCs w:val="18"/>
          <w:color w:val="auto"/>
        </w:rPr>
      </w:pPr>
      <w:r>
        <w:rPr>
          <w:rFonts w:ascii="Arial" w:cs="Arial" w:eastAsia="Arial" w:hAnsi="Arial"/>
          <w:sz w:val="18"/>
          <w:szCs w:val="18"/>
          <w:color w:val="auto"/>
        </w:rPr>
        <w:t>Consolidated Statements of Changes in Shareholders’ Equity Consolidated Statements of Cash Flows</w:t>
      </w:r>
    </w:p>
    <w:p>
      <w:pPr>
        <w:ind w:left="1920"/>
        <w:spacing w:after="0"/>
        <w:rPr>
          <w:rFonts w:ascii="Arial" w:cs="Arial" w:eastAsia="Arial" w:hAnsi="Arial"/>
          <w:sz w:val="18"/>
          <w:szCs w:val="18"/>
          <w:color w:val="auto"/>
        </w:rPr>
      </w:pPr>
      <w:r>
        <w:rPr>
          <w:rFonts w:ascii="Arial" w:cs="Arial" w:eastAsia="Arial" w:hAnsi="Arial"/>
          <w:sz w:val="18"/>
          <w:szCs w:val="18"/>
          <w:color w:val="auto"/>
        </w:rPr>
        <w:t>Note to Consolidated Financial Statements</w:t>
      </w:r>
    </w:p>
    <w:p>
      <w:pPr>
        <w:spacing w:after="0" w:line="116" w:lineRule="exact"/>
        <w:rPr>
          <w:rFonts w:ascii="Arial" w:cs="Arial" w:eastAsia="Arial" w:hAnsi="Arial"/>
          <w:sz w:val="18"/>
          <w:szCs w:val="18"/>
          <w:color w:val="auto"/>
        </w:rPr>
      </w:pPr>
    </w:p>
    <w:p>
      <w:pPr>
        <w:ind w:left="1920" w:right="7000" w:hanging="440"/>
        <w:spacing w:after="0" w:line="342" w:lineRule="auto"/>
        <w:tabs>
          <w:tab w:leader="none" w:pos="19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Financial Statement Schedules Five Year Summary of Operations</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30" w:lineRule="exact"/>
        <w:rPr>
          <w:rFonts w:ascii="Arial" w:cs="Arial" w:eastAsia="Arial" w:hAnsi="Arial"/>
          <w:sz w:val="18"/>
          <w:szCs w:val="18"/>
          <w:color w:val="auto"/>
        </w:rPr>
      </w:pPr>
    </w:p>
    <w:p>
      <w:pPr>
        <w:ind w:left="2280" w:right="140" w:hanging="7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(3.1)</w:t>
      </w:r>
      <w:hyperlink r:id="rId128">
        <w:r>
          <w:rPr>
            <w:rFonts w:ascii="Arial" w:cs="Arial" w:eastAsia="Arial" w:hAnsi="Arial"/>
            <w:sz w:val="18"/>
            <w:szCs w:val="18"/>
            <w:u w:val="single" w:color="auto"/>
            <w:color w:val="0000EE"/>
          </w:rPr>
          <w:t>Amended Articles of Incorporation of the Registrant (incorporated by reference to Exhibit 3.1 to Registrant’s Current Report</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on Form 8-K filed with the Commission on August 25, 2017).</w:t>
        </w:r>
      </w:hyperlink>
    </w:p>
    <w:p>
      <w:pPr>
        <w:spacing w:after="0" w:line="75" w:lineRule="exact"/>
        <w:rPr>
          <w:rFonts w:ascii="Arial" w:cs="Arial" w:eastAsia="Arial" w:hAnsi="Arial"/>
          <w:sz w:val="18"/>
          <w:szCs w:val="18"/>
          <w:u w:val="single" w:color="auto"/>
          <w:color w:val="0000EE"/>
        </w:rPr>
      </w:pPr>
    </w:p>
    <w:p>
      <w:pPr>
        <w:ind w:left="2280" w:right="180" w:hanging="797"/>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(3.2)</w:t>
      </w:r>
      <w:hyperlink r:id="rId129">
        <w:r>
          <w:rPr>
            <w:rFonts w:ascii="Arial" w:cs="Arial" w:eastAsia="Arial" w:hAnsi="Arial"/>
            <w:sz w:val="18"/>
            <w:szCs w:val="18"/>
            <w:u w:val="single" w:color="auto"/>
            <w:color w:val="0000EE"/>
          </w:rPr>
          <w:t>Code of Regulations of the Registrant (incorporated by reference to Exhibit 3.2 to the Company’s Quarterly Report on Form</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10-Q that was filed with the Commission on July 26, 2017).</w:t>
        </w:r>
      </w:hyperlink>
    </w:p>
    <w:p>
      <w:pPr>
        <w:spacing w:after="0" w:line="75" w:lineRule="exact"/>
        <w:rPr>
          <w:rFonts w:ascii="Arial" w:cs="Arial" w:eastAsia="Arial" w:hAnsi="Arial"/>
          <w:sz w:val="18"/>
          <w:szCs w:val="18"/>
          <w:u w:val="single" w:color="auto"/>
          <w:color w:val="0000EE"/>
        </w:rPr>
      </w:pPr>
    </w:p>
    <w:p>
      <w:pPr>
        <w:ind w:left="2280" w:right="20" w:hanging="797"/>
        <w:spacing w:after="0" w:line="264" w:lineRule="auto"/>
        <w:rPr>
          <w:rFonts w:ascii="Arial" w:cs="Arial" w:eastAsia="Arial" w:hAnsi="Arial"/>
          <w:sz w:val="18"/>
          <w:szCs w:val="18"/>
          <w:u w:val="single" w:color="auto"/>
          <w:color w:val="0000EE"/>
        </w:rPr>
      </w:pPr>
      <w:r>
        <w:rPr>
          <w:rFonts w:ascii="Arial" w:cs="Arial" w:eastAsia="Arial" w:hAnsi="Arial"/>
          <w:sz w:val="18"/>
          <w:szCs w:val="18"/>
          <w:color w:val="auto"/>
        </w:rPr>
        <w:t>(10.1)</w:t>
      </w:r>
      <w:hyperlink r:id="rId130">
        <w:r>
          <w:rPr>
            <w:rFonts w:ascii="Arial" w:cs="Arial" w:eastAsia="Arial" w:hAnsi="Arial"/>
            <w:sz w:val="18"/>
            <w:szCs w:val="18"/>
            <w:u w:val="single" w:color="auto"/>
            <w:color w:val="0000EE"/>
          </w:rPr>
          <w:t>Form of Change in Control Agreement executed by and between the Company and each of Paul S. Siebenmorgen and Barbara</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J. Britenriker, respectively, on December 26, 2012 (incorporated by reference to Exhibit 10.1 to the Annual Report on Form</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10-K filed with the Commission on February 25, 2013).</w:t>
        </w:r>
      </w:hyperlink>
    </w:p>
    <w:p>
      <w:pPr>
        <w:spacing w:after="0" w:line="87" w:lineRule="exact"/>
        <w:rPr>
          <w:rFonts w:ascii="Arial" w:cs="Arial" w:eastAsia="Arial" w:hAnsi="Arial"/>
          <w:sz w:val="18"/>
          <w:szCs w:val="18"/>
          <w:u w:val="single" w:color="auto"/>
          <w:color w:val="0000EE"/>
        </w:rPr>
      </w:pPr>
    </w:p>
    <w:p>
      <w:pPr>
        <w:ind w:left="2280" w:right="40" w:hanging="796"/>
        <w:spacing w:after="0" w:line="264" w:lineRule="auto"/>
        <w:tabs>
          <w:tab w:leader="none" w:pos="22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31">
        <w:r>
          <w:rPr>
            <w:rFonts w:ascii="Arial" w:cs="Arial" w:eastAsia="Arial" w:hAnsi="Arial"/>
            <w:sz w:val="18"/>
            <w:szCs w:val="18"/>
            <w:u w:val="single" w:color="auto"/>
            <w:color w:val="0000EE"/>
          </w:rPr>
          <w:t>Form of Change in Control Agreement executed by and between the Company and each of Edward A. Leininger and Rex 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Rice, respectively, on December 26, 2012 (incorporated by reference to Exhibit 10.2 to the Annual Report on Form 10-K filed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with the Commission on February 25, 2013).</w:t>
        </w:r>
      </w:hyperlink>
    </w:p>
    <w:p>
      <w:pPr>
        <w:spacing w:after="0" w:line="87" w:lineRule="exact"/>
        <w:rPr>
          <w:rFonts w:ascii="Arial" w:cs="Arial" w:eastAsia="Arial" w:hAnsi="Arial"/>
          <w:sz w:val="18"/>
          <w:szCs w:val="18"/>
          <w:u w:val="single" w:color="auto"/>
          <w:color w:val="0000EE"/>
        </w:rPr>
      </w:pPr>
    </w:p>
    <w:p>
      <w:pPr>
        <w:ind w:left="2280" w:right="420" w:hanging="796"/>
        <w:spacing w:after="0" w:line="342" w:lineRule="auto"/>
        <w:tabs>
          <w:tab w:leader="none" w:pos="22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32">
        <w:r>
          <w:rPr>
            <w:rFonts w:ascii="Arial" w:cs="Arial" w:eastAsia="Arial" w:hAnsi="Arial"/>
            <w:sz w:val="16"/>
            <w:szCs w:val="16"/>
            <w:u w:val="single" w:color="auto"/>
            <w:color w:val="0000EE"/>
          </w:rPr>
          <w:t>Farmers &amp; Merchants Bancorp, Inc. 2015 Long-Term Stock Incentive Plan (incorporated by reference to Appendix A to</w:t>
        </w:r>
      </w:hyperlink>
      <w:r>
        <w:rPr>
          <w:rFonts w:ascii="Arial" w:cs="Arial" w:eastAsia="Arial" w:hAnsi="Arial"/>
          <w:sz w:val="16"/>
          <w:szCs w:val="16"/>
          <w:u w:val="single" w:color="auto"/>
          <w:color w:val="0000EE"/>
        </w:rPr>
        <w:t xml:space="preserve"> </w:t>
      </w:r>
      <w:hyperlink r:id="rId132">
        <w:r>
          <w:rPr>
            <w:rFonts w:ascii="Arial" w:cs="Arial" w:eastAsia="Arial" w:hAnsi="Arial"/>
            <w:sz w:val="16"/>
            <w:szCs w:val="16"/>
            <w:u w:val="single" w:color="auto"/>
            <w:color w:val="0000EE"/>
          </w:rPr>
          <w:t>Registrant’s Definitive 14A Proxy Statement, File No. 000-14492, filed with the Commission on March 16, 2015).</w:t>
        </w:r>
      </w:hyperlink>
    </w:p>
    <w:p>
      <w:pPr>
        <w:spacing w:after="0" w:line="29" w:lineRule="exact"/>
        <w:rPr>
          <w:sz w:val="20"/>
          <w:szCs w:val="20"/>
          <w:color w:val="auto"/>
        </w:rPr>
      </w:pPr>
    </w:p>
    <w:p>
      <w:pPr>
        <w:ind w:left="2280" w:right="160" w:hanging="796"/>
        <w:spacing w:after="0" w:line="277" w:lineRule="auto"/>
        <w:tabs>
          <w:tab w:leader="none" w:pos="226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33">
        <w:r>
          <w:rPr>
            <w:rFonts w:ascii="Arial" w:cs="Arial" w:eastAsia="Arial" w:hAnsi="Arial"/>
            <w:sz w:val="18"/>
            <w:szCs w:val="18"/>
            <w:u w:val="single" w:color="auto"/>
            <w:color w:val="0000EE"/>
          </w:rPr>
          <w:t>Farmers &amp; Merchants Bancorp, Inc. 2005 Long-Term Stock Incentive Plan (incorporated by reference to Exhibit 10.1 to the</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Quarterly Report on Form 10-Q filed with the Commission on October 27, 2005).</w:t>
        </w:r>
      </w:hyperlink>
    </w:p>
    <w:p>
      <w:pPr>
        <w:spacing w:after="0" w:line="76" w:lineRule="exact"/>
        <w:rPr>
          <w:sz w:val="20"/>
          <w:szCs w:val="20"/>
          <w:color w:val="auto"/>
        </w:rPr>
      </w:pPr>
    </w:p>
    <w:p>
      <w:pPr>
        <w:ind w:left="2280" w:right="200" w:hanging="796"/>
        <w:spacing w:after="0" w:line="277" w:lineRule="auto"/>
        <w:tabs>
          <w:tab w:leader="none" w:pos="226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34">
        <w:r>
          <w:rPr>
            <w:rFonts w:ascii="Arial" w:cs="Arial" w:eastAsia="Arial" w:hAnsi="Arial"/>
            <w:sz w:val="18"/>
            <w:szCs w:val="18"/>
            <w:u w:val="single" w:color="auto"/>
            <w:color w:val="0000EE"/>
          </w:rPr>
          <w:t>Form on Restricted Stock Agreement (incorporated by reference to Exhibit 10.2 to the Quarterly Report on Form 10-Q filed</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with the Commission on October 27, 2005).</w:t>
        </w:r>
      </w:hyperlink>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STATEMENTS SCHEDULES (Continued)</w:t>
      </w:r>
    </w:p>
    <w:p>
      <w:pPr>
        <w:spacing w:after="0" w:line="256" w:lineRule="exact"/>
        <w:rPr>
          <w:sz w:val="20"/>
          <w:szCs w:val="20"/>
          <w:color w:val="auto"/>
        </w:rPr>
      </w:pPr>
    </w:p>
    <w:p>
      <w:pPr>
        <w:ind w:left="700" w:hanging="692"/>
        <w:spacing w:after="0"/>
        <w:tabs>
          <w:tab w:leader="none" w:pos="700" w:val="left"/>
        </w:tabs>
        <w:numPr>
          <w:ilvl w:val="0"/>
          <w:numId w:val="20"/>
        </w:numPr>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Subsidiaries of Farmers &amp; Merchants Bancorp, Inc.</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06">
        <w:r>
          <w:rPr>
            <w:rFonts w:ascii="Arial" w:cs="Arial" w:eastAsia="Arial" w:hAnsi="Arial"/>
            <w:sz w:val="16"/>
            <w:szCs w:val="16"/>
            <w:u w:val="single" w:color="auto"/>
            <w:color w:val="0000EE"/>
          </w:rPr>
          <w:t>Certification of the Chief Executive Officer Required under Rule 13(a)-14(a)/15d-14(a)</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07">
        <w:r>
          <w:rPr>
            <w:rFonts w:ascii="Arial" w:cs="Arial" w:eastAsia="Arial" w:hAnsi="Arial"/>
            <w:sz w:val="16"/>
            <w:szCs w:val="16"/>
            <w:u w:val="single" w:color="auto"/>
            <w:color w:val="0000EE"/>
          </w:rPr>
          <w:t>Certification of the Chief Financial Officer Required under Rule 13(a)-14(a)/15d-14(a)</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08">
        <w:r>
          <w:rPr>
            <w:rFonts w:ascii="Arial" w:cs="Arial" w:eastAsia="Arial" w:hAnsi="Arial"/>
            <w:sz w:val="16"/>
            <w:szCs w:val="16"/>
            <w:u w:val="single" w:color="auto"/>
            <w:color w:val="0000EE"/>
          </w:rPr>
          <w:t>Certification of the Chief Executive Officer Pursuant to Section 906 of the Sarbanes-Oxley Act of 2002.</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09">
        <w:r>
          <w:rPr>
            <w:rFonts w:ascii="Arial" w:cs="Arial" w:eastAsia="Arial" w:hAnsi="Arial"/>
            <w:sz w:val="16"/>
            <w:szCs w:val="16"/>
            <w:u w:val="single" w:color="auto"/>
            <w:color w:val="0000EE"/>
          </w:rPr>
          <w:t>Certification of the Chief Financial Officer Pursuant to Section 906 of the Sarbanes-Oxley Act of 2002.</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4940" w:type="dxa"/>
            <w:vAlign w:val="bottom"/>
          </w:tcPr>
          <w:p>
            <w:pPr>
              <w:ind w:left="180"/>
              <w:spacing w:after="0"/>
              <w:rPr>
                <w:sz w:val="20"/>
                <w:szCs w:val="20"/>
                <w:color w:val="auto"/>
              </w:rPr>
            </w:pPr>
            <w:r>
              <w:rPr>
                <w:rFonts w:ascii="Arial" w:cs="Arial" w:eastAsia="Arial" w:hAnsi="Arial"/>
                <w:sz w:val="18"/>
                <w:szCs w:val="18"/>
                <w:color w:val="auto"/>
              </w:rPr>
              <w:t>XBRL Instance Document (1)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494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 (1)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4940" w:type="dxa"/>
            <w:vAlign w:val="bottom"/>
          </w:tcPr>
          <w:p>
            <w:pPr>
              <w:ind w:left="180"/>
              <w:spacing w:after="0"/>
              <w:rPr>
                <w:sz w:val="20"/>
                <w:szCs w:val="20"/>
                <w:color w:val="auto"/>
              </w:rPr>
            </w:pPr>
            <w:r>
              <w:rPr>
                <w:rFonts w:ascii="Arial" w:cs="Arial" w:eastAsia="Arial" w:hAnsi="Arial"/>
                <w:sz w:val="18"/>
                <w:szCs w:val="18"/>
                <w:color w:val="auto"/>
                <w:w w:val="93"/>
              </w:rPr>
              <w:t>XBRL Taxonomy Extension Calculation Linkbase Document (1)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4940" w:type="dxa"/>
            <w:vAlign w:val="bottom"/>
          </w:tcPr>
          <w:p>
            <w:pPr>
              <w:ind w:left="180"/>
              <w:spacing w:after="0"/>
              <w:rPr>
                <w:sz w:val="20"/>
                <w:szCs w:val="20"/>
                <w:color w:val="auto"/>
              </w:rPr>
            </w:pPr>
            <w:r>
              <w:rPr>
                <w:rFonts w:ascii="Arial" w:cs="Arial" w:eastAsia="Arial" w:hAnsi="Arial"/>
                <w:sz w:val="18"/>
                <w:szCs w:val="18"/>
                <w:color w:val="auto"/>
                <w:w w:val="96"/>
              </w:rPr>
              <w:t>XBRL Taxonomy Extension Definition Linkbase Document (1)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494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 (1)</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494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 Document (1)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219"/>
          </w:cols>
          <w:pgMar w:left="240" w:top="45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By /s/</w:t>
            </w:r>
          </w:p>
        </w:tc>
        <w:tc>
          <w:tcPr>
            <w:tcW w:w="1300" w:type="dxa"/>
            <w:vAlign w:val="bottom"/>
          </w:tcPr>
          <w:p>
            <w:pPr>
              <w:ind w:left="60"/>
              <w:spacing w:after="0"/>
              <w:rPr>
                <w:sz w:val="20"/>
                <w:szCs w:val="20"/>
                <w:color w:val="auto"/>
              </w:rPr>
            </w:pPr>
            <w:r>
              <w:rPr>
                <w:rFonts w:ascii="Arial" w:cs="Arial" w:eastAsia="Arial" w:hAnsi="Arial"/>
                <w:sz w:val="18"/>
                <w:szCs w:val="18"/>
                <w:color w:val="auto"/>
              </w:rPr>
              <w:t>Date:</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February 28, 2018</w:t>
            </w:r>
          </w:p>
        </w:tc>
      </w:tr>
      <w:tr>
        <w:trPr>
          <w:trHeight w:val="196"/>
        </w:trPr>
        <w:tc>
          <w:tcPr>
            <w:tcW w:w="260" w:type="dxa"/>
            <w:vAlign w:val="bottom"/>
          </w:tcPr>
          <w:p>
            <w:pPr>
              <w:spacing w:after="0"/>
              <w:rPr>
                <w:sz w:val="17"/>
                <w:szCs w:val="17"/>
                <w:color w:val="auto"/>
              </w:rPr>
            </w:pPr>
          </w:p>
        </w:tc>
        <w:tc>
          <w:tcPr>
            <w:tcW w:w="1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7"/>
              </w:rPr>
              <w:t>Paul S. Siebenmorgen</w:t>
            </w: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9"/>
        </w:trPr>
        <w:tc>
          <w:tcPr>
            <w:tcW w:w="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w w:val="87"/>
              </w:rPr>
              <w:t>Paul S. Siebenmorgen</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Chief Executive</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Officer</w:t>
            </w: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Director</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/s/ Paul S. Siebenmorgen</w:t>
            </w:r>
          </w:p>
        </w:tc>
        <w:tc>
          <w:tcPr>
            <w:tcW w:w="560" w:type="dxa"/>
            <w:vAlign w:val="bottom"/>
          </w:tcPr>
          <w:p>
            <w:pPr>
              <w:ind w:left="100"/>
              <w:spacing w:after="0"/>
              <w:rPr>
                <w:sz w:val="20"/>
                <w:szCs w:val="20"/>
                <w:color w:val="auto"/>
              </w:rPr>
            </w:pPr>
            <w:r>
              <w:rPr>
                <w:rFonts w:ascii="Arial" w:cs="Arial" w:eastAsia="Arial" w:hAnsi="Arial"/>
                <w:sz w:val="18"/>
                <w:szCs w:val="18"/>
                <w:color w:val="auto"/>
              </w:rPr>
              <w:t>Date:</w:t>
            </w: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February 28, 2018</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 Barbara J. Britenriker</w:t>
            </w:r>
          </w:p>
        </w:tc>
        <w:tc>
          <w:tcPr>
            <w:tcW w:w="2140" w:type="dxa"/>
            <w:vAlign w:val="bottom"/>
          </w:tcPr>
          <w:p>
            <w:pPr>
              <w:ind w:left="100"/>
              <w:spacing w:after="0"/>
              <w:rPr>
                <w:sz w:val="20"/>
                <w:szCs w:val="20"/>
                <w:color w:val="auto"/>
              </w:rPr>
            </w:pPr>
            <w:r>
              <w:rPr>
                <w:rFonts w:ascii="Arial" w:cs="Arial" w:eastAsia="Arial" w:hAnsi="Arial"/>
                <w:sz w:val="18"/>
                <w:szCs w:val="18"/>
                <w:color w:val="auto"/>
              </w:rPr>
              <w:t>Date:</w:t>
            </w: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February 28, 2018</w:t>
            </w:r>
          </w:p>
        </w:tc>
      </w:tr>
      <w:tr>
        <w:trPr>
          <w:trHeight w:val="209"/>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Barbara J. Britenriker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r>
      <w:tr>
        <w:trPr>
          <w:trHeight w:val="216"/>
        </w:trPr>
        <w:tc>
          <w:tcPr>
            <w:tcW w:w="4920" w:type="dxa"/>
            <w:vAlign w:val="bottom"/>
            <w:gridSpan w:val="4"/>
          </w:tcPr>
          <w:p>
            <w:pPr>
              <w:spacing w:after="0"/>
              <w:rPr>
                <w:sz w:val="20"/>
                <w:szCs w:val="20"/>
                <w:color w:val="auto"/>
              </w:rPr>
            </w:pPr>
            <w:r>
              <w:rPr>
                <w:rFonts w:ascii="Arial" w:cs="Arial" w:eastAsia="Arial" w:hAnsi="Arial"/>
                <w:sz w:val="18"/>
                <w:szCs w:val="18"/>
                <w:color w:val="auto"/>
              </w:rPr>
              <w:t>Chief Executive Officer (Principal Executive Officer)</w:t>
            </w: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96"/>
              </w:rPr>
              <w:t>(Principal Financial Officer/Principal Accounting Officer)</w:t>
            </w: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/s/ Eugene N. Burkholder</w:t>
            </w:r>
          </w:p>
        </w:tc>
        <w:tc>
          <w:tcPr>
            <w:tcW w:w="560" w:type="dxa"/>
            <w:vAlign w:val="bottom"/>
          </w:tcPr>
          <w:p>
            <w:pPr>
              <w:ind w:left="100"/>
              <w:spacing w:after="0"/>
              <w:rPr>
                <w:sz w:val="20"/>
                <w:szCs w:val="20"/>
                <w:color w:val="auto"/>
              </w:rPr>
            </w:pPr>
            <w:r>
              <w:rPr>
                <w:rFonts w:ascii="Arial" w:cs="Arial" w:eastAsia="Arial" w:hAnsi="Arial"/>
                <w:sz w:val="18"/>
                <w:szCs w:val="18"/>
                <w:color w:val="auto"/>
              </w:rPr>
              <w:t>Date:</w:t>
            </w: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February 28, 2018</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 Steven A. Everhart</w:t>
            </w:r>
          </w:p>
        </w:tc>
        <w:tc>
          <w:tcPr>
            <w:tcW w:w="2140" w:type="dxa"/>
            <w:vAlign w:val="bottom"/>
          </w:tcPr>
          <w:p>
            <w:pPr>
              <w:ind w:left="100"/>
              <w:spacing w:after="0"/>
              <w:rPr>
                <w:sz w:val="20"/>
                <w:szCs w:val="20"/>
                <w:color w:val="auto"/>
              </w:rPr>
            </w:pPr>
            <w:r>
              <w:rPr>
                <w:rFonts w:ascii="Arial" w:cs="Arial" w:eastAsia="Arial" w:hAnsi="Arial"/>
                <w:sz w:val="18"/>
                <w:szCs w:val="18"/>
                <w:color w:val="auto"/>
              </w:rPr>
              <w:t>Date:</w:t>
            </w: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February 28, 2018</w:t>
            </w: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Eugene N. Burkholder, Director</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Steven A. Everhart, Director</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/s/ Jo Ellen Hornish</w:t>
            </w:r>
          </w:p>
        </w:tc>
        <w:tc>
          <w:tcPr>
            <w:tcW w:w="560" w:type="dxa"/>
            <w:vAlign w:val="bottom"/>
          </w:tcPr>
          <w:p>
            <w:pPr>
              <w:ind w:left="100"/>
              <w:spacing w:after="0"/>
              <w:rPr>
                <w:sz w:val="20"/>
                <w:szCs w:val="20"/>
                <w:color w:val="auto"/>
              </w:rPr>
            </w:pPr>
            <w:r>
              <w:rPr>
                <w:rFonts w:ascii="Arial" w:cs="Arial" w:eastAsia="Arial" w:hAnsi="Arial"/>
                <w:sz w:val="18"/>
                <w:szCs w:val="18"/>
                <w:color w:val="auto"/>
              </w:rPr>
              <w:t>Date:</w:t>
            </w: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February 28, 2018</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 Jack C. Johnson</w:t>
            </w:r>
          </w:p>
        </w:tc>
        <w:tc>
          <w:tcPr>
            <w:tcW w:w="2140" w:type="dxa"/>
            <w:vAlign w:val="bottom"/>
          </w:tcPr>
          <w:p>
            <w:pPr>
              <w:ind w:left="100"/>
              <w:spacing w:after="0"/>
              <w:rPr>
                <w:sz w:val="20"/>
                <w:szCs w:val="20"/>
                <w:color w:val="auto"/>
              </w:rPr>
            </w:pPr>
            <w:r>
              <w:rPr>
                <w:rFonts w:ascii="Arial" w:cs="Arial" w:eastAsia="Arial" w:hAnsi="Arial"/>
                <w:sz w:val="18"/>
                <w:szCs w:val="18"/>
                <w:color w:val="auto"/>
              </w:rPr>
              <w:t>Date:</w:t>
            </w: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February 28, 2018</w:t>
            </w: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 Ellen Hornish, Director</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 C. Johnson, Director</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/s/ Marcia S. Latta</w:t>
            </w:r>
          </w:p>
        </w:tc>
        <w:tc>
          <w:tcPr>
            <w:tcW w:w="560" w:type="dxa"/>
            <w:vAlign w:val="bottom"/>
          </w:tcPr>
          <w:p>
            <w:pPr>
              <w:ind w:left="100"/>
              <w:spacing w:after="0"/>
              <w:rPr>
                <w:sz w:val="20"/>
                <w:szCs w:val="20"/>
                <w:color w:val="auto"/>
              </w:rPr>
            </w:pPr>
            <w:r>
              <w:rPr>
                <w:rFonts w:ascii="Arial" w:cs="Arial" w:eastAsia="Arial" w:hAnsi="Arial"/>
                <w:sz w:val="18"/>
                <w:szCs w:val="18"/>
                <w:color w:val="auto"/>
              </w:rPr>
              <w:t>Date:</w:t>
            </w: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February 28, 2018</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 Steven J. Planson</w:t>
            </w:r>
          </w:p>
        </w:tc>
        <w:tc>
          <w:tcPr>
            <w:tcW w:w="2140" w:type="dxa"/>
            <w:vAlign w:val="bottom"/>
          </w:tcPr>
          <w:p>
            <w:pPr>
              <w:ind w:left="100"/>
              <w:spacing w:after="0"/>
              <w:rPr>
                <w:sz w:val="20"/>
                <w:szCs w:val="20"/>
                <w:color w:val="auto"/>
              </w:rPr>
            </w:pPr>
            <w:r>
              <w:rPr>
                <w:rFonts w:ascii="Arial" w:cs="Arial" w:eastAsia="Arial" w:hAnsi="Arial"/>
                <w:sz w:val="18"/>
                <w:szCs w:val="18"/>
                <w:color w:val="auto"/>
              </w:rPr>
              <w:t>Date:</w:t>
            </w: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February 28, 2018</w:t>
            </w: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Marcia S. Latta, Director</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Steven J. Planson, Director</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/s/ Anthony J. Rupp</w:t>
            </w:r>
          </w:p>
        </w:tc>
        <w:tc>
          <w:tcPr>
            <w:tcW w:w="560" w:type="dxa"/>
            <w:vAlign w:val="bottom"/>
          </w:tcPr>
          <w:p>
            <w:pPr>
              <w:ind w:left="100"/>
              <w:spacing w:after="0"/>
              <w:rPr>
                <w:sz w:val="20"/>
                <w:szCs w:val="20"/>
                <w:color w:val="auto"/>
              </w:rPr>
            </w:pPr>
            <w:r>
              <w:rPr>
                <w:rFonts w:ascii="Arial" w:cs="Arial" w:eastAsia="Arial" w:hAnsi="Arial"/>
                <w:sz w:val="18"/>
                <w:szCs w:val="18"/>
                <w:color w:val="auto"/>
              </w:rPr>
              <w:t>Date:</w:t>
            </w: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February 28, 2018</w:t>
            </w:r>
          </w:p>
        </w:tc>
        <w:tc>
          <w:tcPr>
            <w:tcW w:w="12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 Kevin J. Sauder</w:t>
            </w:r>
          </w:p>
        </w:tc>
        <w:tc>
          <w:tcPr>
            <w:tcW w:w="2140" w:type="dxa"/>
            <w:vAlign w:val="bottom"/>
          </w:tcPr>
          <w:p>
            <w:pPr>
              <w:ind w:left="100"/>
              <w:spacing w:after="0"/>
              <w:rPr>
                <w:sz w:val="20"/>
                <w:szCs w:val="20"/>
                <w:color w:val="auto"/>
              </w:rPr>
            </w:pPr>
            <w:r>
              <w:rPr>
                <w:rFonts w:ascii="Arial" w:cs="Arial" w:eastAsia="Arial" w:hAnsi="Arial"/>
                <w:sz w:val="18"/>
                <w:szCs w:val="18"/>
                <w:color w:val="auto"/>
              </w:rPr>
              <w:t>Date:</w:t>
            </w:r>
          </w:p>
        </w:tc>
        <w:tc>
          <w:tcPr>
            <w:tcW w:w="2100" w:type="dxa"/>
            <w:vAlign w:val="bottom"/>
            <w:gridSpan w:val="2"/>
          </w:tcPr>
          <w:p>
            <w:pPr>
              <w:ind w:left="80"/>
              <w:spacing w:after="0"/>
              <w:rPr>
                <w:sz w:val="20"/>
                <w:szCs w:val="20"/>
                <w:color w:val="auto"/>
              </w:rPr>
            </w:pPr>
            <w:r>
              <w:rPr>
                <w:rFonts w:ascii="Arial" w:cs="Arial" w:eastAsia="Arial" w:hAnsi="Arial"/>
                <w:sz w:val="18"/>
                <w:szCs w:val="18"/>
                <w:color w:val="auto"/>
              </w:rPr>
              <w:t>February 28, 2018</w:t>
            </w: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Anthony J. Rupp, Director</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Sauder, Director</w:t>
            </w: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431"/>
        </w:trPr>
        <w:tc>
          <w:tcPr>
            <w:tcW w:w="2320" w:type="dxa"/>
            <w:vAlign w:val="bottom"/>
          </w:tcPr>
          <w:p>
            <w:pPr>
              <w:spacing w:after="0"/>
              <w:rPr>
                <w:sz w:val="20"/>
                <w:szCs w:val="20"/>
                <w:color w:val="auto"/>
              </w:rPr>
            </w:pPr>
            <w:r>
              <w:rPr>
                <w:rFonts w:ascii="Arial" w:cs="Arial" w:eastAsia="Arial" w:hAnsi="Arial"/>
                <w:sz w:val="18"/>
                <w:szCs w:val="18"/>
                <w:color w:val="auto"/>
              </w:rPr>
              <w:t>/s/ K. Brad Stamm</w:t>
            </w:r>
          </w:p>
        </w:tc>
        <w:tc>
          <w:tcPr>
            <w:tcW w:w="560" w:type="dxa"/>
            <w:vAlign w:val="bottom"/>
          </w:tcPr>
          <w:p>
            <w:pPr>
              <w:ind w:left="100"/>
              <w:spacing w:after="0"/>
              <w:rPr>
                <w:sz w:val="20"/>
                <w:szCs w:val="20"/>
                <w:color w:val="auto"/>
              </w:rPr>
            </w:pPr>
            <w:r>
              <w:rPr>
                <w:rFonts w:ascii="Arial" w:cs="Arial" w:eastAsia="Arial" w:hAnsi="Arial"/>
                <w:sz w:val="18"/>
                <w:szCs w:val="18"/>
                <w:color w:val="auto"/>
              </w:rPr>
              <w:t>Date:</w:t>
            </w: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February 28, 2018</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 Brad Stamm, Director</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4"/>
        </w:trPr>
        <w:tc>
          <w:tcPr>
            <w:tcW w:w="2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60" w:type="dxa"/>
            <w:vAlign w:val="bottom"/>
            <w:gridSpan w:val="2"/>
          </w:tcPr>
          <w:p>
            <w:pPr>
              <w:jc w:val="right"/>
              <w:ind w:right="1250"/>
              <w:spacing w:after="0"/>
              <w:rPr>
                <w:sz w:val="20"/>
                <w:szCs w:val="20"/>
                <w:color w:val="auto"/>
              </w:rPr>
            </w:pPr>
            <w:r>
              <w:rPr>
                <w:rFonts w:ascii="Arial" w:cs="Arial" w:eastAsia="Arial" w:hAnsi="Arial"/>
                <w:sz w:val="18"/>
                <w:szCs w:val="18"/>
                <w:color w:val="auto"/>
              </w:rPr>
              <w:t>103</w:t>
            </w:r>
          </w:p>
        </w:tc>
        <w:tc>
          <w:tcPr>
            <w:tcW w:w="2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SUBSIDIAIRIES OF FARMERS &amp; MERCHANTS BANCORP,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FARMERS &amp; MERCHANTS STATE BANK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FARMERS &amp; MERCHANTS RISK MANAGEMENT, INC.</w:t>
      </w:r>
    </w:p>
    <w:p>
      <w:pPr>
        <w:spacing w:after="0" w:line="211" w:lineRule="exact"/>
        <w:rPr>
          <w:sz w:val="20"/>
          <w:szCs w:val="20"/>
          <w:color w:val="auto"/>
        </w:rPr>
      </w:pPr>
    </w:p>
    <w:p>
      <w:pPr>
        <w:jc w:val="right"/>
        <w:ind w:right="273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0219"/>
          </w:cols>
          <w:pgMar w:left="240" w:top="121" w:right="1440"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Chief Executive Officer of Farmers &amp; Merchants Bancorp, Inc., certify that:</w:t>
      </w:r>
    </w:p>
    <w:p>
      <w:pPr>
        <w:spacing w:after="0" w:line="13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130"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2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0" w:firstLine="4"/>
        <w:spacing w:after="0" w:line="264" w:lineRule="auto"/>
        <w:tabs>
          <w:tab w:leader="none" w:pos="7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20" w:firstLine="4"/>
        <w:spacing w:after="0" w:line="264" w:lineRule="auto"/>
        <w:tabs>
          <w:tab w:leader="none" w:pos="7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
        <w:spacing w:after="0" w:line="308" w:lineRule="auto"/>
        <w:tabs>
          <w:tab w:leader="none" w:pos="705"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20" w:firstLine="4"/>
        <w:spacing w:after="0" w:line="264" w:lineRule="auto"/>
        <w:tabs>
          <w:tab w:leader="none" w:pos="7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80" w:firstLine="4"/>
        <w:spacing w:after="0" w:line="277" w:lineRule="auto"/>
        <w:tabs>
          <w:tab w:leader="none" w:pos="7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20" w:firstLine="4"/>
        <w:spacing w:after="0" w:line="277" w:lineRule="auto"/>
        <w:tabs>
          <w:tab w:leader="none" w:pos="7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Chief Financial Officer of Farmers &amp; Merchants Bancorp, Inc., certify that:</w:t>
      </w:r>
    </w:p>
    <w:p>
      <w:pPr>
        <w:spacing w:after="0" w:line="1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130"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2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200" w:firstLine="4"/>
        <w:spacing w:after="0" w:line="264"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420" w:firstLine="4"/>
        <w:spacing w:after="0" w:line="264" w:lineRule="auto"/>
        <w:tabs>
          <w:tab w:leader="none" w:pos="7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firstLine="4"/>
        <w:spacing w:after="0" w:line="308" w:lineRule="auto"/>
        <w:tabs>
          <w:tab w:leader="none" w:pos="70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460" w:right="20" w:firstLine="4"/>
        <w:spacing w:after="0" w:line="264" w:lineRule="auto"/>
        <w:tabs>
          <w:tab w:leader="none" w:pos="7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180" w:hanging="452"/>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right="380" w:firstLine="4"/>
        <w:spacing w:after="0" w:line="277"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320" w:firstLine="4"/>
        <w:spacing w:after="0" w:line="277" w:lineRule="auto"/>
        <w:tabs>
          <w:tab w:leader="none" w:pos="7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AS ENACTED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2017, as filed with the Securities and Exchange Commission (the “Report”), I, Paul S. Siebenmorgen, Chief Executive Officer, of the Company, certify, pursuant to 18 U.S.C. 1350, as added by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/s/ Paul S. Siebenmorgen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S. Siebenmorgen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340"/>
          </w:cols>
          <w:pgMar w:left="240" w:top="121"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AS ENACTED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SECTION 906 OF THE SARBANES-OXLEY ACT OF 2002</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FARMERS &amp; MERCHANTS BANCORP,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2017, as filed with the Securities and Exchange Commission (the “Report”), I, Barbara J. Britenriker, Chief Financial Officer, of the Company, certify, pursuant to 18 U.S.C. 1350, as added by 906 of the Sarbanes-Oxley Act of 2002, that:</w:t>
      </w:r>
    </w:p>
    <w:p>
      <w:pPr>
        <w:spacing w:after="0" w:line="87" w:lineRule="exact"/>
        <w:rPr>
          <w:sz w:val="20"/>
          <w:szCs w:val="20"/>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130" w:lineRule="exact"/>
        <w:rPr>
          <w:rFonts w:ascii="Arial" w:cs="Arial" w:eastAsia="Arial" w:hAnsi="Arial"/>
          <w:sz w:val="18"/>
          <w:szCs w:val="18"/>
          <w:color w:val="auto"/>
        </w:rPr>
      </w:pPr>
    </w:p>
    <w:p>
      <w:pPr>
        <w:ind w:left="1480" w:right="120" w:hanging="567"/>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February 28, 2018</w:t>
      </w:r>
      <w:r>
        <w:rPr>
          <w:sz w:val="20"/>
          <w:szCs w:val="20"/>
          <w:color w:val="auto"/>
        </w:rPr>
        <w:tab/>
      </w:r>
      <w:r>
        <w:rPr>
          <w:rFonts w:ascii="Arial" w:cs="Arial" w:eastAsia="Arial" w:hAnsi="Arial"/>
          <w:sz w:val="16"/>
          <w:szCs w:val="16"/>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Barbara J. Britenriker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260"/>
      </w:cols>
      <w:pgMar w:left="24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50"/>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lvl w:ilvl="1">
      <w:lvlJc w:val="left"/>
      <w:lvlText w:val="%2."/>
      <w:numFmt w:val="lowerLetter"/>
      <w:start w:val="1"/>
    </w:lvl>
  </w:abstractNum>
  <w:abstractNum w:abstractNumId="15">
    <w:nsid w:val="62BBD95A"/>
    <w:multiLevelType w:val="hybridMultilevel"/>
    <w:lvl w:ilvl="0">
      <w:lvlJc w:val="left"/>
      <w:lvlText w:val="%1."/>
      <w:numFmt w:val="decimal"/>
      <w:start w:val="7"/>
    </w:lvl>
    <w:lvl w:ilvl="1">
      <w:lvlJc w:val="left"/>
      <w:lvlText w:val="%2."/>
      <w:numFmt w:val="lowerLetter"/>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9">
    <w:nsid w:val="721DA317"/>
    <w:multiLevelType w:val="hybridMultilevel"/>
    <w:lvl w:ilvl="0">
      <w:lvlJc w:val="left"/>
      <w:lvlText w:val="(%1)"/>
      <w:numFmt w:val="decimal"/>
      <w:start w:val="2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28" Type="http://schemas.openxmlformats.org/officeDocument/2006/relationships/hyperlink" Target="http://www.sec.gov/Archives/edgar/data/792966/000119312517267640/d427465dex31.htm" TargetMode="External"/><Relationship Id="rId129" Type="http://schemas.openxmlformats.org/officeDocument/2006/relationships/hyperlink" Target="http://www.sec.gov/Archives/edgar/data/792966/000119312517235925/d422994dex32.htm" TargetMode="External"/><Relationship Id="rId130" Type="http://schemas.openxmlformats.org/officeDocument/2006/relationships/hyperlink" Target="http://www.sec.gov/Archives/edgar/data/792966/000119312513073008/d445099dex101.htm" TargetMode="External"/><Relationship Id="rId131" Type="http://schemas.openxmlformats.org/officeDocument/2006/relationships/hyperlink" Target="http://www.sec.gov/Archives/edgar/data/792966/000119312513073008/d445099dex102.htm" TargetMode="External"/><Relationship Id="rId132" Type="http://schemas.openxmlformats.org/officeDocument/2006/relationships/hyperlink" Target="http://www.sec.gov/Archives/edgar/data/792966/000119312515093241/d891255ddef14a.htm" TargetMode="External"/><Relationship Id="rId133" Type="http://schemas.openxmlformats.org/officeDocument/2006/relationships/hyperlink" Target="http://www.sec.gov/Archives/edgar/data/792966/000095012405005979/k99341exv10w1.txt" TargetMode="External"/><Relationship Id="rId134" Type="http://schemas.openxmlformats.org/officeDocument/2006/relationships/hyperlink" Target="http://www.sec.gov/Archives/edgar/data/792966/000095012405005979/k99341exv10w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2020-01-14T13:08:31Z</dcterms:created>
  <dcterms:modified xsi:type="dcterms:W3CDTF">2020-01-14T13:08:31Z</dcterms:modified>
</cp:coreProperties>
</file>