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43180</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67310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2022</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9"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181"/>
        </w:trPr>
        <w:tc>
          <w:tcPr>
            <w:tcW w:w="1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520" w:type="dxa"/>
            <w:vAlign w:val="bottom"/>
            <w:gridSpan w:val="3"/>
          </w:tcPr>
          <w:p>
            <w:pPr>
              <w:ind w:left="380"/>
              <w:spacing w:after="0" w:line="181" w:lineRule="exact"/>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320" w:type="dxa"/>
            <w:vAlign w:val="bottom"/>
            <w:tcBorders>
              <w:bottom w:val="single" w:sz="8" w:color="auto"/>
            </w:tcBorders>
          </w:tcPr>
          <w:p>
            <w:pPr>
              <w:spacing w:after="0"/>
              <w:rPr>
                <w:sz w:val="15"/>
                <w:szCs w:val="15"/>
                <w:color w:val="auto"/>
              </w:rPr>
            </w:pPr>
          </w:p>
        </w:tc>
        <w:tc>
          <w:tcPr>
            <w:tcW w:w="1100" w:type="dxa"/>
            <w:vAlign w:val="bottom"/>
            <w:gridSpan w:val="3"/>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to</w:t>
            </w:r>
          </w:p>
        </w:tc>
        <w:tc>
          <w:tcPr>
            <w:tcW w:w="5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5"/>
        </w:trPr>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940" w:type="dxa"/>
            <w:vAlign w:val="bottom"/>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Commission File Number 001-38084</w:t>
            </w: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380" w:type="dxa"/>
            <w:vAlign w:val="bottom"/>
            <w:gridSpan w:val="2"/>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gridSpan w:val="2"/>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tcPr>
          <w:p>
            <w:pPr>
              <w:spacing w:after="0"/>
              <w:rPr>
                <w:sz w:val="6"/>
                <w:szCs w:val="6"/>
                <w:color w:val="auto"/>
              </w:rPr>
            </w:pPr>
          </w:p>
        </w:tc>
        <w:tc>
          <w:tcPr>
            <w:tcW w:w="16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82"/>
        </w:trPr>
        <w:tc>
          <w:tcPr>
            <w:tcW w:w="1140" w:type="dxa"/>
            <w:vAlign w:val="bottom"/>
          </w:tcPr>
          <w:p>
            <w:pPr>
              <w:spacing w:after="0"/>
              <w:rPr>
                <w:sz w:val="24"/>
                <w:szCs w:val="24"/>
                <w:color w:val="auto"/>
              </w:rPr>
            </w:pPr>
          </w:p>
        </w:tc>
        <w:tc>
          <w:tcPr>
            <w:tcW w:w="10100" w:type="dxa"/>
            <w:vAlign w:val="bottom"/>
            <w:gridSpan w:val="13"/>
          </w:tcPr>
          <w:p>
            <w:pPr>
              <w:jc w:val="center"/>
              <w:ind w:right="1120"/>
              <w:spacing w:after="0"/>
              <w:rPr>
                <w:sz w:val="20"/>
                <w:szCs w:val="20"/>
                <w:color w:val="auto"/>
              </w:rPr>
            </w:pPr>
            <w:r>
              <w:rPr>
                <w:rFonts w:ascii="Times New Roman" w:cs="Times New Roman" w:eastAsia="Times New Roman" w:hAnsi="Times New Roman"/>
                <w:sz w:val="36"/>
                <w:szCs w:val="36"/>
                <w:b w:val="1"/>
                <w:bCs w:val="1"/>
                <w:color w:val="auto"/>
                <w:w w:val="99"/>
              </w:rPr>
              <w:t>FARMERS &amp; MERCHANTS BANCORP, INC.</w:t>
            </w:r>
          </w:p>
        </w:tc>
        <w:tc>
          <w:tcPr>
            <w:tcW w:w="0" w:type="dxa"/>
            <w:vAlign w:val="bottom"/>
          </w:tcPr>
          <w:p>
            <w:pPr>
              <w:spacing w:after="0"/>
              <w:rPr>
                <w:sz w:val="1"/>
                <w:szCs w:val="1"/>
                <w:color w:val="auto"/>
              </w:rPr>
            </w:pPr>
          </w:p>
        </w:tc>
      </w:tr>
      <w:tr>
        <w:trPr>
          <w:trHeight w:val="52"/>
        </w:trPr>
        <w:tc>
          <w:tcPr>
            <w:tcW w:w="1140" w:type="dxa"/>
            <w:vAlign w:val="bottom"/>
          </w:tcPr>
          <w:p>
            <w:pPr>
              <w:spacing w:after="0"/>
              <w:rPr>
                <w:sz w:val="4"/>
                <w:szCs w:val="4"/>
                <w:color w:val="auto"/>
              </w:rPr>
            </w:pPr>
          </w:p>
        </w:tc>
        <w:tc>
          <w:tcPr>
            <w:tcW w:w="19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OHIO</w:t>
            </w:r>
          </w:p>
        </w:tc>
        <w:tc>
          <w:tcPr>
            <w:tcW w:w="66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34-1469491</w:t>
            </w: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1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2"/>
            <w:vMerge w:val="continue"/>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2"/>
            <w:vMerge w:val="continue"/>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3080" w:type="dxa"/>
            <w:vAlign w:val="bottom"/>
            <w:gridSpan w:val="3"/>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080" w:type="dxa"/>
            <w:vAlign w:val="bottom"/>
            <w:gridSpan w:val="3"/>
          </w:tcPr>
          <w:p>
            <w:pPr>
              <w:jc w:val="center"/>
              <w:ind w:left="60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2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1"/>
        </w:trPr>
        <w:tc>
          <w:tcPr>
            <w:tcW w:w="3080" w:type="dxa"/>
            <w:vAlign w:val="bottom"/>
            <w:gridSpan w:val="3"/>
          </w:tcPr>
          <w:p>
            <w:pPr>
              <w:jc w:val="center"/>
              <w:ind w:left="566"/>
              <w:spacing w:after="0"/>
              <w:rPr>
                <w:sz w:val="20"/>
                <w:szCs w:val="20"/>
                <w:color w:val="auto"/>
              </w:rPr>
            </w:pPr>
            <w:r>
              <w:rPr>
                <w:rFonts w:ascii="Times New Roman" w:cs="Times New Roman" w:eastAsia="Times New Roman" w:hAnsi="Times New Roman"/>
                <w:sz w:val="16"/>
                <w:szCs w:val="16"/>
                <w:b w:val="1"/>
                <w:bCs w:val="1"/>
                <w:color w:val="auto"/>
              </w:rPr>
              <w:t>307 North Defiance Street</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Archbold, Ohio</w:t>
            </w:r>
          </w:p>
        </w:tc>
        <w:tc>
          <w:tcPr>
            <w:tcW w:w="66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168"/>
              <w:spacing w:after="0"/>
              <w:rPr>
                <w:sz w:val="20"/>
                <w:szCs w:val="20"/>
                <w:color w:val="auto"/>
              </w:rPr>
            </w:pPr>
            <w:r>
              <w:rPr>
                <w:rFonts w:ascii="Times New Roman" w:cs="Times New Roman" w:eastAsia="Times New Roman" w:hAnsi="Times New Roman"/>
                <w:sz w:val="16"/>
                <w:szCs w:val="16"/>
                <w:b w:val="1"/>
                <w:bCs w:val="1"/>
                <w:color w:val="auto"/>
              </w:rPr>
              <w:t>43502</w:t>
            </w:r>
          </w:p>
        </w:tc>
        <w:tc>
          <w:tcPr>
            <w:tcW w:w="14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37"/>
        </w:trPr>
        <w:tc>
          <w:tcPr>
            <w:tcW w:w="1140" w:type="dxa"/>
            <w:vAlign w:val="bottom"/>
          </w:tcPr>
          <w:p>
            <w:pPr>
              <w:spacing w:after="0"/>
              <w:rPr>
                <w:sz w:val="11"/>
                <w:szCs w:val="11"/>
                <w:color w:val="auto"/>
              </w:rPr>
            </w:pPr>
          </w:p>
        </w:tc>
        <w:tc>
          <w:tcPr>
            <w:tcW w:w="1940" w:type="dxa"/>
            <w:vAlign w:val="bottom"/>
            <w:gridSpan w:val="2"/>
          </w:tcPr>
          <w:p>
            <w:pPr>
              <w:jc w:val="center"/>
              <w:ind w:right="500"/>
              <w:spacing w:after="0" w:line="137" w:lineRule="exact"/>
              <w:rPr>
                <w:sz w:val="20"/>
                <w:szCs w:val="20"/>
                <w:color w:val="auto"/>
              </w:rPr>
            </w:pPr>
            <w:r>
              <w:rPr>
                <w:rFonts w:ascii="Times New Roman" w:cs="Times New Roman" w:eastAsia="Times New Roman" w:hAnsi="Times New Roman"/>
                <w:sz w:val="14"/>
                <w:szCs w:val="14"/>
                <w:b w:val="1"/>
                <w:bCs w:val="1"/>
                <w:color w:val="auto"/>
              </w:rPr>
              <w:t>(Address of principal</w:t>
            </w:r>
          </w:p>
        </w:tc>
        <w:tc>
          <w:tcPr>
            <w:tcW w:w="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20" w:type="dxa"/>
            <w:vAlign w:val="bottom"/>
            <w:gridSpan w:val="2"/>
          </w:tcPr>
          <w:p>
            <w:pPr>
              <w:jc w:val="center"/>
              <w:ind w:right="660"/>
              <w:spacing w:after="0" w:line="137"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19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Executive offices)</w:t>
            </w:r>
          </w:p>
        </w:tc>
        <w:tc>
          <w:tcPr>
            <w:tcW w:w="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160" w:type="dxa"/>
            <w:vAlign w:val="bottom"/>
            <w:gridSpan w:val="11"/>
          </w:tcPr>
          <w:p>
            <w:pPr>
              <w:jc w:val="center"/>
              <w:ind w:right="30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(419) 446-2501</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0" w:type="dxa"/>
            <w:vAlign w:val="bottom"/>
            <w:gridSpan w:val="8"/>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5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20" w:type="dxa"/>
            <w:vAlign w:val="bottom"/>
            <w:gridSpan w:val="3"/>
          </w:tcPr>
          <w:p>
            <w:pPr>
              <w:jc w:val="center"/>
              <w:ind w:left="919"/>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3"/>
          </w:tcPr>
          <w:p>
            <w:pPr>
              <w:ind w:left="540"/>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080" w:type="dxa"/>
            <w:vAlign w:val="bottom"/>
            <w:gridSpan w:val="3"/>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rPr>
              <w:t>Common Stock, No Par Value</w:t>
            </w: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FMAO</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NASDAQ Capital Market</w:t>
            </w:r>
          </w:p>
        </w:tc>
        <w:tc>
          <w:tcPr>
            <w:tcW w:w="0" w:type="dxa"/>
            <w:vAlign w:val="bottom"/>
          </w:tcPr>
          <w:p>
            <w:pPr>
              <w:spacing w:after="0"/>
              <w:rPr>
                <w:sz w:val="1"/>
                <w:szCs w:val="1"/>
                <w:color w:val="auto"/>
              </w:rPr>
            </w:pPr>
          </w:p>
        </w:tc>
      </w:tr>
      <w:tr>
        <w:trPr>
          <w:trHeight w:val="270"/>
        </w:trPr>
        <w:tc>
          <w:tcPr>
            <w:tcW w:w="7680" w:type="dxa"/>
            <w:vAlign w:val="bottom"/>
            <w:gridSpan w:val="11"/>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tc>
        <w:tc>
          <w:tcPr>
            <w:tcW w:w="3560" w:type="dxa"/>
            <w:vAlign w:val="bottom"/>
            <w:gridSpan w:val="3"/>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31" w:lineRule="exact"/>
        <w:rPr>
          <w:sz w:val="24"/>
          <w:szCs w:val="24"/>
          <w:color w:val="auto"/>
        </w:rPr>
      </w:pPr>
    </w:p>
    <w:p>
      <w:pPr>
        <w:spacing w:after="0" w:line="161" w:lineRule="exact"/>
        <w:tabs>
          <w:tab w:leader="none" w:pos="7620" w:val="left"/>
          <w:tab w:leader="none" w:pos="8180" w:val="left"/>
        </w:tabs>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05"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41" w:right="339" w:bottom="1440" w:gutter="0" w:footer="0" w:header="0"/>
        </w:sectPr>
      </w:pPr>
    </w:p>
    <w:p>
      <w:pPr>
        <w:spacing w:after="0" w:line="99" w:lineRule="exact"/>
        <w:rPr>
          <w:sz w:val="24"/>
          <w:szCs w:val="24"/>
          <w:color w:val="auto"/>
        </w:r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p>
    <w:p>
      <w:pPr>
        <w:spacing w:after="0" w:line="65" w:lineRule="exact"/>
        <w:rPr>
          <w:sz w:val="24"/>
          <w:szCs w:val="24"/>
          <w:color w:val="auto"/>
        </w:rPr>
      </w:pPr>
    </w:p>
    <w:p>
      <w:pPr>
        <w:sectPr>
          <w:pgSz w:w="11900" w:h="16838" w:orient="portrait"/>
          <w:cols w:equalWidth="0" w:num="2">
            <w:col w:w="7220" w:space="720"/>
            <w:col w:w="3300"/>
          </w:cols>
          <w:pgMar w:left="320" w:top="641" w:right="33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42" w:lineRule="exact"/>
        <w:rPr>
          <w:sz w:val="24"/>
          <w:szCs w:val="24"/>
          <w:color w:val="auto"/>
        </w:rPr>
      </w:pPr>
    </w:p>
    <w:p>
      <w:pPr>
        <w:sectPr>
          <w:pgSz w:w="11900" w:h="16838" w:orient="portrait"/>
          <w:cols w:equalWidth="0" w:num="2">
            <w:col w:w="7220" w:space="720"/>
            <w:col w:w="3300"/>
          </w:cols>
          <w:pgMar w:left="320" w:top="641" w:right="339" w:bottom="1440" w:gutter="0" w:footer="0" w:header="0"/>
          <w:type w:val="continuous"/>
        </w:sectPr>
      </w:pPr>
    </w:p>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ectPr>
          <w:pgSz w:w="11900" w:h="16838" w:orient="portrait"/>
          <w:cols w:equalWidth="0" w:num="1">
            <w:col w:w="11240"/>
          </w:cols>
          <w:pgMar w:left="320" w:top="641" w:right="339" w:bottom="1440" w:gutter="0" w:footer="0" w:header="0"/>
          <w:type w:val="continuous"/>
        </w:sectPr>
      </w:pPr>
    </w:p>
    <w:p>
      <w:pPr>
        <w:spacing w:after="0" w:line="82"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1" w:lineRule="exact"/>
        <w:rPr>
          <w:sz w:val="24"/>
          <w:szCs w:val="24"/>
          <w:color w:val="auto"/>
        </w:rPr>
      </w:pPr>
    </w:p>
    <w:p>
      <w:pPr>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tabs>
          <w:tab w:leader="none" w:pos="6700" w:val="left"/>
          <w:tab w:leader="none" w:pos="72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June 30, 2022, the aggregate market value of the registrant’s common stock held by non-affiliates of the registrant was $433,654,732.</w:t>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February 17, 2023, the Registrant had 14,564,425 shares of common stock issued of which 13,608,422 shares are outstanding.</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DOCUMENTS INCORPORATED BY REFERENCE</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Part III of Form 10-K – Portions of the definitive Proxy Statement for the 2023 Annual Meeting of Shareholders of Farmers &amp; Merchants Bancorp, Inc.</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1"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80" w:type="dxa"/>
            <w:vAlign w:val="bottom"/>
            <w:gridSpan w:val="14"/>
          </w:tcPr>
          <w:p>
            <w:pPr>
              <w:jc w:val="center"/>
              <w:ind w:right="2520"/>
              <w:spacing w:after="0"/>
              <w:rPr>
                <w:sz w:val="20"/>
                <w:szCs w:val="20"/>
                <w:color w:val="auto"/>
              </w:rPr>
            </w:pPr>
            <w:r>
              <w:rPr>
                <w:rFonts w:ascii="Times New Roman" w:cs="Times New Roman" w:eastAsia="Times New Roman" w:hAnsi="Times New Roman"/>
                <w:sz w:val="18"/>
                <w:szCs w:val="18"/>
                <w:color w:val="auto"/>
                <w:w w:val="98"/>
              </w:rPr>
              <w:t>FARMERS &amp; MERCHANTS BANCORP, INC.</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20" w:type="dxa"/>
            <w:vAlign w:val="bottom"/>
            <w:gridSpan w:val="2"/>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Items</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40" w:type="dxa"/>
            <w:vAlign w:val="bottom"/>
            <w:gridSpan w:val="12"/>
          </w:tcPr>
          <w:p>
            <w:pPr>
              <w:jc w:val="center"/>
              <w:ind w:right="33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3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43"/>
        </w:trPr>
        <w:tc>
          <w:tcPr>
            <w:tcW w:w="1820" w:type="dxa"/>
            <w:vAlign w:val="bottom"/>
            <w:tcBorders>
              <w:bottom w:val="single" w:sz="8" w:color="auto"/>
            </w:tcBorders>
            <w:gridSpan w:val="2"/>
            <w:vMerge w:val="continue"/>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and Related Stockholder Matters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on Accounting and Financial Disclosure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Item9a.</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32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Directors and Executive Officers of the Registrant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110-112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Financial Schedules and Reports on Form 8-K</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40" w:type="dxa"/>
            <w:vAlign w:val="bottom"/>
            <w:tcBorders>
              <w:right w:val="single" w:sz="8" w:color="0000EE"/>
            </w:tcBorders>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2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FF"/>
              </w:rPr>
              <w:t>Signatures</w:t>
            </w:r>
          </w:p>
        </w:tc>
        <w:tc>
          <w:tcPr>
            <w:tcW w:w="6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0"/>
        </w:trPr>
        <w:tc>
          <w:tcPr>
            <w:tcW w:w="780" w:type="dxa"/>
            <w:vAlign w:val="bottom"/>
            <w:tcBorders>
              <w:lef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60" w:type="dxa"/>
            <w:vAlign w:val="bottom"/>
            <w:gridSpan w:val="8"/>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21.</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Subsidiaries of Farmers &amp; Merchants Bancorp, Inc.</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0"/>
        </w:trPr>
        <w:tc>
          <w:tcPr>
            <w:tcW w:w="1820" w:type="dxa"/>
            <w:vAlign w:val="bottom"/>
            <w:tcBorders>
              <w:right w:val="single" w:sz="8" w:color="0000EE"/>
            </w:tcBorders>
            <w:gridSpan w:val="2"/>
          </w:tcPr>
          <w:p>
            <w:pPr>
              <w:spacing w:after="0" w:line="20" w:lineRule="exact"/>
              <w:rPr>
                <w:sz w:val="1"/>
                <w:szCs w:val="1"/>
                <w:color w:val="auto"/>
              </w:rPr>
            </w:pPr>
          </w:p>
        </w:tc>
        <w:tc>
          <w:tcPr>
            <w:tcW w:w="1860" w:type="dxa"/>
            <w:vAlign w:val="bottom"/>
            <w:tcBorders>
              <w:right w:val="single" w:sz="8" w:color="0000FF"/>
            </w:tcBorders>
            <w:gridSpan w:val="8"/>
            <w:shd w:val="clear" w:color="auto" w:fill="0000FF"/>
          </w:tcPr>
          <w:p>
            <w:pPr>
              <w:spacing w:after="0" w:line="20" w:lineRule="exact"/>
              <w:rPr>
                <w:sz w:val="1"/>
                <w:szCs w:val="1"/>
                <w:color w:val="auto"/>
              </w:rPr>
            </w:pPr>
          </w:p>
        </w:tc>
        <w:tc>
          <w:tcPr>
            <w:tcW w:w="520" w:type="dxa"/>
            <w:vAlign w:val="bottom"/>
            <w:tcBorders>
              <w:right w:val="single" w:sz="8" w:color="0000FF"/>
            </w:tcBorders>
            <w:gridSpan w:val="2"/>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4400" w:type="dxa"/>
            <w:vAlign w:val="bottom"/>
            <w:gridSpan w:val="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23.</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Consent of FORVIS, LLP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0"/>
        </w:trPr>
        <w:tc>
          <w:tcPr>
            <w:tcW w:w="1820" w:type="dxa"/>
            <w:vAlign w:val="bottom"/>
            <w:tcBorders>
              <w:right w:val="single" w:sz="8" w:color="0000EE"/>
            </w:tcBorders>
            <w:gridSpan w:val="2"/>
          </w:tcPr>
          <w:p>
            <w:pPr>
              <w:spacing w:after="0" w:line="20" w:lineRule="exact"/>
              <w:rPr>
                <w:sz w:val="1"/>
                <w:szCs w:val="1"/>
                <w:color w:val="auto"/>
              </w:rPr>
            </w:pPr>
          </w:p>
        </w:tc>
        <w:tc>
          <w:tcPr>
            <w:tcW w:w="1860" w:type="dxa"/>
            <w:vAlign w:val="bottom"/>
            <w:tcBorders>
              <w:right w:val="single" w:sz="8" w:color="0000EE"/>
            </w:tcBorders>
            <w:gridSpan w:val="8"/>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720" w:type="dxa"/>
            <w:vAlign w:val="bottom"/>
            <w:gridSpan w:val="1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31.</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Certifications Under Section 302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1820" w:type="dxa"/>
            <w:vAlign w:val="bottom"/>
            <w:tcBorders>
              <w:right w:val="single" w:sz="8" w:color="0000EE"/>
            </w:tcBorders>
            <w:gridSpan w:val="2"/>
          </w:tcPr>
          <w:p>
            <w:pPr>
              <w:spacing w:after="0" w:line="20" w:lineRule="exact"/>
              <w:rPr>
                <w:sz w:val="1"/>
                <w:szCs w:val="1"/>
                <w:color w:val="auto"/>
              </w:rPr>
            </w:pPr>
          </w:p>
        </w:tc>
        <w:tc>
          <w:tcPr>
            <w:tcW w:w="2380" w:type="dxa"/>
            <w:vAlign w:val="bottom"/>
            <w:tcBorders>
              <w:right w:val="single" w:sz="8" w:color="0000EE"/>
            </w:tcBorders>
            <w:gridSpan w:val="10"/>
            <w:shd w:val="clear" w:color="auto" w:fill="0000FF"/>
          </w:tcPr>
          <w:p>
            <w:pPr>
              <w:spacing w:after="0" w:line="20" w:lineRule="exact"/>
              <w:rPr>
                <w:sz w:val="1"/>
                <w:szCs w:val="1"/>
                <w:color w:val="auto"/>
              </w:rPr>
            </w:pPr>
          </w:p>
        </w:tc>
        <w:tc>
          <w:tcPr>
            <w:tcW w:w="5720" w:type="dxa"/>
            <w:vAlign w:val="bottom"/>
            <w:gridSpan w:val="1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32.</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Certifications Under Section 906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1820" w:type="dxa"/>
            <w:vAlign w:val="bottom"/>
            <w:tcBorders>
              <w:right w:val="single" w:sz="8" w:color="0000EE"/>
            </w:tcBorders>
            <w:gridSpan w:val="2"/>
          </w:tcPr>
          <w:p>
            <w:pPr>
              <w:spacing w:after="0" w:line="20" w:lineRule="exact"/>
              <w:rPr>
                <w:sz w:val="1"/>
                <w:szCs w:val="1"/>
                <w:color w:val="auto"/>
              </w:rPr>
            </w:pPr>
          </w:p>
        </w:tc>
        <w:tc>
          <w:tcPr>
            <w:tcW w:w="2380" w:type="dxa"/>
            <w:vAlign w:val="bottom"/>
            <w:tcBorders>
              <w:right w:val="single" w:sz="8" w:color="0000EE"/>
            </w:tcBorders>
            <w:gridSpan w:val="10"/>
            <w:shd w:val="clear" w:color="auto" w:fill="0000FF"/>
          </w:tcPr>
          <w:p>
            <w:pPr>
              <w:spacing w:after="0" w:line="20" w:lineRule="exact"/>
              <w:rPr>
                <w:sz w:val="1"/>
                <w:szCs w:val="1"/>
                <w:color w:val="auto"/>
              </w:rPr>
            </w:pPr>
          </w:p>
        </w:tc>
        <w:tc>
          <w:tcPr>
            <w:tcW w:w="5720" w:type="dxa"/>
            <w:vAlign w:val="bottom"/>
            <w:gridSpan w:val="1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101.INS</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100" w:type="dxa"/>
            <w:vAlign w:val="bottom"/>
            <w:gridSpan w:val="23"/>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its XBRL tags are embedded within the Inline XBRL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101.SCH</w:t>
            </w:r>
          </w:p>
        </w:tc>
        <w:tc>
          <w:tcPr>
            <w:tcW w:w="8100" w:type="dxa"/>
            <w:vAlign w:val="bottom"/>
            <w:gridSpan w:val="23"/>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101.CAL</w:t>
            </w:r>
          </w:p>
        </w:tc>
        <w:tc>
          <w:tcPr>
            <w:tcW w:w="8100" w:type="dxa"/>
            <w:vAlign w:val="bottom"/>
            <w:gridSpan w:val="23"/>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Inline XBRL Taxonomy Extension Calculation Linkbase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101.DEF</w:t>
            </w:r>
          </w:p>
        </w:tc>
        <w:tc>
          <w:tcPr>
            <w:tcW w:w="8100" w:type="dxa"/>
            <w:vAlign w:val="bottom"/>
            <w:gridSpan w:val="23"/>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Inline XBRL Taxonomy Extension Definition Linkbase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101.LAB</w:t>
            </w:r>
          </w:p>
        </w:tc>
        <w:tc>
          <w:tcPr>
            <w:tcW w:w="8100" w:type="dxa"/>
            <w:vAlign w:val="bottom"/>
            <w:gridSpan w:val="23"/>
          </w:tcPr>
          <w:p>
            <w:pPr>
              <w:spacing w:after="0" w:line="243" w:lineRule="exact"/>
              <w:rPr>
                <w:sz w:val="20"/>
                <w:szCs w:val="20"/>
                <w:color w:val="auto"/>
              </w:rPr>
            </w:pPr>
            <w:r>
              <w:rPr>
                <w:rFonts w:ascii="Times New Roman" w:cs="Times New Roman" w:eastAsia="Times New Roman" w:hAnsi="Times New Roman"/>
                <w:sz w:val="18"/>
                <w:szCs w:val="18"/>
                <w:color w:val="auto"/>
              </w:rPr>
              <w:t xml:space="preserve">Inline XBRL Taxonomy Extension Label Linkbase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7"/>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101.PRE</w:t>
            </w:r>
          </w:p>
        </w:tc>
        <w:tc>
          <w:tcPr>
            <w:tcW w:w="8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 xml:space="preserve">Inline XBRL Taxonomy Extension Presentation Linkbase Document </w:t>
            </w:r>
            <w:r>
              <w:rPr>
                <w:rFonts w:ascii="Times New Roman" w:cs="Times New Roman" w:eastAsia="Times New Roman" w:hAnsi="Times New Roman"/>
                <w:sz w:val="24"/>
                <w:szCs w:val="24"/>
                <w:color w:val="auto"/>
                <w:vertAlign w:val="superscript"/>
              </w:rPr>
              <w:t>(1)</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20" w:right="20" w:firstLine="1"/>
        <w:spacing w:after="0" w:line="229" w:lineRule="auto"/>
        <w:tabs>
          <w:tab w:leader="none" w:pos="22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6"/>
          <w:szCs w:val="16"/>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Total Pages:</w:t>
            </w:r>
          </w:p>
        </w:tc>
        <w:tc>
          <w:tcPr>
            <w:tcW w:w="5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Forward Looking Statements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contained in the Company's Annual Report on Form 10-K may be forward-looking statements, as that term is defined in the Private Securities Litigation Reform Act of 1995. Forward-looking statements may be identified by the use of such words as "intend," "believe," "expect," "anticipate," "should," "planned," "estimated," and "potential." Such forward-looking statements are based on current expectations but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which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could differ from those projected in the forward-looking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Farmers &amp; Merchants Bancorp, Inc. (Company) is a bank holding company incorporated under the laws of Ohio in 1985 and elected to become a financial holding company under the Federal Reserve in 2014. Our primary subsidiary, The Farmers &amp; Merchants State Bank (Bank) is a local independent community bank that has been primarily serving Northwest Ohio and Northeast Indiana since 1897. Our other subsidiary, Farmers &amp; Merchants Risk Management (Captive) is a captive insurance company formed in December 2014 and located in Nevada. We report our financial condition and net income on a consolidated basis and we report only one segment.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Our executive offices are located at 307 North Defiance Street, Archbold, Ohio 43502, and our telephone number is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 446-2501.</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 discussion of the general development of the Company’s business throughout 2022, please see the portion of Management’s Discussion and Analysis of Financial Condition and Results of Operations captioned “2022 in Review.”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Activities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Farmers &amp; Merchants State Bank engages in general commercial banking business. Its activities include commercial, agricultural and residential mortgage as well as consumer and credit card lending activities. Because the majority of the Bank's offices are located in Northwest Ohio and Northeast Indiana, a substantial amount of the loan portfolio is comprised of loans made to customers in the farming industry for such things as farm land, farm equipment, livestock and operating loans for seed, fertilizer, and feed. Other types of lending activities include loans for home improvements and loans for such items as autos, trucks, recreational vehicles and motorcycles. With the expansion into newer market areas, the most recent increases in loan activity have been in commercial real estate, providing operating lines of credit and machinery purchases. Consumer real estate also increased substantially with the acquisition of Perpetual Federal Savings Bank on October 1, 2021. The Bank also operates four Loan Production Offices (LPOs) , two in Ohio and one in Indiana and Michigan.</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Bank also provides checking account services, as well as savings and time deposit services such as certificates of deposits. In addition, Automated Teller Machines (ATMs) or Interactive Teller Machines (ITMs) are provided at most branch locations along with other independent locations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Upgrades to our digital products and services continue to occur in both retail and business lines.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spacing w:after="0" w:line="246" w:lineRule="auto"/>
        <w:rPr>
          <w:sz w:val="20"/>
          <w:szCs w:val="20"/>
          <w:color w:val="auto"/>
        </w:rPr>
      </w:pPr>
      <w:r>
        <w:rPr>
          <w:rFonts w:ascii="Times New Roman" w:cs="Times New Roman" w:eastAsia="Times New Roman" w:hAnsi="Times New Roman"/>
          <w:sz w:val="18"/>
          <w:szCs w:val="18"/>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a five year, a seven year and a ten year fixed rate mortgage and a fifteen year jumbo fixed rate mortgage after which the interest rate will adjust annually for all.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brokers. With the acquisition in the 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quarter of 2021, the Bank saw an increase in fixed rate, long-term mortgage loans to our portfolio from that banking service area.</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Loans:</w:t>
      </w:r>
    </w:p>
    <w:p>
      <w:pPr>
        <w:spacing w:after="0" w:line="27" w:lineRule="exact"/>
        <w:rPr>
          <w:sz w:val="20"/>
          <w:szCs w:val="20"/>
          <w:color w:val="auto"/>
        </w:rPr>
      </w:pPr>
    </w:p>
    <w:p>
      <w:pPr>
        <w:ind w:left="660" w:hanging="27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loan to value (LTV) for cars, SUVs, and trucks is 110%.</w:t>
      </w:r>
    </w:p>
    <w:p>
      <w:pPr>
        <w:spacing w:after="0" w:line="9"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above 100% are generally the result of sales tax.</w:t>
      </w:r>
    </w:p>
    <w:p>
      <w:pPr>
        <w:spacing w:after="0" w:line="9"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Boats, campers, motorcycles, RV's and Motor Coaches range from 80%-90% based on age of vehicle.</w:t>
      </w:r>
    </w:p>
    <w:p>
      <w:pPr>
        <w:spacing w:after="0" w:line="9"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1st or 2nd mortgages on 1-4 family homes maximum LTV range from 80%-85%.</w:t>
      </w:r>
    </w:p>
    <w:p>
      <w:pPr>
        <w:spacing w:after="0" w:line="9" w:lineRule="exact"/>
        <w:rPr>
          <w:rFonts w:ascii="Times New Roman" w:cs="Times New Roman" w:eastAsia="Times New Roman" w:hAnsi="Times New Roman"/>
          <w:sz w:val="18"/>
          <w:szCs w:val="18"/>
          <w:color w:val="auto"/>
        </w:rPr>
      </w:pPr>
    </w:p>
    <w:p>
      <w:pPr>
        <w:ind w:left="660" w:hanging="27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land LTV maximum ranges from 65%-75% depending on whether or not the property has been improved.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Commercial/Agriculture:</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7" w:lineRule="exact"/>
        <w:rPr>
          <w:sz w:val="20"/>
          <w:szCs w:val="20"/>
          <w:color w:val="auto"/>
        </w:rPr>
      </w:pPr>
    </w:p>
    <w:p>
      <w:pPr>
        <w:ind w:left="1040" w:hanging="283"/>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80% LTV less retainages and greater than 90 days.</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ind w:left="1040" w:hanging="283"/>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Agriculture:</w:t>
      </w:r>
    </w:p>
    <w:p>
      <w:pPr>
        <w:spacing w:after="0" w:line="9" w:lineRule="exact"/>
        <w:rPr>
          <w:sz w:val="20"/>
          <w:szCs w:val="20"/>
          <w:color w:val="auto"/>
        </w:rPr>
      </w:pPr>
    </w:p>
    <w:p>
      <w:pPr>
        <w:ind w:left="1780" w:hanging="368"/>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Livestock and grain up to 80% LTV, crops (insured) up to 75% and Warehouse Receipts up to 87%.</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w:t>
      </w:r>
    </w:p>
    <w:p>
      <w:pPr>
        <w:spacing w:after="0" w:line="9" w:lineRule="exact"/>
        <w:rPr>
          <w:rFonts w:ascii="Times New Roman" w:cs="Times New Roman" w:eastAsia="Times New Roman" w:hAnsi="Times New Roman"/>
          <w:sz w:val="18"/>
          <w:szCs w:val="18"/>
          <w:color w:val="auto"/>
        </w:rPr>
      </w:pPr>
    </w:p>
    <w:p>
      <w:pPr>
        <w:ind w:left="1780" w:hanging="368"/>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of 50% on raw and finished goods.</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Floor plan:</w:t>
      </w:r>
    </w:p>
    <w:p>
      <w:pPr>
        <w:spacing w:after="0" w:line="9" w:lineRule="exact"/>
        <w:rPr>
          <w:rFonts w:ascii="Times New Roman" w:cs="Times New Roman" w:eastAsia="Times New Roman" w:hAnsi="Times New Roman"/>
          <w:sz w:val="18"/>
          <w:szCs w:val="18"/>
          <w:color w:val="auto"/>
        </w:rPr>
      </w:pPr>
    </w:p>
    <w:p>
      <w:pPr>
        <w:ind w:left="1780" w:hanging="368"/>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vehicles to 100% of wholesale.</w:t>
      </w:r>
    </w:p>
    <w:p>
      <w:pPr>
        <w:spacing w:after="0" w:line="9" w:lineRule="exact"/>
        <w:rPr>
          <w:rFonts w:ascii="Times New Roman" w:cs="Times New Roman" w:eastAsia="Times New Roman" w:hAnsi="Times New Roman"/>
          <w:sz w:val="18"/>
          <w:szCs w:val="18"/>
          <w:color w:val="auto"/>
        </w:rPr>
      </w:pPr>
    </w:p>
    <w:p>
      <w:pPr>
        <w:ind w:left="1780" w:hanging="368"/>
        <w:spacing w:after="0"/>
        <w:tabs>
          <w:tab w:leader="none" w:pos="17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New/Used recreational vehicles and manufactured homes to 80% of wholesale.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Equipment:</w:t>
      </w:r>
    </w:p>
    <w:p>
      <w:pPr>
        <w:spacing w:after="0" w:line="27" w:lineRule="exact"/>
        <w:rPr>
          <w:sz w:val="20"/>
          <w:szCs w:val="20"/>
          <w:color w:val="auto"/>
        </w:rPr>
      </w:pPr>
    </w:p>
    <w:p>
      <w:pPr>
        <w:ind w:left="1040" w:hanging="283"/>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 to exceed (NTE) 80% of invoice, used NTE 50% of listed book or 75% of appraised value.</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equipment up to 35% of market value.</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trucks, titled trailers NTE 75% LTV and aircraft up to 75% of appraised value.</w:t>
      </w:r>
    </w:p>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Real Estate:</w:t>
      </w:r>
    </w:p>
    <w:p>
      <w:pPr>
        <w:spacing w:after="0" w:line="27" w:lineRule="exact"/>
        <w:rPr>
          <w:sz w:val="20"/>
          <w:szCs w:val="20"/>
          <w:color w:val="auto"/>
        </w:rPr>
      </w:pPr>
    </w:p>
    <w:p>
      <w:pPr>
        <w:ind w:left="1040" w:hanging="283"/>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LTVs range from 70%-80% depending on type.</w:t>
      </w:r>
    </w:p>
    <w:p>
      <w:pPr>
        <w:spacing w:after="0" w:line="9" w:lineRule="exact"/>
        <w:rPr>
          <w:rFonts w:ascii="Times New Roman" w:cs="Times New Roman" w:eastAsia="Times New Roman" w:hAnsi="Times New Roman"/>
          <w:sz w:val="18"/>
          <w:szCs w:val="18"/>
          <w:color w:val="auto"/>
        </w:rPr>
      </w:pPr>
    </w:p>
    <w:p>
      <w:pPr>
        <w:ind w:left="1040" w:hanging="283"/>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LTV on non-traditional borrower loans up to 85%.</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FM Investment Services, the brokerage department of the Bank, has served the Bank’s customers, providing investment services, since April of 1999. In November of 2020, FM Investment Services purchased the assets and clients of Adams County Financial Resources (ACFR) which is discussed in further detail in Note 2 to the Company’s financial statements. Securities are offered through Raymond James Financial Services, Inc.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of 2014, the Company became a financial holding company within the meaning of the Bank Holding Company Act of 1956 as amended,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in December 2014. The Captive is located in Nevada and regulated by the State of Nevada Division of Insurance.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The Bank’s primary market includes communities located in the Ohio counties of Champaign, Defiance, Fulton, Hancock, Henry, Lucas, Shelby, Williams, Wood and in the Indiana counties of Adams, Allen, DeKalb, Jay, Steuben and Wells. The commercial banking business in this market is highly competitive, with approximately 34 other depository institutions currently doing business in the Bank’s primary market. In our banking activities, we compete directly with other commercial banks, credit unions, farm credit services, and savings and loan institutions in each of our operating localities. In a number of our locations, we compete against entities which are much larger than us, including Huntington National Bank, Fifth Third Bank, PNC, Wells Fargo Bank, NA, KeyBank NA and JPMorgan Chase Bank, NA. Based on deposit data as of June 30, 2022 from the FDIC and using zip codes in our markets, the Bank ranked 1st with a 14.94% market share in markets served. The primary factors in competing for loans and deposits are the rates charged as well as location and quality of the services provided.</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2022, we had 431 full time equivalent employees. The employees are not represented by a collective bargaining unit. We provide our employees with a comprehensive benefit program, some of which is contributory. We consider our employee relations to be good.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Supervision and Regulation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corporation organized under the laws of the State of Ohio. The business in which the Company and its subsidiaries are engaged is subject to extensive supervision, regulation and examination by various bank regulatory authorities. The supervision, regulation and examination to which the Company and its subsidiaries are subject to are intended primarily for the protection of depositors and the deposit insurance funds that insure the deposits of banks, rather than for the protection of shareholders.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Several of the more significant regulatory provisions applicable to banks and bank holding companies to which the Company and its subsidiaries are subject are discussed below along with certain regulatory matters concerning the Company and its subsidiaries. To the extent that the following information describes statutory or regulatory provisions, it is qualified in its entirety by reference to the particular statutory provisions. Any change in applicable law or regulation may have a material effect on the business and prospects of the Company and its subsidiaries.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Safety and Soundness Standards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federal banking agencies have adopted guidelines that establish 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institution’s primary federal regulator may require the institution to submit a plan for achieving and maintaining compliance. If an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institution’s rate of growth, require the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banking regulators, including cease and desist orders and civil money penalty assessments.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Agencies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financial holding company and is subject to inspection, examination and supervision by the Board of Governors of the Federal Reserve System (the “Federal Reserve Board”) pursuant to the Bank Holding Company Act of 1956, as amended. As a financial holding company, the Company is still subject to all the bank holding company regulations.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is an Ohio chartered commercial bank. It is subject to regulation and examination by both the Ohio Division of Financial Institutions (ODFI) and the Federal Deposit Insurance Corporation (FDIC).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Captive is an insurance company incorporated in Nevada and regulated by the State of Nevada, Division of Insurance.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Holding Company Activities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financial holding company incorporated and doing business within the State of Ohio, the Company is subject to regulation and supervision under the Bank Holding Act of 1956, as amended (the "Act"). The Company is required to file with the Federal Reserve Board on a quarterly basis information pursuant to the Act. The Federal Reserve Board may conduct examinations or inspections of the Company and its subsidiaries.</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12, 1999, the Gramm-Leach-Bliley Act (the "GLB Act") was enacted into law. The GLB Act made sweeping changes with respect to the permissible financial services which various types of financial institutions may provide. The Glass-Steagall Act, which had generally prevented banks from affiliation with securities and insurance firms, was repealed. Pursuant to the GLB Act, bank holding companies may elect to become a "financial holding company," provided that all of the depository institution subsidiaries of the bank holding company are “well capitalized” and “well managed” under applicable regulatory standards.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GLB Act, a bank holding company that has elected to become a financial holding company may affiliate with securities firms and insurance companies and engage in other activities that are financial in nature. Activities that are "financial in nature" include securities underwriting, dealing and market-making, sponsoring mutual funds and investment companies, insurance underwriting and agency, merchant banking, and activities that the Federal Reserve Board has determined to be closely related to banking. Federal Reserve Board approval is not required for the Company to acquire a company, other than a bank holding company, bank or savings association, engaged in activities that are financial in nature or incidental to activities that are financial in nature, as determined by the Federal Reserve Board. Prior Federal Reserve Board approval is required before the Company may acquire the beneficial ownership or control of more than 5% of the voting shares, or substantially all of the assets, of a bank holding company, bank or savings association. If any subsidiary bank of the Company ceases to be "well capitalized" or "well managed" under applicable regulatory standards, the Federal Reserve Board may, among other actions, order the Company to divest the subsidiary bank. Alternatively, the Company may elect to conform its activities to those permissible for a bank holding company that is not also a financial holding company. If any subsidiary bank of the Company receives a rating under the Community Reinvestment Act of 1977 of less than satisfactory, the Company will be prohibited from engaging in new activities or acquiring companies other than bank holding companies, banks or savings associations.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Affiliate Transactions</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Various governmental requirements, including Sections 23A and 23B of the Federal Reserve Act and Regulation W promulgated thereunder limit borrowings by holding companies and non-bank subsidiaries from affiliated insured depository institutions, and also limit various other transactions between holding companies and their non-bank subsidiaries, on the one hand, and their affiliated insured depository institutions on the other. Section 23A of the Federal Reserve Act also generally requires that an insured depository institution's loans to its non-bank affiliates be secured, and Section 23B of the Federal Reserve Act generally requires that an insured depository institution's transactions with its non-bank affiliates be on arms-length terms.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Interstate Banking and Branching</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Riegle-Neal Interstate Banking and Branching Efficiency Act ("Riegle-Neal"), subject to certain concentration limits and other requirements, adequately capitalized bank holding companies such as the Company are permitted to acquire banks and bank holding companies located in any state. Any bank that is a subsidiary of a bank holding company is permitted to receive deposits, renew time deposits, close loans, service loans and receive loan payments as an agent for any other bank subsidiary of that bank holding company. Banks are permitted to acquire branch offices outside their home states by merging with out-of-state banks, purchasing branches in other states and establishing de novo branch offices in other states. The Company could from time to time use Riegle-Neal to acquire banks in additional states.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Control Acquisitions</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Change in Bank Control Act prohibits a person or group of persons from acquiring "control" of a bank holding company, unless the Federal Reserve Board has been notified and has not objected to the transaction. Under the rebuttable presumption established by the Federal Reserve Board, the acquisition of 10% or more of a class of voting stock of a bank holding company with a class of securities registered under Section 12 of the Exchange Act, such as the Company, would, under the circumstances set forth in the presumption, constitute acquisition of control of the bank holding company. In addition, a company is required to obtain the approval of the Federal Reserve Board under the Bank Holding Company Act before acquiring 25% (5% in the case of an acquirer that is a bank holding company) or more of any class of outstanding voting stock of a bank holding company, or otherwise obtaining control or a "controlling influence" over that bank holding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Liability for Banking Subsidiaries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current Federal Reserve Board policy, a bank holding company is expected to act as a source of financial and managerial strength to each of its subsidiary banks and to maintain resources adequate to support each subsidiary bank. This support may be required at times when the bank holding company may not have the resources to provide it. In the event of a bank holding company's bankruptcy, any commitment by the bank holding company to a U.S. federal bank regulatory agency to maintain the capital of a subsidiary bank would be assumed by the bankruptcy trustee and entitled to priority of payment. Any depository institution insured by the FDIC can be held liable for any loss incurred, or reasonably expected to be incurred, by the FDIC in connection with (1) the "default" of a commonly controlled FDIC-insured depository institution; or (2) any assistance provided by the FDIC to both a commonly controlled FDIC-insured depository institution "in danger of default." The Bank is an FDIC-insured depository institution. If a default occurred with respect to the Bank, any capital loans to the Bank from its parent holding company would be subordinate in right of payment to payment of the Bank's depositors and certain of its other obligations.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Regulatory Capital Requirements</w:t>
      </w:r>
    </w:p>
    <w:p>
      <w:pPr>
        <w:spacing w:after="0" w:line="117"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The Company is required by the various regulatory authorities to maintain certain capital levels. Bank holding companies are required to maintain minimum levels of capital in accordance with Federal Reserve Board capital adequacy guidelines. If capital falls below minimum guideline levels, a bank holding company, among other things, may be denied approval to acquire or establish additional banks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businesses. The required capital levels along with the Bank’s capital position at December 31, 2022 and 2021 are summarized in the table included in Note 15 to the consolidated financial statements.</w:t>
      </w: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Beginning in 2015, the Company and Bank were required to measure capital adequacy using Basel III accounting. Basel III is a comprehensive set of reform measures, developed by the Basel Committee on Banking Supervision, to strengthen the regulation, supervision and risk management of the banking sector. Implementation of the rules is overseen by the Federal Reserve, the FDIC and the OCC.</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FDICIA</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Federal Deposit Insurance Corporation Improvement Act of 1991 ("FDICIA"), and the regulations promulgated under FDICIA, among other things, established five capital categories for insured depository institutions-well capitalized, adequately capitalized, undercapitalized, significantly undercapitalized and critically undercapitalized-and requires U.S. federal bank regulatory agencies to implement systems for "prompt corrective action" for insured depository institutions that do not meet minimum capital requirements based on these categories. Unless a bank is well capitalized, it is subject to restrictions on its ability to offer brokered deposits and on certain other aspects of its operations. An undercapitalized bank must develop a capital restoration plan and its parent bank holding company must guarantee the bank's compliance with the plan up to the lesser of 5% of the bank’s assets at the time it became undercapitalized and the amount needed to comply with the plan. As of December 31, 2022, the Bank was well capitalized pursuant to these prompt corrective action guidelines.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Restrictions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ability of the Company to obtain funds for the payment of dividends and for other cash requirements will be largely dependent on the amount of dividends which may be declared by its banking subsidiary, which are limited to the Bank’s retained earnings during the current year and its prior two years. Various U.S. federal statutory provisions limit the amount of dividends the Company's banking subsidiar</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xml:space="preserve"> can pay to the Company without regulatory approval. In 2009, The Board of Governors of the Federal Reserve Division of Banking Supervision and Regulation issued SR09-4 regarding the safe and sound payment of dividends by bank holding companies. See Note 16 to the consolidated financial statements for additional information on applicable dividend restrictions.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 Insurance Assessments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deposits of the Bank are insured up to the regulatory limits set by the FDIC. The FDIC maintains the Deposit Insurance fund (“DIF”) by assessing depository institutions an insurance premium (assessment). The amount assessed to each institution is based on statutory factors that take into consideration the degree of risk the institution poses to the DIF. The primary purposes of the DIF are to (1) insure the deposits and protect the depositors of insured depository institutions; and (2) resolve failed banks. The DIF is primarily funded through quarterly assessments on insured depository institutions, but it also earns interest income on its securities. Decreases in the DIF result from loss provisions associated with the resolution of failed banks and FDIC operating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(“Dodd-Frank Act”) revised the statutory authorities governing the FDIC’s management of the DIF. A key requirement from the Dodd-Frank Act resulted in the FDIC’s adoption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 w:name="page8"/>
    <w:bookmarkEnd w:id="7"/>
    <w:p>
      <w:pPr>
        <w:jc w:val="both"/>
        <w:spacing w:after="0" w:line="254" w:lineRule="auto"/>
        <w:rPr>
          <w:sz w:val="20"/>
          <w:szCs w:val="20"/>
          <w:color w:val="auto"/>
        </w:rPr>
      </w:pPr>
      <w:r>
        <w:rPr>
          <w:rFonts w:ascii="Times New Roman" w:cs="Times New Roman" w:eastAsia="Times New Roman" w:hAnsi="Times New Roman"/>
          <w:sz w:val="18"/>
          <w:szCs w:val="18"/>
          <w:color w:val="auto"/>
        </w:rPr>
        <w:t>of new rules in February 2011 regarding Assessments, Dividends, Assessment Base, and Large Bank Pricing. The new rules implemented the following changes: (1) redefined the definition of an institution’s deposit insurance assessment base from one based on domestic deposits to one based on assets now defined as “average consolidated total assets minus average tangible equity”; (2) changed the assessment rate adjustments to better account for risk based on an institution’s funding sources; (3) revised the deposit insurance assessment rate schedule in light of the new assessment base and assessment rate adjustments; (4) implemented Dodd-Frank Act dividend provisions; (5) revised the large insured depository institution assessment system to better differentiate for risk and to take into account losses the FDIC may incur from large institution failures; and (6) provided technical and other changes to the FDIC’s assessment rules. Though deposit insurance assessments maintain a risk-based approach, the FDIC imposed a more extensive risk-based assessment system on large insured depository institutions with at least $10 billion in total assets since they are more complex in nature and could pose greater risk.</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Dodd-Frank Act permanently raised the standard maximum deposit insurance coverage amount to $250,000 and applies per depositor, per insured depository institution for each account ownership category.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Depositor Preference Statute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"liquidation or other resolution" of an institution by any receiver, U.S. federal legislation provides that deposits and certain claims for administrative expenses and employee compensation against the insured depository institution would be afforded a priority over general unsecured claims against that institution, including federal funds and letters of credit.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Monetary Policy</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earnings of the Company are affected primarily by general economic conditions and to a lesser extent by the fiscal and monetary policies of the federal government and its agencies, particularly the Federal Reserve. Its policies influence, to some degree, the volume of bank loans and deposits, and interest rates charged and paid thereon, and thus have an effect on the earnings of the Company's subsidiary Bank.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Additional Regulation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Provisions of the Dodd-Frank Act have resulted in additional rulemaking by the federal regulatory agencies and new rules yet to be issued. Implementing the new and expanded regulations involved extreme diligence to ensure compliance with the complexities of the rules, as well as extensive new disclosure and reporting requirements.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Act created an independent regulatory body, the Bureau of Consumer Financial Protection (“Bureau”), with authority and responsibility to set rules and regulations for most consumer protection laws applicable to all banks – large and small – which added another regulator to scrutinize and police financial activities. Transfer to the Bureau of all consumer financial protection functions for designated laws by the other federal agencies was completed in July 2011. The Bureau was given responsibility for mortgage reform and enforcement, as well as broad new powers over consumer financial activities, including consumer financial products and services and how they are provided.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Gramm-Leach-Bliley Financial Modernization Act of 1999 (the “GLB Act”), federal banking regulators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major focus of governmental policy on financial institutions has been aimed at combating money laundering and terrorist financing. The USA PATRIOT Act of 2001 (the “USA Patriot Act”) substantially broadened the scope of United States anti-money laundering laws and regulations by imposing significant new compliance and due diligence obligations, creating new crimes and penalties and expanding the extra-territorial jurisdiction of the United States. The U. S. Treasury Department has issued a number of regulations that apply various requirements of the USA Patriot Act to financial institutions such as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money laundering and terrorist financing, or to comply with all of the relevant laws or regulations, could have serious legal and reputational consequences for the institution.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mortgage rules mandated by the Dodd-Frank Act provisions were enacted in response to the breakdown in the mortgage lending markets and to provide for consumer protections. Final rules issued by the Bureau or jointly with other regulatory agencies implemented requirements under the Dodd-Frank Act regarding mortgage-related matters such as ability-to-repay, qualified mortgage standards, mortgage servicing, mortgage loan originator compensation, escrow requirements for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higher-priced mortgage loans, and providing appraisals. These mortgage rules addressed problems consumers faced in the three major steps in buying a home – shopping for a mortgage, closing on a mortgage, and paying off a mortgage.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Final rules and amendments to the integrated mortgage disclosure rules under the Real Estate Settlement Act (RESPA) and Truth in Lending Act (TILA) became effective in October 2015. The TILA-RESPA Integrated Disclosure rule commonly referred to as TRID combined required disclosures into two single forms: 1) The Loan Estimate which is provided shortly after a mortgage loan application and 2) The Closing Disclosure which is provided prior to loan consummation. In addition, a mandated appraisal notice under the Equal Credit Opportunity Act and the servicing application disclosure under RESPA were also combined into the new integrated disclosures. Process and procedural adjustments were necessary to appropriately implement the new requirements. Implementation to achieve TRID compliance involved extensive collaboration with the Mortgage Loan Origination software vendor, as well as outreach and coordination efforts with real estate agents, attorneys, and closing agents to cultivate preparedness for the new integrated mortgage loan disclosure forms. Amendments to the TRID rules effective in October 2017 with a mandatory compliance in October 2018 were intended to provide further clarity to certain provisions. Remaining attentive to the complexities of the TRID rules ensure practices and procedures remain compliant and not subject the Bank to unnecessary liability.</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Final rules, mostly effective in October 2015, were issued by the Board of Governors of the Federal Reserve System (FRB), the Farm Credit Administration, the Federal Deposit Insurance Corporation (FDIC), the National Credit Union Administration (NCUA), and the Office of the Comptroller of the Currency (OCC) to implement provisions of the Homeowner Flood Insurance Affordability Act of 2014 (HFIAA) and the Biggert-Waters Flood Insurance Reform Act of 2012 (the Biggert-Waters Act). These provisions amended regulations which apply to loans secured by properties located in special flood hazard areas. Final rules for acceptance of private flood insurance policies became effective on July 1, 2019. Fines and penalties continue to be assessed by regulators for non-compliance with flood insurance requirements. A continued focus on adherence to the flood rules and requirements is necessary.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Department of Defense (DOD) rules amending its regulation that implements the Military Lending Act (MLA) became effective in October 2016. The MLA enacted as part of the John Warner National Defense Act of 2007, significantly expanded the scope of the Act to cover all consumer credit except residential mortgages and purchase money loans. Compliance requirements for credit cards became effective in October 2017. Coverage applies to consumer credit defined as “credit offered or extended for personal, family, or household purpose and that is subject to a finance charge or payable by written agreement in more than four installments.” A covered borrower is a consumer who at the time of becoming obligated on a consumer credit transaction or establishing an account for consumer credit, is a covered member or dependent (including a spouse) of a covered member. A covered member is a member of the armed forces serving on active duty or active guard or reserve duty.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Providing a loan to a MLA-covered borrower that exceeds the 36% Military Annual Percentage Rate is prohibited. Any covered loans made without providing proper disclosures or in violation of the MLA is void. Creditors who knowingly or willfully violate the rules could be subject to a fine, imprisonment up to one year or both. Reliance on and collaboration with Loan Origination System vendors for assistance with calculations and required disclosures along with an efficient and effective process for identifying covered borrowers remains the best defense to prevent violations.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TILA Ability to Repay requirements, the Bank meets the criteria to qualify as a small creditor based on the number of first-lien mortgage loans transactions and due to its asset size; however it is not a creditor that operates predominantly in rural or underserved areas. The Bank focuses on Qualified Mortgage (QM) status for mortgage loans originated as they provide certain presumptions of compliance under the Ability to Repay rules adopted under the Dodd-Frank Act. In satisfying QM requirements, any mortgage lender regardless of their size can make loans which are entitled to the QM presumption of compliance. New final rules, effective October 2022, amending the Ability to Repay/Qualified Mortgage Rules were implemented. The General QM Final Rule amended the definition of the QM category to offset the impact of the sunsetting of the temporary Government Sponsored Enterprise (GSE) QMs. The amended General QM loan definition removed the 43% debt-to-income limit, eliminated Appendix Q underwriting standards and any requirement to use them as a qualification for General QM status, and instead implemented price-based thresholds. The Bank's Loan Policy was revised accordingly. For General QM status, applicable to first-lien mortgage loans offered by the Bank, a loan must still observe existing product features, underwriting requirements and limits on points and fees. Since the Bank, on occasion, does make Non-Qualified Mortgages, approvals and originations of both Non-QM loans and Higher Priced Mortgage Loans are periodically reported to the Bank’s Loan Committee.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Revised Regulation C rules which implement the Home Mortgage Disclosure Act (HMDA) published by the Bureau become effective on January 1, 2018 for reportable loan applications. Dodd-Frank Act provisions added new data points for HMDA and authorized the Bureau to require additional information. The types of transactions reportable have expanded to include most consumer purpose transactions that are dwelling-secured loans or open-end lines of credit. Reportable data points were significantly expanded to 52 fields which included applicant age, credit score, automated underwriting system information, property value, application channel, points and fees, borrower-paid origination charges, discount points, lender credits, loan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term, prepayment penalty, interest rate, loan originator identifier, as well as other data fields. Ethnicity categories were expanded to include certain subcategories along with a means to capture information on how an applicant’s or borrower’s ethnicity, race, and sex were collected by the institution. A thorough review and validation of data fields to be reported for each application was conducted throughout the year. Year-end submission of HMDA data utilizes the web-based tool developed by the Bureau. With the expiration of the temporary threshold, the Bank commenced HMDA data collection on certain open-end lines of credit secured by a dwelling with final action taken as of January 1, 2022 or thereafter.</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Enactment of the Economic Growth, Regulatory Relief and Consumer Protection Act (EGRRCPA) on May 24, 2018, resulted in a regulatory reform law deemed to be relief from certain burdensome provisions of the Dodd-Frank Act. The EGRRCPA included provisions with various effective dates, including some that were effective immediately. Matters impacted included access to mortgage credit; access to credit; protections for veterans, consumers, and homeowners; rules for holding companies; capital access; and protections for student borrowers. Though effective immediately, conforming regulations were required for certain provisions such as Reciprocal Deposits, Examination Cycles, and High Volatility Commercial Real Estate (HVCRE). The Protecting Tenants in Foreclosure Act was restored and permanently extended as of June 23, 2018. An interim final rule was jointly issued by the OCC, FRB, and FDIC allowing an extended examination cycle for qualifying insured depository institutions with less than $3 billion in total assets. Effective September 21, 2018, consumers could freeze their credit information and place one-year fraud alerts for free. Additionally, parents can freeze the credit information of their children under age 16 for free. In some instances, regulators still need to issue proposals, provide guidance, and publish final rules for various provisions. Thus, issuance of guidance and final rules must be monitored in order to be effectively implemented.</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Unfair or deceptive acts or practices (UDAP) standards originally developed years ago by the Federal Trade Commission focused on unacceptable practices that may not specifically be addressed elsewhere in banking or consumer finance law. Banking regulatory agencies have increasingly used this authority over the years to address acts or practices that are deemed harmful, deceptive, or misleading to consumers. The authority of the Federal Trade Commission (FTC) for credit practice rules was repealed as a result of the Dodd-Frank Act. Guidance issued collectively by the FDIC, FRB, the Bureau, NCUA, and OCC in August 2014 clearly indicated certain consumer credit practices were not permissible and remained subject to Section 5 of the Federal Trade Commission Act, as well as Sections 1031 and 1036 of the Dodd-Frank Act. The interagency guidance further noted that the Agencies will continue to have supervisory authority and enforcement authority for unfair or deceptive acts or practices, which could include those practices previously addressed in the former credit practices rules. Awareness of UDAP standards, and the Bureau’s unfair, deceptive or abusive acts or practices (UDAAP) in relation to the offering and marketing of Bank products and services remains important.</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Bank is also subject to federal regulation relating to such matters as required reserves, limitation as to the nature and amount of its loans and investments, regulatory approval of any merger or consolidation, issuance or retirement of their own securities, limitations upon the payment of dividends and other aspects of banking operations. In addition, the activities and operations of the Bank are subject to numerous additional detailed, complex and sometimes overlapping laws and regulations. These include state usury and consumer credit laws, state laws relating to fiduciaries, the federal Equal Credit Opportunity Act and Regulation B, the federal Electronic Funds Transfer Act and Regulation E, the federal Fair Credit Reporting Act and Regulation V, the federal Real Estate Settlement Procedures Act (RESPA) and Regulation X, the federal Truth in Lending Act and Regulation Z, the federal Truth in Savings Act and Regulation DD, the Bank Secrecy Act, the federal Community Reinvestment Act, anti-discrimination laws and legislation, and antitrust laws.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 Legislation</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to the laws and regulations, both at the federal and state levels, can affect the operating environment of the Company and its subsidiaries in substantial and unpredictable ways. The Company cannot accurately predict whether those changes in laws and regulations will occur, and, if those changes occur, the ultimate effect they would have upon the financial condition or results of operations of the Company or its subsidiaries.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an Internet web site at the following internet address: www.fm.bank. The Company files reports with the Securities and Exchange Commission (SEC). Because the Company makes its filings with the SEC electronically, you may access such reports at the SEC’s website (www.sec.gov). The Company makes available, free of charge through its internet address, copies of its annual report on Form 10-K, quarterly reports on Form 10-Q, current reports on Form 8-K, and any amendments to these reports as soon as reasonably practicable after such materials have been filed with or furnished to the SEC. Copies of these documents may also be obtained, either in electronic or paper form, by contacting Barbara J. Britenriker, Chief Financial Officer of the Company at (419) 446-2501.</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Competition from an Array of Financial Service Providers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ability to achieve strong financial performance and a satisfactory return on investment to shareholders will depend in part on our ability to expand our available financial services. In addition to the challenge of attracting and retaining customers for traditional banking services, our competitors now include securities dealers, brokers, mortgage bankers, investment advisors and finance and insurance companies who seek to offer one-stop financial services to their customers that may include services that banks have not been able or allowed to offer to their customers in the past. The increasingly competitive environment is a result primarily of changes in regulation, changes in technology and product delivery systems and the accelerating pace of consolidation among financial services providers. If we fail to adequately address each of the competitive pressures in the banking industry, our financial condition and results of operations could be adversely affected.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risk of nonpayment of loans is inherent in commercial banking. Such nonpayment could have an adverse effect on the Company’s earnings and our overall financial condition as well as the value of our common stock. Management attempts to reduce the Bank’s credit exposure by carefully monitoring the concentration of its loans within specific industries and through the loan approval process. However, there can be no assurance that such monitoring and procedures will totally mitigate the risks. Credit losses can cause insolvency and failure of a financial institution and, in such event, its shareholders could lose their entire investment. For more information on the exposure of the Company and the Bank to credit risk, see the section under Part II, Item 7 of this Form 10-K captioned “Loan Portfolio.”</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Dependence upon the Accuracy and Completeness of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deciding whether to extend credit or enter into other transactions with customers and counterparties, we may rely on information furnished by or on behalf of customers and counterparties, including financial statements and other financial information. We also may rely on representations of clients and counterparties as to the accuracy and completeness of that information and, with respect to financial statements, on reports of independent auditors and accountants if made available. If this information is inaccurate, we may be subject to regulatory action, reputational harm or other adverse effects with respect to the operation of our business, our financial condition and our results of operation.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loan portfolio has a large concentration of real estate loans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Real estate loans, which constitute a large portion of our loan portfolio, include home equity, agricultural, commercial, construction and residential loans, and such loans are concentrated in the Bank’s primary markets in Northwest Ohio, Northeast Indiana and complimented with additional exposure in new areas from our LPOs. The market value of real estate can fluctuate significantly in a short period of time as a result of market conditions in the geographic area in which the real estate is located. Adverse developments affecting real estate values in our market could increase the credit risk associated with our loan portfolio. Also, real estate lending typically involves higher loan principal amounts and the repayment of the loans generally is dependent, in large part, on sufficient income from the properties securing the loans to cover operating expenses and debt service. Economic events or governmental regulations outside of the control of the borrower could negatively impact the future cash flow and market values of the affected properties.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loans that are collateralized by real estate become troubled during a time when market conditions are declining or have declined, then we may not be able to realize the amount of security that we anticipated at the time of originating the loan, which could cause us to increase our provision for loan losses and adversely affect our operating results and financial condition.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real estate loans also include construction loans, including land acquisition and development. Construction, land acquisition and development lending involve additional risks because funds are advanced based upon estimates of costs and the estimated value of the completed project. Because of the uncertainties inherent in estimating construction costs, as well as the market value of the completed project and the effects of governmental regulation on real property, it is relatively difficult to evaluate accurately the total funds required to complete a project and the related loan-to-value ratio. As a result, commercial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our appraisal of the value of the completed project proves to be overstated, we may have inadequate security for the repayment of the loan upon completion of construction of the project.</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Payments on agricultural real estate loans are dependent on the profitable operation or management of the farm property securing the loan. The success of the farm may be affected by many factors outside the control of the borrower, including adverse weather conditions that prevent the planting of a crop or limit crop yields (such as hail, drought and floods), loss of livestock due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18"/>
          <w:szCs w:val="18"/>
          <w:color w:val="auto"/>
        </w:rPr>
        <w:t>disease or other factors, declines in market prices for agricultural products (both domestically and internationally) and the impact of government regulations (including changes in price supports, subsidies and environmental regulations). In addition, many farms are dependent on a limited number of key individuals whose injury or death may significantly affect the successful operation of the farm. If the cash flow from a farming operation is diminished, the borrower’s ability to repay the loan may be impaired. The primary crops in our market areas are corn, wheat and soybeans. Accordingly, adverse circumstances affecting these crops could have an adverse effect on our agricultural real estate loan portfolio.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loans make up a significant portion of our loan portfolio</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commercial loans are primarily made based on the identified cash flow of the borrower and secondarily on the underlying collateral provided by the borrower. Repayment of our commercial loans is often dependent on the cash flows of the borrower, which may be unpredictable. Most often, this collateral is accounts receivable, inventory, machinery or real estate. In the case of loans secured by accounts receivable, the availability of funds for the repayment of these loans may be substantially dependent on the ability of the borrower to collect amounts due from its customers. The other types of collateral securing these loans may depreciate over time, may be difficult to appraise and may fluctuate in value based on the success of the business.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originate agricultural operating loans. As with agricultural real estate loans, the repayment of operating loans is dependent on the successful operation or management of the farm property. Likewise, agricultural operating loans involve a greater degree of risk than lending on residential properties, particularly in the case of loans that are unsecured or secured by rapidly depreciating assets such as farm equipment or assets such as livestock or crops. The primary livestock in our market areas is hogs. In these cases, any repossessed collateral for a defaulted loan may not provide an adequate source of repayment of the outstanding loan balance as a result of the greater likelihood of damage, loss or depreciation. The majority of our agricultural customers utilize crop insurance to mitigate the possibility of a large loss within one year on their grain operations. Crop insurance can be structured to be triggered by different factors and claim payment may also be customized, such as based on harvest yields, income generation. Farmers may also use hedging techniques to lock in crop prices, input costs for future production.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Susceptibility to Changes in Regulation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changes to state and federal banking laws and regulations may negatively impact our ability to expand services and to increase the value of our business. We are subject to extensive state and federal regulation, supervision, and legislation that govern almost all aspects of our operations. These laws may change from time to time and are primarily intended for the protection of consumers, depositors and the deposit insurance funds. In addition, the Company’s earnings are affected by the monetary policies of the Board of Governors of the Federal Reserve. These policies, which include regulating the national supply of bank reserves and bank credit, can have a major effect upon the source and cost of funds and the rates of return earned on loans and investments. The Federal Reserve influences the size and distribution of bank reserves through its open market operations and changes in cash reserve requirements against member bank deposits. We cannot predict what effect any presently contemplated or future changes in the laws or regulations or their interpretations would have on us, but such changes could be materially adverse to our financial performance. For more information on this subject, see the section under Part I, Item 1 of this Form 10-K captioned “Supervision and Regulation.”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U.S. Trade Policies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2018 through 2022, the U.S. government implemented tariffs on certain products from countries or entities such as Mexico, Canada, China and the European Union. These countries have issued or continue to threaten retaliatory tariffs against products from the United States, including agricultural products. The United States and these countries may impose additional tariffs and retaliatory tariffs in the future. Tariffs, retaliatory tariffs or other trade restrictions on products and materials that our customers import or export, including agricultural products such as soybeans, could cause the prices of our customers’ products to increase which could reduce demand for such products, or reduce our customer margins, and adversely impact their revenues, financial results and ability to service debt. This could adversely affect our financial condition and results of operations. In addition, to the extent changes in the political environment have a negative impact on us or on the markets in which we operate, our business, results of operations and financial condition could be materially and adversely impacted in the future. In January 2020, passage of the United States-Mexico-Canada (USMCA) trade agreement helped to alleviate some of these risks. The USMCA updates trading rules to better reflect 21st century technology, regulates labor and environmental standards in Mexico, tightens the rules the auto industry must follow to trade vehicles duty free across the three countries and provides tariff-free trade in North America.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and Geopolitical Instability and Inflationary Risks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Instability in global economic conditions and geopolitical matters, as well as volatility in financial markets, could have a material adverse effect on the Company’s results of operations and financial condition. The macroeconomic environment in the United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States is susceptible to global events and volatility in financial markets. For example, global demand for products continues to exceed supply during the economic recovery from the COVID-19 pandemic, creating significant inflationary pressures which, in turn, may adversely impact regional and global economic conditions, as well as the Company’s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Changes in interest rates affect our operating performance and financial condition in diverse ways. Our profitability depends in substantial part on our “net interest spread,” which is the difference between the rates we receive on loans and investments and the rates we pay for deposits and other sources of funds. Our net interest spread will depend on many factors that are partly or entirely outside our control, including competition, federal economic, monetary and fiscal policies, and economic conditions generally. Historically, net interest spreads for other financial institutions have widened and narrowed in response to these and other factors, which are often collectively referred to as “interest rate risk.” After many years of a low and flat rate environment, the Federal Reserve began increasing the Federal Funds rate in 2015. The Company did not experience improvement in its asset yield on loans until such time that the rate increases enabled the loan rates to rise above the floors which had been on the majority of the variable rate loans. During 2017, the increasing rates, having reached over 100 basis points, triggered rate changes above the floors and the Company experienced improvement in the interest spread. The improvement in the net interest spread during 2017 through 2019 directly correlated to the improvement of the Bank’s loan to asset ratio. The Federal Reserve began decreasing the Federal Funds rate in the second half of 2019, and made further cuts in 2020, which contributed to a deterioration in the interest rate spread in 2020 and continued in 2021. The Federal Reserve began increasing the Federal Funds rate in 2022 in an effort to tame inflation. These seven rate increases totaling 425 basis points have negatively impacted our loan revenue.</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Bank manages interest rate risk within an overall asset/liability framework. The principal objectives of asset/liability management are to manage sensitivity of net interest spreads and net interest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For more information regarding the Company’s exposure to interest rate risk, see Part II, Item 7A of this Form 10-K.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Attraction and Retention of Key Personnel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upon the continued service of our senior management team and upon our ability to attract and retain qualified financial services personnel. Competition for qualified employees is intense. In our experience, it can take a significant period of time to identify and hire personnel with the combination of skills and attributes required in carrying out our strategy. If we lose the services of our key personnel or are unable to attract additional qualified personnel, our business, financial condition, results of operations and cash flows could be adversely affected.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key component of employee retention is providing a fair compensation base combined with the opportunity for additional compensation for above average performance. In this regard, the Company and the Bank use two incentive programs. The Company uses a stock award program to recognize and incentivize officers of the Bank. Under the long-term incentive compensation plan, restricted stock awards may be granted to officers. The amount of shares to be granted each year is determined by the Board Compensation Committee and may vary each year in its amount of shares and the number of recipients. The Compensation Committee determines the number of shares to be awarded overall and to the Chief Executive Officer (“CEO”) specifically. The CEO then makes recommendations to the committee as to the recipients of the remaining shares. The full Board of Directors approves the action of the Committee. Since the plan’s inception in 2005, all granted stock awards have utilized a three year cliff vesting feature. This is viewed as a retention aid as the awards may be forfeited should an officer leave employment during the vesting period.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second incentive program of the Bank is based on cash compensation of which almost all employees participate (excluding commission based employees and other employees paid for specific higher paid positions, such as peak time). A discussion of executive officer pay is incorporated within the proxy and as such, this discussion will pertain to all other employees. Non-officer employees are paid a cash incentive based on the projected overall performance of the Bank in terms of Return of Average Assets (“ROA”) and the achievement of pre-established team and/or individual goals. The Compensation Committee determines the target performance levels on which the percentage of pay will be based. The Committee takes into account the five and ten year trend of ROA along with budget forecasted for the next year and the Bank’s past year performance. The Committee also considers the predicted banking environment under which the Bank will be operating. With the formation of the Captive, the ROA goal has been exclusive of the effect of the additional insurance expense at the Bank level, as well as other expenses as agreed upon by the Compensation Committee. The majority of non-officers receive incentive pay in December of the same year based on the year-to-date base compensation through the last pay received in November.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8"/>
          <w:szCs w:val="18"/>
          <w:color w:val="auto"/>
        </w:rPr>
        <w:t>Officers, other than executive officers, and specified non-officers based on their Job Roles (“non-executive officers”) receive incentive pay based on additional criterion. These individuals are rewarded based on overall ROA of the Bank along with individual pre-established goals. Non-executive officers, therefore, have incentive pay at risk for individual performance. The individualized goals are recommended by each individual’s supervisor and are approved by an incentive committee of the Bank. The goals are designed to improve the performance of the Bank while also limiting the risk of a short-term performance focus. For example, a lending officer may be given two goals of which one is to grow loans within specific targets and another is tied to a specific level of past dues and charge-offs. The second goal limits the ability to be rewarded for growth at all costs along with the specific target levels within the growth goal itself. Non-executive officers in a support department may be given goals which create efficiencies, ensure compliance with procedures, or generate new fee or product opportunities. On average, three to four goals were given to each non-executive officer in 2022. Non-executive officers are paid cash incentives based on the year-end ROA of the Bank and receive it within the first quarter of the following year. Should the ROA be forecasted to be positive but below the base target set by the Board, the covered non-executive officers are paid an incentive under the same basis and timing as non-officers disclosed above.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percentages of base pay on which the incentive is calculated graduates higher as does the responsibility level of the employee and their ability to impact the financial performance of the Bank. These percentages are recommended by management to the Compensation Committee and Board for approval. The cash incentive plan along with its targets and goals are subject to modification at the Compensation Committee and Board’s discretion throughout each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Payout Restrictions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pay a quarterly dividend on our common shares. However, there is no assurance that we will be able to pay dividends in the future. Dividends are subject to determination and declaration by our Board of Directors, which takes into account many factors. The declaration of dividends by us on our common stock is subject to the discretion of our Board and to applicable state and federal regulatory limitations. The Company may receive dividends from the Bank which is subject to restrictions and limitations in the amount and timing of the dividends it may pay to the Company. The Bank has been declaring additional dividends each quarter to provide this liquidity to the Company. The Captive also upstreams dividends to the Company when reserve levels are adequately provided for and may not exceed the net income of the prior twelve months. Please see Note 16 in the notes to consolidated financial statements for additional information on dividend payout restrictions.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Maintaining Compliance with Regulatory Capital Requirements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regulatory capital adequacy guidelines, we must meet guidelines that involve quantitative measures of assets, liabilities and certain off-balance sheet items. Failure to meet minimum capital requirements could have a material effect on our financial condition and could subject us to a variety of enforcement actions, as well as certain restrictions on our business. Failure to maintain the status of “well-capitalized” under the regulatory framework could adversely affect the confidence that our customers have in us, which may lead to a decline in the demand for or a reduction in the prices that we are able to charge for our products and services. Failure to meet the guidelines could also limit our access to liquidity sources.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 to New Capital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at some point need to raise additional capital to maintain our “well-capitalized” status. Any capital we obtain may result in the dilution of the interests of existing holders of our stock. Our ability to raise additional capital, if needed, will depend on conditions in the capital markets at that time, which are outside our control, and on our financial condition and performance. Accordingly, we cannot make assurances of our ability to raise additional capital if needed, or if the terms will be acceptable to 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Provisions of our Articles of Incorporation and Ohio law could have the effect of discouraging takeover attempts which certain stockholders might deem to be in their interest. These anti-takeover provisions may make us a less attractive target for a takeover bid or merger, potentially depriving shareholders of an opportunity to sell their shares of common stock at a premium over prevailing market prices as a result of a takeover bid or merger.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Environmental Laws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significant portion of our loan portfolio is secured by real property. We may foreclose on and take title to certain real property. There is a risk that hazardous substances could be found on the property and we may be liable for remediation costs, personal injury and/or property damage. We may incur substantial expenses to comply with environmental laws which may materially reduce the property's value or limit our ability to dispose of the property. The remediation costs and any other financial liabilities associated with the property could have a material adverse effect on our financial condition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Technological Change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industry is susceptible to significant technological changes in the future as there continue to be a high level of new technology driven products and services introduced. Technological advancement aids the Company in providing customer service and increases efficiency. Our national competitors have more resources to invest in technological changes and associated required resources. As a result, they may be able to offer products and services that are more technologically advanced and that may put us at a competitive disadvantage. Our future depends on our ability to analyze technological changes to determine the best course of action for our business, customers and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operational risks, including, but not limited to, data processing system failures and errors, customer or employee fraud and catastrophic failures resulting from terrorist acts or natural disasters. We maintain a system of internal controls to mitigate against such occurrences and maintain insurance coverage for such risks that are insurable, but should such an event occur that is not prevented or detected by our internal controls, uninsured or in excess of applicable insurance limits, it could have a significant adverse impact on our business, financial condition or results of operations.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are dependent on our ability to process financial transactions in a secure manner. Failure in or breach of our operational or security systems or infrastructure, or those of our third-party vendors and other service providers, could disrupt our business or the businesses of our customers, result in the disclosure or misuse of confidential or proprietary information, damage our reputation, increase our costs and cause losses. We must ensure that information is properly protected from a variety of threats such as cyber attacks, error, fraud, sabotage, terrorism, industrial espionage, privacy violation, service interruption, and natural disaster. These threats arise from numerous sources including human error, fraud on the part of employees or third parties, technological failure, telecommunication outages, and severe weather conditions. Information security risks for financial institutions like us have increased recently in part because of new technologies, the increased use of the internet and telecommunications technologies (including mobile devices and cloud computing) to conduct financial and other business transactions, political activism, and the increased sophistication and activities of organized crime. Although we employ detection and response mechanisms designed to contain and mitigate security incidents, early detection may be thwarted by persistent sophisticated attacks and malware designed to avoid detection.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face risks related to cyber attacks and other security breaches in connection with card transactions that typically involve the transmission of sensitive information regarding our customers through various third parties. Some of these parties have in the past been the target of security breaches and cyber attacks, and because the transactions involve third parties and environments that we do not control or secure, future security breaches or cyber attacks affecting any of these third parties could impact us through no fault of our own, and in some cases we may have exposure and suffer losses for breaches or attacks relating to them. We also rely on numerous other third party service providers to conduct other aspects of our business operations and face similar risks relating to them. While we conduct security assessments on our higher risk third party service providers, we cannot be sure that their information security protocols are sufficient to withstand a cyber attack or other security breach. There can be no assurance that cyber incidents will not occur and they could occur more frequently and on a more significant scale.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devote significant resources to implement, maintain, monitor and regularly upgrade our systems and networks with measures such as intrusion detection and prevention and firewalls to safeguard critical business applications. The additional cost to the Company of our cyber security monitoring and protection systems and controls includes the cost of hardware and software, third party technology providers, consulting, and legal fees, in addition to the incremental cost of our personnel who focus a substantial portion of their responsibilities on cyber security. In addition, because cyber attacks can change frequently we may be unable to implement effective preventive or proactive measures in time. With the assistance of third-party service providers, we intend to continue to implement security technology and establish procedures to maintain network security, but there is no assurance that these measures will be successful. As cyber threats continue to evolve, we may be required to expend significant additional resources to continue to modify or enhance our protective measures or to investigate and remediate any information security vulnerabilities.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activity that jeopardizes our network and the security of the information stored thereon may result in significant cost and have a significant adverse effect on our reputation. We maintain insurance coverage that may, subject to policy terms and conditions, cover certain aspects of cyber risks. Such insurance coverage may be insufficient to cover all losses.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successful cyber attack or other security breach involving the misappropriation or other unauthorized disclosure of confidential customer information or that compromises our ability to function could severely damage our reputation, erode confidence in the security of our systems, products and services, expose us to the risk of litigation and liability, disrupt our operations and have a material adverse effect on our business. Any successful cyber attack may also subject the Company to regulatory investigations, litigation or enforcement, or require the payment of regulatory fines or penalties or undertaking costly remediation efforts with respect to third parties affected by a cyber security incident, all or any of which could adversely affect the Company’s business, financial condition or results of operations and damage its reputation.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We are constantly at risk of increased losses from fraud</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Criminals are committing fraud at an increasing rate and are using more sophisticated techniques. In some cases, these individuals are part of larger criminal rings, which allow them to be more effective. Such fraudulent activity has taken many forms, ranging from debit card fraud, check fraud, mechanical devices attached to ATM machines, social engineering and phishing attacks to obtain personal information, or impersonation of clients through the use of falsified or stolen credentials. Additionally, an individual or business entity may properly identify itself, yet seek to establish a business relationship for the purpose of perpetrating fraud. An emerging type of fraud even involves the creation of synthetic identification in which fraudsters "create" individuals for the purpose of perpetrating fraud. Further, in addition to fraud committed directly against us, the Company may suffer losses as a result of fraudulent activity committed against third parties. Increased deployment of technologies, such as chip card technology and dual authentication, defray and reduce certain aspects of fraud; however, criminals are turning to other sources to steal personally identifiable information, such as unaffiliated healthcare providers and government entities, in order to impersonate the consumer and thereby commit fraud.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Inadequacy of our Allowance for Loan Losses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Like all financial institutions, we maintain an allowance for loan losses to provide for loan defaults and non-performance. Our allowance for loan losses is based on our historical loss experience as well as an evaluation of the risks associated with our loan portfolio, including the size and composition of the loan portfolio, current economic conditions and concentrations within the portfolio. The determination of the appropriate level of the allowance for loan losses inherently involves a high degree of subjectivity and requires us to make significant estimates of current credit risks and future trends, all of which may undergo material changes. Economic conditions affecting borrowers, new information regarding existing loans, identification of additional problem loans and other factors, both within and outside of our control, may require an increase in the allowance for loan losses. In addition, bank regulatory agencies periodically review our allowance for loan losses and may require an increase in the provision for loan losses or the recognition of further loan charge-offs, based on judgments different than those of management. In addition, if charge-offs in future periods exceed expectations, we will need additional provisions to increase the allowance for loan losses. Any increases in the allowance for loan losses may result in a decrease in net income and capital and may have a material adverse effect on our financial condition and results of operations.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2016-13, "Financial Instruments - Credit Losses (Topic 326), Measurement of Credit Losses on Financial Instruments," which replaces the current "incurred loss" model for recognizing credit losses with an "expected loss" model referred to as the Current Expected Credit Loss model, or “CECL.” Under the CECL model, we will be required to present certain financial assets carried at amortized cost, such as loans held for investment and held-to-maturity debt securities, at the net amount expected to be collected. The measurement of expected credit losses is to be based on information about past events, including historical experience, current conditions, and reasonable and supportable forecasts that affect the collectability of the reported amount. This measurement will take place at the time the financial asset is first added to the balance sheet and periodically thereafter. This differs significantly from the "incurred loss" model required under current GAAP, which delays recognition until it is probable a loss has been incurred. Accordingly, we expect that the adoption of the CECL model will materially affect how we determine our allowance for loan losses and could require us to significantly increase our allowance. Moreover, the CECL model may create more volatility in the level of our allowance for loan losses. If we are required to increase our level of allowance for loan losses for any reason, such increase could adversely affect our business, financial condition and results of operations.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new CECL standard will become effective for us for fiscal years beginning after December 15, 2022 and for interim periods during 2023. Please see Note 1 in the notes to consolidated financial statements for additional information.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Attraction of Deposits and other Short-term Funding</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managing our liquidity, our primary source of short-term funding is customer deposits. Our ability to continue to attract these deposits, and other short-term funding sources, is subject to variability based upon a number of factors, including the relative interest rates we are prepared to pay for these liabilities and the perception of safety of those deposits or short-term obligations relative to alternative short-term investments. The availability and cost of credit in short-term markets depends upon market perceptions of our liquidity and creditworthiness. Our efforts to monitor and manage liquidity risk may not be successful or sufficient to deal with dramatic or unanticipated changes in event-driven reductions in liquidity. In such events, our cost of funds may increase, thereby reducing our net interest revenue, or we may need to dispose of a portion of our investment portfolio, which, depending on market conditions, could result in our realizing a loss or experiencing other adverse consequences.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Vendor Relationship Risk</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rely on third-party vendors to provide key components of our business operations such as data processing, recording and monitoring transactions, online and mobile banking interfaces and services, internet connections and network access. While we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have performed due diligence procedures in selecting vendors, we do not control their actions. In the event that one or more of our vendors suffers a bankruptcy or otherwise becomes unable to continue to provide products or services or fails to protect non-public personal information of our customers or employees, we may suffer operational impairments, reputational damage and financial losses. Replacing these third-party vendors could create significant delay and expense. Accordingly, use of such third parties creates an inherent risk to our business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ongoing COVID-19 pandemic and measures intended to prevent its spread could have a material adverse effect on our business, results of operations and financial condition, and such effects will depend on future developments, which are highly uncertain and are difficult to predict.</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2019, a novel coronavirus (COVID-19) was reported in China, and, in March 2020, the World Health Organization declared it a pandemic. On March 12, 2020, the President of the United States declared the COVID-19 outbreak in the United States a national emergency. The COVID-19 pandemic has caused significant economic dislocation in the United States as many state and local governments have ordered non-essential businesses to close and residents to shelter in place at home. This has resulted in an unprecedented slow-down in economic activity and a related increase in unemployment. Since the COVID-19 outbreak an unprecedented number of individuals have filed claims for unemployment, and stock markets have experienced significant volatility, with bank stocks suffering significant declines in value. In response to the COVID-19 outbreak, the Federal Reserve Board reduced the benchmark fed funds rate to a target range of 0% to 0.25%, and the yields on 10 and 30-year treasury notes declined to historic lows. The federal banking agencies encouraged financial institutions to prudently work with affected borrowers and passed legislation to provide relief from reporting loan classifications due to modifications related to the COVID-19 outbreak.</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ongoing development of variants has led to continued modifications to our business practices, including employee travel, employee work locations, and cancellation of physical participation in meetings, events and conferences. We may take further actions as may be required by government authorities or that we determine are in the best interests of our employees, customers and business partners. There is no certainty that such measures will be sufficient to mitigate the risks posed by the virus or will otherwise be satisfactory to government authorities. In addition, the success of our operations substantially depends on the management skills of our executive officers and directors, many of whom have held officer and director positions with us for many years. The unanticipated loss or unavailability of key employees due to the continued outbreak could harm our ability to operate our business or execute our business strategy.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the ongoing and dynamic nature of the circumstances, it is difficult to predict the full impact of the COVID-19 outbreak on our business. As the result, we could be subject to any of the following risks, any of which could have a material, adverse effect on our business, financial condition, liquidity, and results of operations:</w:t>
      </w:r>
    </w:p>
    <w:p>
      <w:pPr>
        <w:spacing w:after="0" w:line="176"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may decline, making it difficult to grow assets and income;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government intervention forces a new wave of economic shutdowns, levels of unemployment continue for an extended period of time, loan delinquencies, problem assets, and foreclosures may increase, resulting in increased charges and reduced income;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for loans, especially real estate, may decline in value, which could cause loan losses to increase;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allowance for loan losses may have to be increased if borrowers experience financial difficulties beyond forbearance periods, which will adversely affect our net income;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worth and liquidity of loan guarantors may decline, impairing their ability to honor commitments to us;</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result of the decline in the Federal Reserve Board’s target federal funds rate, the yield on our assets may decline to a greater extent than the decline in our cost of interest-bearing liabilities, reducing our net interest margin and spread and reducing net income;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decrease in net income or a net loss over several quarters could result in a decrease in the rate of our quarterly cash dividend;</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party vendors for certain services and the unavailability of a critical service due to the COVID-19 outbreak could have an adverse effect on us;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Deposit Insurance Corporation premiums may increase if the agency experiences additional resolution costs.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one or a combination of the factors identified above could negatively impact our business, financial condition and results of operations and prospects. In addition, ongoing labor shortages and supply chain disruptions associated with the pandemic may continue to negatively impact economic conditions, both nationally and regionally within our geographic banking markets. And while circumstances surrounding the pandemic have stabilized somewhat over prior fiscal, with relative widespread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7" w:name="page18"/>
    <w:bookmarkEnd w:id="17"/>
    <w:p>
      <w:pPr>
        <w:jc w:val="both"/>
        <w:spacing w:after="0" w:line="282" w:lineRule="auto"/>
        <w:rPr>
          <w:sz w:val="20"/>
          <w:szCs w:val="20"/>
          <w:color w:val="auto"/>
        </w:rPr>
      </w:pPr>
      <w:r>
        <w:rPr>
          <w:rFonts w:ascii="Times New Roman" w:cs="Times New Roman" w:eastAsia="Times New Roman" w:hAnsi="Times New Roman"/>
          <w:sz w:val="18"/>
          <w:szCs w:val="18"/>
          <w:color w:val="auto"/>
        </w:rPr>
        <w:t>vaccination rates, it is still impossible to determine the overall impact that the pandemic will have on the overall economy or predict whether future variants of COVID-19 or other infectious diseases will cause further widespread disruptions.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 Trading Market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its shares of stock listed and traded on the NASDAQ Capital Market. The Company’s trading symbol is “FMAO.”</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office is located in Archbold, Ohio.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operates from its principal office located at 307 North Defiance Street, Archbold, Ohio. In addition, the Bank owns the property from 200 to 208 Ditto Street, Archbold, Ohio, which it uses for Bank parking and a community mini-park area. The Bank owns real estate at two locations, 207 Ditto Street and 209 Ditto Street in Archbold, Ohio upon which the bank built a commercial building to be used for storage, and a parking lot for company vehicles and employee parking. The Bank also owns real estate across from the main facilities to provide for parking.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occupies an Operations Center at 620 S. Clyde’s Way in Archbold, Ohio to accommodate our growth over the years which includes drive-up services. The Bank owns a parking lot in downtown Montpelier which is provided for community use.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owns all of its office locations, with the exception of Angola, Indiana, Bowling Green, Ohio and Bluffton, Indiana. These three office locations are leased.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currently maintains retail banking offices at the following locations: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w:t>
            </w:r>
          </w:p>
        </w:tc>
        <w:tc>
          <w:tcPr>
            <w:tcW w:w="710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Location</w:t>
            </w:r>
          </w:p>
        </w:tc>
      </w:tr>
      <w:tr>
        <w:trPr>
          <w:trHeight w:val="20"/>
        </w:trPr>
        <w:tc>
          <w:tcPr>
            <w:tcW w:w="1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63"/>
        </w:trPr>
        <w:tc>
          <w:tcPr>
            <w:tcW w:w="1380" w:type="dxa"/>
            <w:vAlign w:val="bottom"/>
          </w:tcPr>
          <w:p>
            <w:pPr>
              <w:spacing w:after="0"/>
              <w:rPr>
                <w:sz w:val="22"/>
                <w:szCs w:val="22"/>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Archbold, Ohio</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307</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 Defiance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Wauseon, Ohio</w:t>
            </w:r>
          </w:p>
        </w:tc>
        <w:tc>
          <w:tcPr>
            <w:tcW w:w="710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1130 N Shoop Avenue</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Stryker, Ohio</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300</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Defiance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 Unity, Ohio</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200</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 Jackson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Bryan, Ohio</w:t>
            </w:r>
          </w:p>
        </w:tc>
        <w:tc>
          <w:tcPr>
            <w:tcW w:w="16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1000</w:t>
            </w: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Main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Delta, Ohio</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101</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Main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Montpelier, Ohio</w:t>
            </w:r>
          </w:p>
        </w:tc>
        <w:tc>
          <w:tcPr>
            <w:tcW w:w="710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1150 E Main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Napoleon, Ohio</w:t>
            </w:r>
          </w:p>
        </w:tc>
        <w:tc>
          <w:tcPr>
            <w:tcW w:w="16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2255</w:t>
            </w: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Swanton, Ohio</w:t>
            </w:r>
          </w:p>
        </w:tc>
        <w:tc>
          <w:tcPr>
            <w:tcW w:w="710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7 Turtle Creek Circle</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Defiance, Ohio</w:t>
            </w:r>
          </w:p>
        </w:tc>
        <w:tc>
          <w:tcPr>
            <w:tcW w:w="710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1175 Hotel Drive</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Perrysburg, Ohio</w:t>
            </w:r>
          </w:p>
        </w:tc>
        <w:tc>
          <w:tcPr>
            <w:tcW w:w="16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7001</w:t>
            </w: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Lighthouse Way</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Butler, Indiana</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200</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 Broadway</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Auburn, Indiana</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403</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Erie Pass</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Angola, Indiana</w:t>
            </w:r>
          </w:p>
        </w:tc>
        <w:tc>
          <w:tcPr>
            <w:tcW w:w="16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2310</w:t>
            </w: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 Wayne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Hicksville, Ohio</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100</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 Main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Waterville, Ohio</w:t>
            </w:r>
          </w:p>
        </w:tc>
        <w:tc>
          <w:tcPr>
            <w:tcW w:w="16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8720</w:t>
            </w: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Waterville-Swanton Road</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Custar, Ohio</w:t>
            </w:r>
          </w:p>
        </w:tc>
        <w:tc>
          <w:tcPr>
            <w:tcW w:w="710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22973 Defiance Pike</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Sylvania, Ohio</w:t>
            </w:r>
          </w:p>
        </w:tc>
        <w:tc>
          <w:tcPr>
            <w:tcW w:w="16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5830</w:t>
            </w: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Monroe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 Wayne, Indiana</w:t>
            </w:r>
          </w:p>
        </w:tc>
        <w:tc>
          <w:tcPr>
            <w:tcW w:w="710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12106 Lima Road</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Bowling Green, Ohio</w:t>
            </w:r>
          </w:p>
        </w:tc>
        <w:tc>
          <w:tcPr>
            <w:tcW w:w="16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1072</w:t>
            </w: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 Main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Findlay, Ohio</w:t>
            </w:r>
          </w:p>
        </w:tc>
        <w:tc>
          <w:tcPr>
            <w:tcW w:w="16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1660</w:t>
            </w: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Tiffin Avenue</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Geneva, Indiana</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215</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East Line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Monroe, Indiana</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150</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 Washington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Berne, Indiana</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718</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US Highway 27 N</w:t>
            </w:r>
          </w:p>
        </w:tc>
      </w:tr>
      <w:tr>
        <w:trPr>
          <w:trHeight w:val="232"/>
        </w:trPr>
        <w:tc>
          <w:tcPr>
            <w:tcW w:w="138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Portland, Indiana</w:t>
            </w:r>
          </w:p>
        </w:tc>
        <w:tc>
          <w:tcPr>
            <w:tcW w:w="16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1451</w:t>
            </w: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 Meridian Street</w:t>
            </w:r>
          </w:p>
        </w:tc>
      </w:tr>
      <w:tr>
        <w:trPr>
          <w:trHeight w:val="263"/>
        </w:trPr>
        <w:tc>
          <w:tcPr>
            <w:tcW w:w="1380" w:type="dxa"/>
            <w:vAlign w:val="bottom"/>
          </w:tcPr>
          <w:p>
            <w:pPr>
              <w:spacing w:after="0"/>
              <w:rPr>
                <w:sz w:val="22"/>
                <w:szCs w:val="22"/>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Decatur, Indiana</w:t>
            </w:r>
          </w:p>
        </w:tc>
        <w:tc>
          <w:tcPr>
            <w:tcW w:w="16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1061</w:t>
            </w:r>
          </w:p>
        </w:tc>
        <w:tc>
          <w:tcPr>
            <w:tcW w:w="5500" w:type="dxa"/>
            <w:vAlign w:val="bottom"/>
            <w:gridSpan w:val="2"/>
          </w:tcPr>
          <w:p>
            <w:pPr>
              <w:ind w:left="40"/>
              <w:spacing w:after="0" w:line="263" w:lineRule="exact"/>
              <w:rPr>
                <w:sz w:val="20"/>
                <w:szCs w:val="20"/>
                <w:color w:val="auto"/>
              </w:rPr>
            </w:pPr>
            <w:r>
              <w:rPr>
                <w:rFonts w:ascii="Times New Roman" w:cs="Times New Roman" w:eastAsia="Times New Roman" w:hAnsi="Times New Roman"/>
                <w:sz w:val="18"/>
                <w:szCs w:val="18"/>
                <w:color w:val="auto"/>
              </w:rPr>
              <w:t>S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Street</w:t>
            </w:r>
          </w:p>
        </w:tc>
      </w:tr>
      <w:tr>
        <w:trPr>
          <w:trHeight w:val="234"/>
        </w:trPr>
        <w:tc>
          <w:tcPr>
            <w:tcW w:w="138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Fort Wayne, Indiana</w:t>
            </w:r>
          </w:p>
        </w:tc>
        <w:tc>
          <w:tcPr>
            <w:tcW w:w="160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w w:val="99"/>
              </w:rPr>
              <w:t>7370</w:t>
            </w:r>
          </w:p>
        </w:tc>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Illinois Road</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Ossian, Indiana</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102</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 Jefferson</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Bluffton, Indiana</w:t>
            </w:r>
          </w:p>
        </w:tc>
        <w:tc>
          <w:tcPr>
            <w:tcW w:w="7100" w:type="dxa"/>
            <w:vAlign w:val="bottom"/>
            <w:gridSpan w:val="5"/>
          </w:tcPr>
          <w:p>
            <w:pPr>
              <w:ind w:left="1220"/>
              <w:spacing w:after="0"/>
              <w:rPr>
                <w:sz w:val="20"/>
                <w:szCs w:val="20"/>
                <w:color w:val="auto"/>
              </w:rPr>
            </w:pPr>
            <w:r>
              <w:rPr>
                <w:rFonts w:ascii="Times New Roman" w:cs="Times New Roman" w:eastAsia="Times New Roman" w:hAnsi="Times New Roman"/>
                <w:sz w:val="18"/>
                <w:szCs w:val="18"/>
                <w:color w:val="auto"/>
              </w:rPr>
              <w:t>111 E Oak Forest Drive</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Urbana, Ohio</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120</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 Main Street</w:t>
            </w:r>
          </w:p>
        </w:tc>
      </w:tr>
      <w:tr>
        <w:trPr>
          <w:trHeight w:val="243"/>
        </w:trPr>
        <w:tc>
          <w:tcPr>
            <w:tcW w:w="1380" w:type="dxa"/>
            <w:vAlign w:val="bottom"/>
          </w:tcPr>
          <w:p>
            <w:pPr>
              <w:spacing w:after="0"/>
              <w:rPr>
                <w:sz w:val="21"/>
                <w:szCs w:val="21"/>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Sidney, Ohio</w:t>
            </w:r>
          </w:p>
        </w:tc>
        <w:tc>
          <w:tcPr>
            <w:tcW w:w="15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101</w:t>
            </w:r>
          </w:p>
        </w:tc>
        <w:tc>
          <w:tcPr>
            <w:tcW w:w="5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 Court Street</w:t>
            </w:r>
          </w:p>
        </w:tc>
      </w:tr>
      <w:tr>
        <w:trPr>
          <w:trHeight w:val="446"/>
        </w:trPr>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15"/>
        </w:trPr>
        <w:tc>
          <w:tcPr>
            <w:tcW w:w="1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Anna, Ohio</w:t>
            </w: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403 S Pike Street</w:t>
            </w:r>
          </w:p>
        </w:tc>
      </w:tr>
      <w:tr>
        <w:trPr>
          <w:trHeight w:val="243"/>
        </w:trPr>
        <w:tc>
          <w:tcPr>
            <w:tcW w:w="530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Jackson Center, Ohio</w:t>
            </w:r>
          </w:p>
        </w:tc>
        <w:tc>
          <w:tcPr>
            <w:tcW w:w="28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115 E Pike Street</w:t>
            </w:r>
          </w:p>
        </w:tc>
      </w:tr>
      <w:tr>
        <w:trPr>
          <w:trHeight w:val="446"/>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offices except the Butler, Indiana location have onsite ATM services.</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32"/>
        </w:trPr>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Bank’s LPOs are at the following locations:</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05"/>
        </w:trPr>
        <w:tc>
          <w:tcPr>
            <w:tcW w:w="16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w w:val="93"/>
              </w:rPr>
              <w:t>LPO</w:t>
            </w:r>
          </w:p>
        </w:tc>
        <w:tc>
          <w:tcPr>
            <w:tcW w:w="3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Location</w:t>
            </w:r>
          </w:p>
        </w:tc>
      </w:tr>
      <w:tr>
        <w:trPr>
          <w:trHeight w:val="20"/>
        </w:trPr>
        <w:tc>
          <w:tcPr>
            <w:tcW w:w="16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63"/>
        </w:trPr>
        <w:tc>
          <w:tcPr>
            <w:tcW w:w="1660" w:type="dxa"/>
            <w:vAlign w:val="bottom"/>
          </w:tcPr>
          <w:p>
            <w:pPr>
              <w:spacing w:after="0"/>
              <w:rPr>
                <w:sz w:val="22"/>
                <w:szCs w:val="22"/>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Muncie, Indiana</w:t>
            </w:r>
          </w:p>
        </w:tc>
        <w:tc>
          <w:tcPr>
            <w:tcW w:w="560" w:type="dxa"/>
            <w:vAlign w:val="bottom"/>
          </w:tcPr>
          <w:p>
            <w:pPr>
              <w:spacing w:after="0"/>
              <w:rPr>
                <w:sz w:val="22"/>
                <w:szCs w:val="22"/>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1208 W White River Boulevard</w:t>
            </w:r>
          </w:p>
        </w:tc>
      </w:tr>
      <w:tr>
        <w:trPr>
          <w:trHeight w:val="243"/>
        </w:trPr>
        <w:tc>
          <w:tcPr>
            <w:tcW w:w="166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Oxford, Ohio</w:t>
            </w:r>
          </w:p>
        </w:tc>
        <w:tc>
          <w:tcPr>
            <w:tcW w:w="56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 N Beech Street</w:t>
            </w:r>
          </w:p>
        </w:tc>
      </w:tr>
      <w:tr>
        <w:trPr>
          <w:trHeight w:val="243"/>
        </w:trPr>
        <w:tc>
          <w:tcPr>
            <w:tcW w:w="166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Bryan, Ohio</w:t>
            </w:r>
          </w:p>
        </w:tc>
        <w:tc>
          <w:tcPr>
            <w:tcW w:w="56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206 W High Street</w:t>
            </w:r>
          </w:p>
        </w:tc>
      </w:tr>
      <w:tr>
        <w:trPr>
          <w:trHeight w:val="243"/>
        </w:trPr>
        <w:tc>
          <w:tcPr>
            <w:tcW w:w="1660" w:type="dxa"/>
            <w:vAlign w:val="bottom"/>
          </w:tcPr>
          <w:p>
            <w:pPr>
              <w:spacing w:after="0"/>
              <w:rPr>
                <w:sz w:val="21"/>
                <w:szCs w:val="21"/>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 Bloomfield, Michigan</w:t>
            </w:r>
          </w:p>
        </w:tc>
        <w:tc>
          <w:tcPr>
            <w:tcW w:w="560" w:type="dxa"/>
            <w:vAlign w:val="bottom"/>
          </w:tcPr>
          <w:p>
            <w:pPr>
              <w:spacing w:after="0"/>
              <w:rPr>
                <w:sz w:val="21"/>
                <w:szCs w:val="21"/>
                <w:color w:val="auto"/>
              </w:rPr>
            </w:pPr>
          </w:p>
        </w:tc>
        <w:tc>
          <w:tcPr>
            <w:tcW w:w="2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7031 Orchard Lake Road</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Captive operates from leased office space at 101 Convention Center Dr., Suite 850, Las Vegas, NV 89109.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material pending legal proceedings, other than ordinary routine proceedings incidental to the business of the Company or its subsidiaries, to which we are a party or of which any of our properties are the subject.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listed on the NASDAQ Stock Market LLC under the trading symbol “FMAO.”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Computershare as its transfer agent.</w:t>
      </w:r>
    </w:p>
    <w:p>
      <w:pPr>
        <w:spacing w:after="0" w:line="22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2,013 record holders of our common stock of which 50.16% of the outstanding shares are being held in brokerage accounts or “street name” and only considered as one record holder.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are declared and paid quarterly. Per share dividends declared for the years ended 2022 and 2021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1st Quarter</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2nd Quarter</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3rd Quarter</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4th Quarter</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3"/>
        </w:trPr>
        <w:tc>
          <w:tcPr>
            <w:tcW w:w="3640" w:type="dxa"/>
            <w:vAlign w:val="bottom"/>
            <w:shd w:val="clear" w:color="auto" w:fill="CFF0FC"/>
          </w:tcPr>
          <w:p>
            <w:pPr>
              <w:jc w:val="right"/>
              <w:ind w:right="3170"/>
              <w:spacing w:after="0"/>
              <w:rPr>
                <w:sz w:val="20"/>
                <w:szCs w:val="20"/>
                <w:color w:val="auto"/>
              </w:rPr>
            </w:pPr>
            <w:r>
              <w:rPr>
                <w:rFonts w:ascii="Times New Roman" w:cs="Times New Roman" w:eastAsia="Times New Roman" w:hAnsi="Times New Roman"/>
                <w:sz w:val="18"/>
                <w:szCs w:val="18"/>
                <w:color w:val="auto"/>
                <w:w w:val="99"/>
              </w:rPr>
              <w:t>2022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0.1900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0.2025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0.2100</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0.8125</w:t>
            </w:r>
          </w:p>
        </w:tc>
        <w:tc>
          <w:tcPr>
            <w:tcW w:w="100" w:type="dxa"/>
            <w:vAlign w:val="bottom"/>
            <w:shd w:val="clear" w:color="auto" w:fill="CFF0FC"/>
          </w:tcPr>
          <w:p>
            <w:pPr>
              <w:spacing w:after="0"/>
              <w:rPr>
                <w:sz w:val="21"/>
                <w:szCs w:val="21"/>
                <w:color w:val="auto"/>
              </w:rPr>
            </w:pPr>
          </w:p>
        </w:tc>
      </w:tr>
      <w:tr>
        <w:trPr>
          <w:trHeight w:val="234"/>
        </w:trPr>
        <w:tc>
          <w:tcPr>
            <w:tcW w:w="3640" w:type="dxa"/>
            <w:vAlign w:val="bottom"/>
          </w:tcPr>
          <w:p>
            <w:pPr>
              <w:jc w:val="right"/>
              <w:ind w:right="317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0.1700</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0.1800</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0.1900</w:t>
            </w:r>
          </w:p>
        </w:tc>
        <w:tc>
          <w:tcPr>
            <w:tcW w:w="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0.7100</w:t>
            </w:r>
          </w:p>
        </w:tc>
        <w:tc>
          <w:tcPr>
            <w:tcW w:w="100" w:type="dxa"/>
            <w:vAlign w:val="bottom"/>
          </w:tcPr>
          <w:p>
            <w:pPr>
              <w:spacing w:after="0"/>
              <w:rPr>
                <w:sz w:val="20"/>
                <w:szCs w:val="20"/>
                <w:color w:val="auto"/>
              </w:rPr>
            </w:pPr>
          </w:p>
        </w:tc>
      </w:tr>
    </w:tbl>
    <w:p>
      <w:pPr>
        <w:spacing w:after="0" w:line="220"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Dividends declared during 2022 were $0.8125 per share totaling $10.6 million, 14.4% higher than 2021 declared dividends of $0.71 per share. During 2022, the Company awarded 56,496 shares to 109 employees and 8,000 shares were forfeited under its long term incentive plan. At year-end 2022, the Company held 956,003 shares in Treasury stock and 128,952 in unearned stock awards.</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Dividends declared during 2021 were $0.71 per share totaling $8.2 million, 7.6% higher than 2020 declared dividends of $0.66 per share. During 2021, the Company awarded 48,750 shares to 96 employees and 2,575 shares were forfeited under its long term incentive plan. At year-end 2021, the Company held 997,766 shares in Treasury stock and 111,131 in unearned stock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expects to continue to maintain the payment of its quarterly dividend consistent with its past practices.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continues to have a strong capital base.</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53"/>
        </w:trPr>
        <w:tc>
          <w:tcPr>
            <w:tcW w:w="8740" w:type="dxa"/>
            <w:vAlign w:val="bottom"/>
            <w:gridSpan w:val="2"/>
          </w:tcPr>
          <w:p>
            <w:pPr>
              <w:ind w:left="8260"/>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I Leverage Ratio</w:t>
            </w:r>
          </w:p>
        </w:tc>
        <w:tc>
          <w:tcPr>
            <w:tcW w:w="112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 Based Capital Tier I</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11.77 %</w:t>
            </w: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Risk Based Capital</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12.39 %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14.60 %</w:t>
            </w:r>
          </w:p>
        </w:tc>
      </w:tr>
      <w:tr>
        <w:trPr>
          <w:trHeight w:val="243"/>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 Equity/Total Assets</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9.89 %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11.26 %</w:t>
            </w:r>
          </w:p>
        </w:tc>
      </w:tr>
      <w:tr>
        <w:trPr>
          <w:trHeight w:val="878"/>
        </w:trPr>
        <w:tc>
          <w:tcPr>
            <w:tcW w:w="762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20</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76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657" w:right="279" w:bottom="1440" w:gutter="0" w:footer="0" w:header="0"/>
        </w:sectPr>
      </w:pPr>
    </w:p>
    <w:bookmarkStart w:id="20" w:name="page21"/>
    <w:bookmarkEnd w:id="20"/>
    <w:p>
      <w:pPr>
        <w:ind w:right="20"/>
        <w:spacing w:after="0" w:line="282" w:lineRule="auto"/>
        <w:rPr>
          <w:sz w:val="20"/>
          <w:szCs w:val="20"/>
          <w:color w:val="auto"/>
        </w:rPr>
      </w:pPr>
      <w:r>
        <w:rPr>
          <w:rFonts w:ascii="Times New Roman" w:cs="Times New Roman" w:eastAsia="Times New Roman" w:hAnsi="Times New Roman"/>
          <w:sz w:val="18"/>
          <w:szCs w:val="18"/>
          <w:color w:val="auto"/>
        </w:rPr>
        <w:t>On January 24, 2023, the Company announced the authorization by its Board of Directors for the Company’s repurchase, either on the open market, or in privately negotiated transactions, of up to 650,000 shares of its outstanding common stock commencing January 24, 2023 and ending December 31,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Purchased as Part of</w:t>
            </w:r>
          </w:p>
        </w:tc>
        <w:tc>
          <w:tcPr>
            <w:tcW w:w="200" w:type="dxa"/>
            <w:vAlign w:val="bottom"/>
          </w:tcPr>
          <w:p>
            <w:pPr>
              <w:spacing w:after="0"/>
              <w:rPr>
                <w:sz w:val="18"/>
                <w:szCs w:val="18"/>
                <w:color w:val="auto"/>
              </w:rPr>
            </w:pPr>
          </w:p>
        </w:tc>
        <w:tc>
          <w:tcPr>
            <w:tcW w:w="19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Remaining Share</w:t>
            </w:r>
          </w:p>
        </w:tc>
        <w:tc>
          <w:tcPr>
            <w:tcW w:w="1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Average Price Paid</w:t>
            </w:r>
          </w:p>
        </w:tc>
        <w:tc>
          <w:tcPr>
            <w:tcW w:w="3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Publicly Announced Plan</w:t>
            </w:r>
          </w:p>
        </w:tc>
        <w:tc>
          <w:tcPr>
            <w:tcW w:w="200" w:type="dxa"/>
            <w:vAlign w:val="bottom"/>
          </w:tcPr>
          <w:p>
            <w:pPr>
              <w:spacing w:after="0"/>
              <w:rPr>
                <w:sz w:val="18"/>
                <w:szCs w:val="18"/>
                <w:color w:val="auto"/>
              </w:rPr>
            </w:pPr>
          </w:p>
        </w:tc>
        <w:tc>
          <w:tcPr>
            <w:tcW w:w="19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Repurchases</w:t>
            </w:r>
          </w:p>
        </w:tc>
        <w:tc>
          <w:tcPr>
            <w:tcW w:w="100" w:type="dxa"/>
            <w:vAlign w:val="bottom"/>
          </w:tcPr>
          <w:p>
            <w:pPr>
              <w:spacing w:after="0"/>
              <w:rPr>
                <w:sz w:val="18"/>
                <w:szCs w:val="18"/>
                <w:color w:val="auto"/>
              </w:rPr>
            </w:pPr>
          </w:p>
        </w:tc>
      </w:tr>
      <w:tr>
        <w:trPr>
          <w:trHeight w:val="20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per Share</w:t>
            </w:r>
          </w:p>
        </w:tc>
        <w:tc>
          <w:tcPr>
            <w:tcW w:w="300" w:type="dxa"/>
            <w:vAlign w:val="bottom"/>
          </w:tcPr>
          <w:p>
            <w:pPr>
              <w:spacing w:after="0"/>
              <w:rPr>
                <w:sz w:val="18"/>
                <w:szCs w:val="18"/>
                <w:color w:val="auto"/>
              </w:rPr>
            </w:pPr>
          </w:p>
        </w:tc>
        <w:tc>
          <w:tcPr>
            <w:tcW w:w="19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or Programs</w:t>
            </w:r>
          </w:p>
        </w:tc>
        <w:tc>
          <w:tcPr>
            <w:tcW w:w="200" w:type="dxa"/>
            <w:vAlign w:val="bottom"/>
          </w:tcPr>
          <w:p>
            <w:pPr>
              <w:spacing w:after="0"/>
              <w:rPr>
                <w:sz w:val="18"/>
                <w:szCs w:val="18"/>
                <w:color w:val="auto"/>
              </w:rPr>
            </w:pPr>
          </w:p>
        </w:tc>
        <w:tc>
          <w:tcPr>
            <w:tcW w:w="19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Authorization</w:t>
            </w:r>
          </w:p>
        </w:tc>
        <w:tc>
          <w:tcPr>
            <w:tcW w:w="100" w:type="dxa"/>
            <w:vAlign w:val="bottom"/>
          </w:tcPr>
          <w:p>
            <w:pPr>
              <w:spacing w:after="0"/>
              <w:rPr>
                <w:sz w:val="18"/>
                <w:szCs w:val="18"/>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2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10/1/2022</w:t>
            </w: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9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1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0"/>
                <w:szCs w:val="20"/>
                <w:color w:val="auto"/>
              </w:rPr>
            </w:pPr>
          </w:p>
        </w:tc>
      </w:tr>
      <w:tr>
        <w:trPr>
          <w:trHeight w:val="247"/>
        </w:trPr>
        <w:tc>
          <w:tcPr>
            <w:tcW w:w="2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10/31/2022</w:t>
            </w: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11/1/2022</w:t>
            </w: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1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0"/>
                <w:szCs w:val="20"/>
                <w:color w:val="auto"/>
              </w:rPr>
            </w:pPr>
          </w:p>
        </w:tc>
      </w:tr>
      <w:tr>
        <w:trPr>
          <w:trHeight w:val="247"/>
        </w:trPr>
        <w:tc>
          <w:tcPr>
            <w:tcW w:w="2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11/30/2022</w:t>
            </w: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4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12/1/2022</w:t>
            </w: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9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14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0"/>
                <w:szCs w:val="20"/>
                <w:color w:val="auto"/>
              </w:rPr>
            </w:pPr>
          </w:p>
        </w:tc>
      </w:tr>
      <w:tr>
        <w:trPr>
          <w:trHeight w:val="243"/>
        </w:trPr>
        <w:tc>
          <w:tcPr>
            <w:tcW w:w="23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12/31/2022</w:t>
            </w:r>
          </w:p>
        </w:tc>
        <w:tc>
          <w:tcPr>
            <w:tcW w:w="14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-170815</wp:posOffset>
            </wp:positionV>
            <wp:extent cx="685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-170815</wp:posOffset>
            </wp:positionV>
            <wp:extent cx="603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-170815</wp:posOffset>
            </wp:positionV>
            <wp:extent cx="6032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78" w:lineRule="exact"/>
        <w:rPr>
          <w:sz w:val="20"/>
          <w:szCs w:val="20"/>
          <w:color w:val="auto"/>
        </w:rPr>
      </w:pPr>
    </w:p>
    <w:p>
      <w:pPr>
        <w:ind w:left="520" w:hanging="512"/>
        <w:spacing w:after="0" w:line="223" w:lineRule="auto"/>
        <w:tabs>
          <w:tab w:leader="none" w:pos="5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From time to time, the Company purchases shares in the market pursuant to a stock repurchase program publicly announced on January 25, 2022. On that date, the Board of Directors authorized the repurchase of up to 600,000 common shares between January 25, 2022 and December 31, 2022.</w:t>
      </w:r>
    </w:p>
    <w:p>
      <w:pPr>
        <w:spacing w:after="0" w:line="1" w:lineRule="exact"/>
        <w:rPr>
          <w:rFonts w:ascii="Times New Roman" w:cs="Times New Roman" w:eastAsia="Times New Roman" w:hAnsi="Times New Roman"/>
          <w:sz w:val="24"/>
          <w:szCs w:val="24"/>
          <w:color w:val="auto"/>
          <w:vertAlign w:val="superscript"/>
        </w:rPr>
      </w:pPr>
    </w:p>
    <w:p>
      <w:pPr>
        <w:ind w:left="520" w:hanging="512"/>
        <w:spacing w:after="0" w:line="187" w:lineRule="auto"/>
        <w:tabs>
          <w:tab w:leader="none" w:pos="52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Shares which were repurchased for taxes on vested stock awards are outside of this program.</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00" w:lineRule="exact"/>
        <w:rPr>
          <w:sz w:val="20"/>
          <w:szCs w:val="20"/>
          <w:color w:val="auto"/>
        </w:rPr>
      </w:pPr>
    </w:p>
    <w:p>
      <w:pPr>
        <w:spacing w:after="0" w:line="349" w:lineRule="exact"/>
        <w:rPr>
          <w:sz w:val="20"/>
          <w:szCs w:val="20"/>
          <w:color w:val="auto"/>
        </w:rPr>
      </w:pPr>
    </w:p>
    <w:p>
      <w:pPr>
        <w:ind w:right="1220"/>
        <w:spacing w:after="0" w:line="503"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7. MANAGEMENT’S DISCUSSION AND ANALYSIS OF FINANCIAL CONDITION AND RESULTS OF OPERATIONS </w:t>
      </w:r>
      <w:r>
        <w:rPr>
          <w:rFonts w:ascii="Times New Roman" w:cs="Times New Roman" w:eastAsia="Times New Roman" w:hAnsi="Times New Roman"/>
          <w:sz w:val="18"/>
          <w:szCs w:val="18"/>
          <w:b w:val="1"/>
          <w:bCs w:val="1"/>
          <w:color w:val="auto"/>
        </w:rPr>
        <w:t>Critical Accounting Policies and Estimates</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 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significant accounting policies followed by the Company are presented in Note 1 to the consolidated financial statements. These policies, along with the disclosures presented in the notes to the consolidated financial statements and in the management discussion and analysis of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Allowance for Loan and Lease Losses (ALLL) and the valuation of its Mortgage Servicing Rights (MSR) and Other Real Estate Owned (OREO) and goodwill as the accounting areas that requires the most subjective or complex judgments, and as such could be the most subject to revision as new information becomes available.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OREO, which is comprised of assets acquired by the Bank, through, or in lieu of, loan foreclosure are held for sale and are initially recorded at fair value at the date of foreclosure. Subsequent to foreclosure, valuations are periodically performed by management and the assets are carried at the lower of carrying amount or fair value less cost to sell.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The ALLL represents management's estimate of credit losses inherent in the Bank's loan portfolio at the report date. The estimate is a composite of a variety of factors including experience, collateral value, and the general economy. ALLL includes a specific portion, a formula driven portion, and a general nonspecific portion. The collection and ultimate recovery of the book value of the collateral, in most cases, is beyond our control.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also required to estimate the value of its MSR. The Company recognizes as separate assets rights to service fixed rate single-family mortgage loans that it has sold without recourse but services for others for a fee. Mortgage servicing assets are initially recorded at fair value, based upon pricing multiples as determined by the purchaser, when the loans are sold. Mortgage servicing assets are carried at the lower of the initial carrying value, adjusted for amortization, or estimated fair value. Amortization is determined in proportion to and over the period of estimated net servicing income using the level yield method. For purposes of determining impairment, the mortgage servicing assets are stratified into like groups based on loan type, term, new versus seasoned and interest rate. The valuation is completed by an independent third party.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mortgage servicing rights relating to loans serviced for others represent an asset of the Company. This asset is initially capitalized and included on the Company’s consolidated balance sheet. The mortgage servicing rights are then amortized as noninterest expense in proportion to, and over the period of, the estimated future net servicing income of the underlying mortgage servicing rights. There are a number of factors, however, that can affect the ultimate value of the mortgage servicing rights to the Company, including the estimated prepayment speed of the loan and the discount rate used to present value the servicing right. For example, if the mortgage loan is prepaid, the Company will receive fewer servicing fees, meaning that the present value of the mortgage servicing rights is less than the carrying value of those rights on the Company’s balance sheet. Therefore, in an attempt to reflect an accurate expected value to the Company of the mortgage servicing rights, the Company receives a valuation of its mortgage servicing rights from an independent third party. The independent third party’s valuation of the mortgage servicing rights is based on relevant characteristics of the Company’s loan servicing portfolio, such as loan terms, interest rates and recent national prepayment experience, as well as current national market interest rate levels, market forecasts and other economic conditions. Management, with the advice from its third party valuation firm, review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Company’s mortgage servicing rights, management then establishes a valuation allowance by each strata, if necessary, to quantify the likely impairment of the value of the mortgage servicing rights to the Company. The estimates of prepayment speeds and discount rates are inherently uncertain, and different estimates could have a material impact on the Company’s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can be directly tied back to the fact that management has only been required to record minor valuation allowances through its income statement based upon the valuation of each stratum of serving rights.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estimates and calculations used to establish the ALLL and the value of Mortgage Servicing Rights, please see Note 1 to the consolidated financial statements provided herewith.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in Review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2022 was a year of celebration both in terms of record earnings, strong performance and in the Bank's 125th year of strengthening relationships with our customers, employees, shareholders and our communities in support of our mission to "help people live their best lives." The Company celebrated the latter by ringing the NASDAQ closing bell which commemorated those 125 years and 5 years since F&amp;M had rung the bell and listed on NASDAQ.</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F&amp;M Commercial Banking Division worked through a strong pipeline throughout 2022. Client results from 2021 and 2022 performance were good; however, client concerns in 2022 were focused around inflation, rising interest rates, availability of workforce, and interruptions and delays in the supply chain. Overall credit quality of the portfolio remains good, as past dues and delinquencies remained low throughout 2022. 2022 fee income remained strong.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harvest throughout our market area was positive with strong yields and profitable prices. The financial health of our grain farmers is sound with several consecutive profitable years. The livestock and agri-business sector of our portfolio continues to remain healthy and concerns remain manageable. The agriculture portfolio saw growth in 2022 and remains sound.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2" w:name="page23"/>
    <w:bookmarkEnd w:id="22"/>
    <w:p>
      <w:pPr>
        <w:spacing w:after="0"/>
        <w:tabs>
          <w:tab w:leader="none" w:pos="6840" w:val="left"/>
        </w:tabs>
        <w:rPr>
          <w:sz w:val="20"/>
          <w:szCs w:val="20"/>
          <w:color w:val="auto"/>
        </w:rPr>
      </w:pPr>
      <w:r>
        <w:rPr>
          <w:rFonts w:ascii="Times New Roman" w:cs="Times New Roman" w:eastAsia="Times New Roman" w:hAnsi="Times New Roman"/>
          <w:sz w:val="18"/>
          <w:szCs w:val="18"/>
          <w:color w:val="auto"/>
        </w:rPr>
        <w:t>F&amp;M saw a slow-down in production in the 1-4 Family Consumer Real Estate Division.</w:t>
        <w:tab/>
        <w:t>Refinances slowed significantly with the increase in rates.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did remain in new purchase and in home equity originations.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2022, the Bank opened three new offices through acquisition. The acquisition of Peoples Federal Savings and Loan Association ("Peoples Bank") was completed on October 1, 2022. The Bank continues to execute its “Next 10 Project”. The Next 10 Project is the identification of the next 10 office locations for brick-and-mortar expansion to be opened in the next 3-5 years. Many factors were considered in developing the plan including potential growth, placement to better connect and service our entire existing footprint. This plan will supplement any future acquisitions. We have learned that it can take more than a year to open a new office.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Yields on earning assets increased as well as the cost of funds. Driving the increase in the earning assets was the increased loan volume which increased $494.9 million at year end 2022 as compared to 2021. Total assets grew $327.1 million during the same one-year time frame.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continues to focus on Talent Optimization as part of its strategic plan. As mentioned previously regarding our commercial customers, the Company is also experiencing pressure for staffing - both in the cost of recruiting new talent and in retaining existing. The acquisition of Peoples Bank helped as the Bank was able to offer and retain more team members to fill much needed support staff. The Bank continues to analyze and adjust our structure and the development of our team members to help us realize our full potential and to handle our current and expected growth plans.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were a record high with net income at $32.5 million. The Company’s trend of increasing profitability year over year continued as evidenced by the 38.4% increase in net income for 2022 as compared to 2021. This followed a strong 2021 increase of 16.9% over 2020. The Company continues to recognize the importance of our shareholders from the improved earnings as we have increased the declared dividends consistently over the last 28 years. In 2022, declared dividends were 14.4% higher than 2021 at $10.6 million. This included a special dividend of $0.0125 per share in honor of the Company's 125th anniversary.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positioned to continue its strong earnings performance in 2023, as we focus on new initiatives included in our three-five year strategic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Changes in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discussion now centers on the individual line items of the consolidated statement of income and their effect on net income. This section will focus on the most traditional source of revenue contributing to the profitability of the Company which is net interest income.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difference between interest income earned on interest earning assets, such as loans and securities, and interest expense paid on interest bearing liabilities used to fund those assets, such as interest bearing deposits and other borrowings. Net interest income is affected by changes in both interest rates and the amount and composition of earning assets and liabilities. The change in net interest income is most often measured by two statistics – interest spread and net interest margin. The difference between the yields earned on earning assets and the rates paid for interest bearing liabilities represents the interest spread. The net interest margin is the difference of funds (interest expense) between the yield on earning assets and the cost as a percentage of earning assets. Because noninterest bearing sources of funds such as demand deposits and stockholders’ equity also support earning assets, the net interest margin exceeds the net interest spread.</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largest factor of the record earnings for 2022 was the $17.3 million improvement in net interest income as compared to 2021. In 2021, net interest income increased $9.7 million as compared to 2020. Interest and fee income from loans were responsible for the improvement. Interest income from loans, including fees, increased $22.6 million in 2022 as compared to 2021. This was preceded by an increase in 2021 of $6.3 million as compared to 2020. The prime rate had remained flat since March of 2020 at 3.25%. Beginning in March of 2022, the prime rate increased 25 basis points followed by a 50 basis point increase in May, four 75 basis point increases in June, July, September and November with a final 50 basis point increase in December to end at 7.50%. In 2021 and 2020, PPP loans generated $4.5 and $2.8 million in loan interest and fee income, respectively. In both 2022 and 2021, the volume of loan growth was the largest contributing factor to the improved profitability. The security portfolio increased $51.4 million in average during 2022 as compared to 2021, and $152.3 million in average over 2020 average balances. Increased cash funds from stimulus and acquisitions were placed in securities to earn a greater return. Interest income from that balance sheet component increased $1.1 million over 2021 while 2021 increased $250 thousand over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2020. Overall, total interest income was $24.3 million higher for 2022 than 2021 and was $6.7 million higher for 2021 than 2020.</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expense increased from all interest bearing funding sources in 2022 over the time period of 2021. During 2021, interest expense decreased in all interest bearing funding sources with the exception of subordinated notes as compared to 2020. During 2021, the Company issued subordinated notes and incurred $490 thousand and $1.1 million of interest expense in 2021 and 2022, respectively. Refer to Note 9 of the consolidated financial statements for further discussion regarding subordinated notes. Overall, the funding goal the last three years has been to grow core deposits. Two strategies have been employed through the years, one of allowing expensive time deposits to run off until needed for funding and secondly to offer new non-interest bearing deposit products. Both of these strategies were to assist in controlling interest expense in a rising rate environment. Competition forced us to increase rates for deposits in 2022 while rates were lowered or remained flat in 2020 and 2021 in response to the prime rate drop of 150 basis points in March 2020. Rates have continued to be reviewed and adjusted as necessary in 2022. With the interest rate increases and acquisition, average interest bearing deposits increased $334.0 million compared to 2021. During 2022, interest expense from deposits increased by $4.5 million from 2021 and 2021 decreased $3.2 million from 2020. The majority, approximately 59.7%, of the increased expense of 2022 and approximately 160.0%, of the decreased expense of 2021 was influenced by rates rather than due to additional cost associated with deposit growth.</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interest expense (which includes deposit, federal funds purchased, securities sold under agreement to repurchase, borrowed funds and subordinated notes) totaled $14.4, $7.3 and $10.4 million for 2022, 2021 and 2020, respectively. The increased expense was approximately 43.2% attributable to the rising interest rate environment in 2022 as compared to 2021 while the decreased interest expense was approximately 189.9% attributable to the falling interest rate environment in the 2021 to 2020 comparison. Borrowed fund balances increased in 2022 as a means to fund the phenomenal loan growth. Borrowed fund balances increased in January of 2019, as a result of the acquisition of Bank of Geneva, in October of 2021 with the acquisition of Perpetual Federal Savings Bank and in October of 2022 with the acquisition of Peoples Federal Savings and Loan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in improving net interest income confirmed that management’s long term strategy of repositioning the balance sheet and increasing loan balances was the correct approach. Funding loan growth with internal funds, whether from the liquidation of investment securities or core deposits, was a beneficial move.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concludes the discussion by dollar amount of the improvement. Now the discussion moves on to the percentages and the change in the net interest margin and spread.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Overall, we have seen a decrease in the net interest margin and spread from 2020 to 2022. Interest margin slightly increased while interest spread decreased in 2022 as compared to 2021 with the increased cost of funds only being partly offset by the higher asset yields. Looking at the components behind the change in net interest margin for 2022 as compared to 2021, increased average balances in loans of $551.6 million stands out. Loans acquired with the one acquisition in 2022 were $101.8 million. The additional revenue of $22.6 million that those balances were responsible for was the largest contributor to the increased interest income of $24.3 million. In 2022 and 2021, loan revenue was negatively impacted by the change in the interest rate. Roughly 26.5% of the Bank's loans are variable with the majority of those loans with floor rates that had attained the point where rate increases would cause to go above the floor. As mentioned previously, 2022 had seven rate increases totaling 425 basis points. The large revenue gain in loan interest was aided by the increased earnings in securities of $1.1 million. The overall asset yield in 2022 increased by 26 basis points over 2021.</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increased interest expense in 2022 correlated to a much higher rate environment in which competition for deposits forced higher interest rates as compared to 2021 while the decreased interest expense in 2021 correlated to a much lower rate environment. In the area where the strategic plan was to gather core deposits, the average balance in savings grew by $189.6 million during 2022 as compared to 2021’s average balance. Interest bearing deposits acquired with the one acquisition were $104.7 million. The other average balance increase for core deposits was the change in non-interest bearing demand deposits. 2022’s average balance in this portfolio was $79.6 million higher than 2021’s average balance. Non-interest bearing demand deposits acquired with the one acquisition were $7.1 million. Overall, cost of funds increased 26 basis points for 2022 over 2021. The reason behind the increase was 43.2% due to rate increases and 56.8% due to volume increases.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interest margin for 2022 was 3.32% compared to 2021 which was 3.31%. The 0.01% increase for 2022 was related to the increased interest income which was greater than the increased interest expense. Net interest spread was 3.13% for 2022 compared to 2021’s 3.18%, creating a 5 basis point difference in the spread. Loans as a percentage of earning assets was 79.2% while loans to total assets was 74.7% for 2022. The goal is, as always, to improve the net interest margin and spread and thereby improve profitability.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jc w:val="both"/>
        <w:spacing w:after="0" w:line="266" w:lineRule="auto"/>
        <w:rPr>
          <w:sz w:val="20"/>
          <w:szCs w:val="20"/>
          <w:color w:val="auto"/>
        </w:rPr>
      </w:pPr>
      <w:r>
        <w:rPr>
          <w:rFonts w:ascii="Times New Roman" w:cs="Times New Roman" w:eastAsia="Times New Roman" w:hAnsi="Times New Roman"/>
          <w:sz w:val="18"/>
          <w:szCs w:val="18"/>
          <w:color w:val="auto"/>
        </w:rPr>
        <w:t>In comparing 2021 to 2020, loan volume was primarily responsible for the improvement in interest income; however, the yield on the overall loan portfolio decreased 27 basis points during 2021. All categories of asset yield decreased in 2021. Overall, asset yield decreased 59 basis points in 2021 as compared to 2020.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interest margin fell in 2021, ending 31 basis points below 2020. Asset yield decreased 59 basis points while the cost of funds decreased 39 basis points. The yields on the individual segments did not cause improvement as all decreased in 2021 from 2020. In addition, loans as a percentage of earning assets decreased to 72.3% in 2021 compared to 79.3% in 2020. Loans to total assets also decreased to 68.3% for 2021 compared to 2020’s 74.2%. Overall yield improves when the balances of the highest yield asset increases, which is loans.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cost of funds, the Bank’s goal is to grow the least expensive category of funding sources. The largest average balance increase for 2021 was $266.0 million in savings deposits over 2020’s average balances. This growth was mostly responsible for the decrease in funding expense of 23 basis points when comparing 2021 to 2020.</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always prefer to see improvement in real dollars over percentages. The strategy for increasing core deposits, in order to mitigate the higher cost of funds and to continue to establish the opportunity for fee dollars from services provided, remains for 2023.</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Total assets of the Company increased overall as did the earning assets in both average and year-end during 2022 and 2021. This matched the movement in interest dollars. The percentage of average earning assets to total average assets reflects the best utilization of funds. For 2022, the percentage at 94.29% was slightly lower than 2021 at 94.41%. The addition of new offices increased the non-earning assets with cash balances held at the new offices and also the investment in the capital assets of their building and furniture. One of the things that helped to improve the profitability of 2022 was the percentage of average loans to total assets. For 2022 the average balance of loans to total average assets was 74.73%, for 2021, 68.26%, for 2020, 74.21%. Loans are the highest yielding asset for the Company.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spread is the difference between what the Company earns on its assets and what it pays on its liabilities. It is generally from this spread that the Company must fund its operations and generate profit. When the asset yield decreases so must funding costs in order to maintain profitability. It becomes increasingly challenging as the asset yield gets closer to the prime lending rate, or the break-even point, of operations. In a rising rate environment, the challenge is to hold the cost steady while allowing time for the asset portfolio to rise. Floors and ceilings on variable products also impact the level of increase in either scenario. The floors provide yield protection in a lower rate environment while the rising rates will not benefit the asset yield until the spread plus prime is higher than the floor. The challenge is to increase the spread during renewals and on new loans. With the rate decreases in 2020, many loans reverted back to the floors. After the rate hikes in 2022, the majority of loans have increased over the floors.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terms of interest expense, 2022’s increase as compared to 2021 was approximately 43.2% due to the increase in rates. 2021’s decrease was approximately 189.9% due to the decrease in rates as compared to 2020.</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impact of the change in the portfolio mix was a factor in the liabilities as it was in the assets. In comparing to 2021, 2022 had movements as average balances increased in all categories. In comparing to 2020, 2021 had movements as average balances increased in savings deposits, time deposits, other borrowed money and subordinated notes. Other borrowed money, consisting of both short and long term borrowings, and subordinated notes increased with the acquisition of Perpetual Federal Savings Bank. Federal funds purchased and securities sold under agreement to repurchase decreased in 2021 from 2020.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present net interest income, interest spread and net interest margin for the three years 2020 through 2022, comparing average outstanding balances of earning assets and interest bearing liabilities with the associated interest income and expense. The tables show the corresponding average rates of interest earned and paid. Average outstanding loan balances include non-performing loans and mortgage loans held for sale. Average outstanding security balances are computed based on carrying values including unrealized gains and losses on available-for-sale securities. The average cost of funds for 2022 was 0.74%, 26 basis points higher than 2021’s 0.48% for interest bearing liabilities.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yield on tax-exempt investment securities shown in the following charts were computed on a tax equivalent basis. The yield on loans has been tax adjusted for the portion of tax-exempt IDB loans included in the total. Total interest earning assets is therefore also reflecting a tax equivalent yield in both line items, also with the net interest spread and margin. The adjustments were based on a 21% tax rate for all years. The tax-exempt interest income was $614, $551 and $694 thousand for 2022, 2021 and 2020, respectively which resulted in a federal income tax savings of $129, $116, and $146 thousand, respectively.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tbl>
      <w:tblPr>
        <w:tblLayout w:type="fixed"/>
        <w:tblInd w:w="2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Average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9"/>
              </w:rPr>
              <w:t>Interest/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Balance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Dividends</w:t>
            </w:r>
          </w:p>
        </w:tc>
        <w:tc>
          <w:tcPr>
            <w:tcW w:w="180" w:type="dxa"/>
            <w:vAlign w:val="bottom"/>
          </w:tcPr>
          <w:p>
            <w:pPr>
              <w:spacing w:after="0"/>
              <w:rPr>
                <w:sz w:val="21"/>
                <w:szCs w:val="21"/>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Yield/Rate</w:t>
            </w: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2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Earning Assets: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2,073,737</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94,264</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4.55 %</w:t>
            </w: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5,621</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29"/>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sold &amp; other</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95,301</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0.97 %</w:t>
            </w:r>
          </w:p>
        </w:tc>
        <w:tc>
          <w:tcPr>
            <w:tcW w:w="0" w:type="dxa"/>
            <w:vAlign w:val="bottom"/>
          </w:tcPr>
          <w:p>
            <w:pPr>
              <w:spacing w:after="0"/>
              <w:rPr>
                <w:sz w:val="1"/>
                <w:szCs w:val="1"/>
                <w:color w:val="auto"/>
              </w:rPr>
            </w:pPr>
          </w:p>
        </w:tc>
      </w:tr>
      <w:tr>
        <w:trPr>
          <w:trHeight w:val="229"/>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 Earning Assets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2,616,739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101,149</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Earning Assets:</w:t>
            </w: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35,696</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2,775,100</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260" w:type="dxa"/>
            <w:vAlign w:val="bottom"/>
          </w:tcPr>
          <w:p>
            <w:pPr>
              <w:ind w:left="80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deposits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1,335,271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6,378</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0.48 %</w:t>
            </w:r>
          </w:p>
        </w:tc>
        <w:tc>
          <w:tcPr>
            <w:tcW w:w="0" w:type="dxa"/>
            <w:vAlign w:val="bottom"/>
          </w:tcPr>
          <w:p>
            <w:pPr>
              <w:spacing w:after="0"/>
              <w:rPr>
                <w:sz w:val="1"/>
                <w:szCs w:val="1"/>
                <w:color w:val="auto"/>
              </w:rPr>
            </w:pPr>
          </w:p>
        </w:tc>
      </w:tr>
      <w:tr>
        <w:trPr>
          <w:trHeight w:val="229"/>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time deposits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3,505</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0.78 %</w:t>
            </w: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borrowed money</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0" w:type="dxa"/>
            <w:vAlign w:val="bottom"/>
          </w:tcPr>
          <w:p>
            <w:pPr>
              <w:spacing w:after="0"/>
              <w:rPr>
                <w:sz w:val="1"/>
                <w:szCs w:val="1"/>
                <w:color w:val="auto"/>
              </w:rPr>
            </w:pPr>
          </w:p>
        </w:tc>
      </w:tr>
      <w:tr>
        <w:trPr>
          <w:trHeight w:val="222"/>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purchased and securities sold under</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agreement to repurchase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2.64 %</w:t>
            </w:r>
          </w:p>
        </w:tc>
        <w:tc>
          <w:tcPr>
            <w:tcW w:w="0" w:type="dxa"/>
            <w:vAlign w:val="bottom"/>
          </w:tcPr>
          <w:p>
            <w:pPr>
              <w:spacing w:after="0"/>
              <w:rPr>
                <w:sz w:val="1"/>
                <w:szCs w:val="1"/>
                <w:color w:val="auto"/>
              </w:rPr>
            </w:pPr>
          </w:p>
        </w:tc>
      </w:tr>
      <w:tr>
        <w:trPr>
          <w:trHeight w:val="243"/>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Subordinated notes</w:t>
            </w: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3.25 %</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Interest Bearing Liabilities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1,940,501</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14,362</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0.74 %</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Bearing Liabilities:</w:t>
            </w: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Non-interest bearing demand deposits</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480,389</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2,487,232</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287,868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2,775,100</w:t>
            </w:r>
          </w:p>
        </w:tc>
        <w:tc>
          <w:tcPr>
            <w:tcW w:w="2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Interest/Dividend income/yield</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101,149</w:t>
            </w:r>
          </w:p>
        </w:tc>
        <w:tc>
          <w:tcPr>
            <w:tcW w:w="14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0" w:type="dxa"/>
            <w:vAlign w:val="bottom"/>
          </w:tcPr>
          <w:p>
            <w:pPr>
              <w:spacing w:after="0"/>
              <w:rPr>
                <w:sz w:val="1"/>
                <w:szCs w:val="1"/>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Expense/cost</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14,362</w:t>
            </w: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0.74 %</w:t>
            </w:r>
          </w:p>
        </w:tc>
        <w:tc>
          <w:tcPr>
            <w:tcW w:w="0" w:type="dxa"/>
            <w:vAlign w:val="bottom"/>
          </w:tcPr>
          <w:p>
            <w:pPr>
              <w:spacing w:after="0"/>
              <w:rPr>
                <w:sz w:val="1"/>
                <w:szCs w:val="1"/>
                <w:color w:val="auto"/>
              </w:rPr>
            </w:pPr>
          </w:p>
        </w:tc>
      </w:tr>
      <w:tr>
        <w:trPr>
          <w:trHeight w:val="33"/>
        </w:trPr>
        <w:tc>
          <w:tcPr>
            <w:tcW w:w="52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2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86,787</w:t>
            </w:r>
          </w:p>
        </w:tc>
        <w:tc>
          <w:tcPr>
            <w:tcW w:w="18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3.13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Margin</w:t>
            </w: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-4276725</wp:posOffset>
            </wp:positionV>
            <wp:extent cx="570039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-3985260</wp:posOffset>
            </wp:positionV>
            <wp:extent cx="570039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-3685540</wp:posOffset>
            </wp:positionV>
            <wp:extent cx="5700395" cy="316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00395" cy="31686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-2922270</wp:posOffset>
            </wp:positionV>
            <wp:extent cx="5969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-2459355</wp:posOffset>
            </wp:positionV>
            <wp:extent cx="570039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-2167890</wp:posOffset>
            </wp:positionV>
            <wp:extent cx="5700395" cy="274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00395" cy="27432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-1739265</wp:posOffset>
            </wp:positionV>
            <wp:extent cx="5700395" cy="316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00395" cy="31686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-976630</wp:posOffset>
            </wp:positionV>
            <wp:extent cx="5969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-668020</wp:posOffset>
            </wp:positionV>
            <wp:extent cx="5700395" cy="668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00395" cy="668655"/>
                    </a:xfrm>
                    <a:prstGeom prst="rect">
                      <a:avLst/>
                    </a:prstGeom>
                    <a:noFill/>
                  </pic:spPr>
                </pic:pic>
              </a:graphicData>
            </a:graphic>
          </wp:anchor>
        </w:drawing>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60"/>
          </w:cols>
          <w:pgMar w:left="1440" w:top="353" w:right="1399" w:bottom="1440" w:gutter="0" w:footer="0" w:header="0"/>
        </w:sectPr>
      </w:pPr>
    </w:p>
    <w:bookmarkStart w:id="26" w:name="page27"/>
    <w:bookmarkEnd w:id="26"/>
    <w:tbl>
      <w:tblPr>
        <w:tblLayout w:type="fixed"/>
        <w:tblInd w:w="2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Interest/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Balance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Dividends</w:t>
            </w:r>
          </w:p>
        </w:tc>
        <w:tc>
          <w:tcPr>
            <w:tcW w:w="180" w:type="dxa"/>
            <w:vAlign w:val="bottom"/>
          </w:tcPr>
          <w:p>
            <w:pPr>
              <w:spacing w:after="0"/>
              <w:rPr>
                <w:sz w:val="21"/>
                <w:szCs w:val="21"/>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Yield/Rate</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Earning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1,522,088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71,645</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4.71 %</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377,887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2.25 %</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sold &amp; other</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187,003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0.19 %</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 Earning Assets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2,105,343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76,840</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Earning Assets:</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31,829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2,229,992</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1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deposits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1,145,636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0.22 %</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time deposits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306,600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2,951</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0.96 %</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borrowed money</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785</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2.66 %</w:t>
            </w:r>
          </w:p>
        </w:tc>
        <w:tc>
          <w:tcPr>
            <w:tcW w:w="0" w:type="dxa"/>
            <w:vAlign w:val="bottom"/>
          </w:tcPr>
          <w:p>
            <w:pPr>
              <w:spacing w:after="0"/>
              <w:rPr>
                <w:sz w:val="1"/>
                <w:szCs w:val="1"/>
                <w:color w:val="auto"/>
              </w:rPr>
            </w:pPr>
          </w:p>
        </w:tc>
      </w:tr>
      <w:tr>
        <w:trPr>
          <w:trHeight w:val="222"/>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purchased and securities sold under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agreement to repurchase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Subordinated notes</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14,777</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1,526,323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7,342</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0.48 %</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Bearing Liabilities:</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Non-interest bearing demand deposits</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400,801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1,971,467</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258,525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2,229,992</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Interest/Dividend income/yield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76,840</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Expense/cost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7,342</w:t>
            </w:r>
          </w:p>
        </w:tc>
        <w:tc>
          <w:tcPr>
            <w:tcW w:w="1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0.48 %</w:t>
            </w:r>
          </w:p>
        </w:tc>
        <w:tc>
          <w:tcPr>
            <w:tcW w:w="0" w:type="dxa"/>
            <w:vAlign w:val="bottom"/>
          </w:tcPr>
          <w:p>
            <w:pPr>
              <w:spacing w:after="0"/>
              <w:rPr>
                <w:sz w:val="1"/>
                <w:szCs w:val="1"/>
                <w:color w:val="auto"/>
              </w:rPr>
            </w:pPr>
          </w:p>
        </w:tc>
      </w:tr>
      <w:tr>
        <w:trPr>
          <w:trHeight w:val="33"/>
        </w:trPr>
        <w:tc>
          <w:tcPr>
            <w:tcW w:w="5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69,498</w:t>
            </w:r>
          </w:p>
        </w:tc>
        <w:tc>
          <w:tcPr>
            <w:tcW w:w="1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3.18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Margin</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-4276725</wp:posOffset>
            </wp:positionV>
            <wp:extent cx="5700395"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-3985260</wp:posOffset>
            </wp:positionV>
            <wp:extent cx="5700395"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-3685540</wp:posOffset>
            </wp:positionV>
            <wp:extent cx="5700395" cy="3168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00395" cy="31686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-2922270</wp:posOffset>
            </wp:positionV>
            <wp:extent cx="5969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-2459355</wp:posOffset>
            </wp:positionV>
            <wp:extent cx="570039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-2167890</wp:posOffset>
            </wp:positionV>
            <wp:extent cx="5700395"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00395" cy="27432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-1739265</wp:posOffset>
            </wp:positionV>
            <wp:extent cx="5700395" cy="316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00395" cy="31686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-976630</wp:posOffset>
            </wp:positionV>
            <wp:extent cx="5969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-668020</wp:posOffset>
            </wp:positionV>
            <wp:extent cx="5700395" cy="6686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00395" cy="668655"/>
                    </a:xfrm>
                    <a:prstGeom prst="rect">
                      <a:avLst/>
                    </a:prstGeom>
                    <a:noFill/>
                  </pic:spPr>
                </pic:pic>
              </a:graphicData>
            </a:graphic>
          </wp:anchor>
        </w:drawing>
      </w:r>
    </w:p>
    <w:p>
      <w:pPr>
        <w:spacing w:after="0" w:line="39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60"/>
          </w:cols>
          <w:pgMar w:left="1440" w:top="353" w:right="1399" w:bottom="1440" w:gutter="0" w:footer="0" w:header="0"/>
        </w:sectPr>
      </w:pPr>
    </w:p>
    <w:bookmarkStart w:id="27" w:name="page28"/>
    <w:bookmarkEnd w:id="27"/>
    <w:tbl>
      <w:tblPr>
        <w:tblLayout w:type="fixed"/>
        <w:tblInd w:w="1140" w:type="dxa"/>
        <w:tblCellMar>
          <w:top w:w="0" w:type="dxa"/>
          <w:left w:w="0" w:type="dxa"/>
          <w:bottom w:w="0" w:type="dxa"/>
          <w:right w:w="0" w:type="dxa"/>
        </w:tblCellMar>
      </w:tblPr>
      <w:tr>
        <w:trPr>
          <w:trHeight w:val="225"/>
        </w:trPr>
        <w:tc>
          <w:tcPr>
            <w:tcW w:w="5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Average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Interest/</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Balance</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Dividends</w:t>
            </w:r>
          </w:p>
        </w:tc>
        <w:tc>
          <w:tcPr>
            <w:tcW w:w="180" w:type="dxa"/>
            <w:vAlign w:val="bottom"/>
          </w:tcPr>
          <w:p>
            <w:pPr>
              <w:spacing w:after="0"/>
              <w:rPr>
                <w:sz w:val="21"/>
                <w:szCs w:val="21"/>
                <w:color w:val="auto"/>
              </w:rPr>
            </w:pPr>
          </w:p>
        </w:tc>
        <w:tc>
          <w:tcPr>
            <w:tcW w:w="128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Yield/Rate</w:t>
            </w: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ind w:left="2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Earning Assets: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1,313,675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65,317</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4.98 %</w:t>
            </w:r>
          </w:p>
        </w:tc>
        <w:tc>
          <w:tcPr>
            <w:tcW w:w="0" w:type="dxa"/>
            <w:vAlign w:val="bottom"/>
          </w:tcPr>
          <w:p>
            <w:pPr>
              <w:spacing w:after="0"/>
              <w:rPr>
                <w:sz w:val="1"/>
                <w:szCs w:val="1"/>
                <w:color w:val="auto"/>
              </w:rPr>
            </w:pPr>
          </w:p>
        </w:tc>
      </w:tr>
      <w:tr>
        <w:trPr>
          <w:trHeight w:val="230"/>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Taxable investment securities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219,044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Tax-exempt investment securities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2.30 %</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sold &amp; interest bearing deposits</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99,304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0.26 %</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Interest Earning Assets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1,656,981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70,169</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4.25 %</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Earning Assets:</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25,276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88,027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1,770,284</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180" w:type="dxa"/>
            <w:vAlign w:val="bottom"/>
          </w:tcPr>
          <w:p>
            <w:pPr>
              <w:ind w:left="76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Interest Bearing Liabilities:</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Savings deposits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879,669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0.45 %</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time deposits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0" w:type="dxa"/>
            <w:vAlign w:val="bottom"/>
          </w:tcPr>
          <w:p>
            <w:pPr>
              <w:spacing w:after="0"/>
              <w:rPr>
                <w:sz w:val="1"/>
                <w:szCs w:val="1"/>
                <w:color w:val="auto"/>
              </w:rPr>
            </w:pPr>
          </w:p>
        </w:tc>
      </w:tr>
      <w:tr>
        <w:trPr>
          <w:trHeight w:val="229"/>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borrowed money</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4.61 %</w:t>
            </w:r>
          </w:p>
        </w:tc>
        <w:tc>
          <w:tcPr>
            <w:tcW w:w="0" w:type="dxa"/>
            <w:vAlign w:val="bottom"/>
          </w:tcPr>
          <w:p>
            <w:pPr>
              <w:spacing w:after="0"/>
              <w:rPr>
                <w:sz w:val="1"/>
                <w:szCs w:val="1"/>
                <w:color w:val="auto"/>
              </w:rPr>
            </w:pPr>
          </w:p>
        </w:tc>
      </w:tr>
      <w:tr>
        <w:trPr>
          <w:trHeight w:val="222"/>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Federal funds purchased and securities sold under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agreement to repurchase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0" w:type="dxa"/>
            <w:vAlign w:val="bottom"/>
          </w:tcPr>
          <w:p>
            <w:pPr>
              <w:spacing w:after="0"/>
              <w:rPr>
                <w:sz w:val="1"/>
                <w:szCs w:val="1"/>
                <w:color w:val="auto"/>
              </w:rPr>
            </w:pPr>
          </w:p>
        </w:tc>
      </w:tr>
      <w:tr>
        <w:trPr>
          <w:trHeight w:val="24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Subordinated notes</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Interest Bearing Liabilities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1,198,104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10,393</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0.87 %</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Non-Interest Bearing Liabilities:</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1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5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Non-interest bearing demand deposits</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304,276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1,530,586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239,698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1,770,284</w:t>
            </w:r>
          </w:p>
        </w:tc>
        <w:tc>
          <w:tcPr>
            <w:tcW w:w="2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Interest/Dividend income/yield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70,169</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4.25 %</w:t>
            </w:r>
          </w:p>
        </w:tc>
        <w:tc>
          <w:tcPr>
            <w:tcW w:w="0" w:type="dxa"/>
            <w:vAlign w:val="bottom"/>
          </w:tcPr>
          <w:p>
            <w:pPr>
              <w:spacing w:after="0"/>
              <w:rPr>
                <w:sz w:val="1"/>
                <w:szCs w:val="1"/>
                <w:color w:val="auto"/>
              </w:rPr>
            </w:pPr>
          </w:p>
        </w:tc>
      </w:tr>
      <w:tr>
        <w:trPr>
          <w:trHeight w:val="229"/>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Expense/cost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10,393</w:t>
            </w:r>
          </w:p>
        </w:tc>
        <w:tc>
          <w:tcPr>
            <w:tcW w:w="1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0.87 %</w:t>
            </w:r>
          </w:p>
        </w:tc>
        <w:tc>
          <w:tcPr>
            <w:tcW w:w="0" w:type="dxa"/>
            <w:vAlign w:val="bottom"/>
          </w:tcPr>
          <w:p>
            <w:pPr>
              <w:spacing w:after="0"/>
              <w:rPr>
                <w:sz w:val="1"/>
                <w:szCs w:val="1"/>
                <w:color w:val="auto"/>
              </w:rPr>
            </w:pPr>
          </w:p>
        </w:tc>
      </w:tr>
      <w:tr>
        <w:trPr>
          <w:trHeight w:val="33"/>
        </w:trPr>
        <w:tc>
          <w:tcPr>
            <w:tcW w:w="5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Spread</w:t>
            </w: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59,776</w:t>
            </w:r>
          </w:p>
        </w:tc>
        <w:tc>
          <w:tcPr>
            <w:tcW w:w="18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xml:space="preserve">3.38 </w:t>
            </w:r>
            <w:r>
              <w:rPr>
                <w:rFonts w:ascii="Times New Roman" w:cs="Times New Roman" w:eastAsia="Times New Roman" w:hAnsi="Times New Roman"/>
                <w:sz w:val="16"/>
                <w:szCs w:val="16"/>
                <w:color w:val="auto"/>
                <w:highlight w:val="white"/>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Interest Margin</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-4276725</wp:posOffset>
            </wp:positionV>
            <wp:extent cx="5700395"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-3985260</wp:posOffset>
            </wp:positionV>
            <wp:extent cx="5700395"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-3685540</wp:posOffset>
            </wp:positionV>
            <wp:extent cx="5700395" cy="316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00395" cy="31686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-2922270</wp:posOffset>
            </wp:positionV>
            <wp:extent cx="5969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-2459355</wp:posOffset>
            </wp:positionV>
            <wp:extent cx="570039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-2167890</wp:posOffset>
            </wp:positionV>
            <wp:extent cx="5700395" cy="274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00395" cy="27432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-1739265</wp:posOffset>
            </wp:positionV>
            <wp:extent cx="5700395" cy="316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0395" cy="31686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-976630</wp:posOffset>
            </wp:positionV>
            <wp:extent cx="5969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-668020</wp:posOffset>
            </wp:positionV>
            <wp:extent cx="5700395" cy="6686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00395" cy="668655"/>
                    </a:xfrm>
                    <a:prstGeom prst="rect">
                      <a:avLst/>
                    </a:prstGeom>
                    <a:noFill/>
                  </pic:spPr>
                </pic:pic>
              </a:graphicData>
            </a:graphic>
          </wp:anchor>
        </w:drawing>
      </w:r>
    </w:p>
    <w:p>
      <w:pPr>
        <w:spacing w:after="0" w:line="19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tables show changes in interest income, interest expense and net interest resulting from changes in volume and rate variances for major categories of earnings assets and interest bearing liabilities.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2022 vs 2021</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Change Due</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Change Due</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to</w:t>
            </w:r>
          </w:p>
        </w:tc>
        <w:tc>
          <w:tcPr>
            <w:tcW w:w="240" w:type="dxa"/>
            <w:vAlign w:val="bottom"/>
          </w:tcPr>
          <w:p>
            <w:pPr>
              <w:spacing w:after="0"/>
              <w:rPr>
                <w:sz w:val="20"/>
                <w:szCs w:val="20"/>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to</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Volume</w:t>
            </w:r>
          </w:p>
        </w:tc>
        <w:tc>
          <w:tcPr>
            <w:tcW w:w="240" w:type="dxa"/>
            <w:vAlign w:val="bottom"/>
          </w:tcPr>
          <w:p>
            <w:pPr>
              <w:spacing w:after="0"/>
              <w:rPr>
                <w:sz w:val="21"/>
                <w:szCs w:val="21"/>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Rate</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36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25,988</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(3,369 )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funds sold &amp; other</w:t>
            </w: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(174 )</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Earning Assets</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26,483</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(2,174 </w:t>
            </w:r>
            <w:r>
              <w:rPr>
                <w:rFonts w:ascii="Times New Roman" w:cs="Times New Roman" w:eastAsia="Times New Roman" w:hAnsi="Times New Roman"/>
                <w:sz w:val="18"/>
                <w:szCs w:val="18"/>
                <w:color w:val="auto"/>
                <w:highlight w:val="white"/>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1140" w:type="dxa"/>
            <w:vAlign w:val="bottom"/>
          </w:tcPr>
          <w:p>
            <w:pPr>
              <w:spacing w:after="0"/>
              <w:rPr>
                <w:sz w:val="19"/>
                <w:szCs w:val="19"/>
                <w:color w:val="auto"/>
              </w:rPr>
            </w:pPr>
          </w:p>
        </w:tc>
        <w:tc>
          <w:tcPr>
            <w:tcW w:w="38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(836 )</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borrowed money</w:t>
            </w: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140" w:type="dxa"/>
            <w:vAlign w:val="bottom"/>
          </w:tcPr>
          <w:p>
            <w:pPr>
              <w:spacing w:after="0"/>
              <w:rPr>
                <w:sz w:val="18"/>
                <w:szCs w:val="18"/>
                <w:color w:val="auto"/>
              </w:rPr>
            </w:pPr>
          </w:p>
        </w:tc>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funds purchased and securities sold</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under agreement to repurchase</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140" w:type="dxa"/>
            <w:vAlign w:val="bottom"/>
          </w:tcPr>
          <w:p>
            <w:pPr>
              <w:spacing w:after="0"/>
              <w:rPr>
                <w:sz w:val="21"/>
                <w:szCs w:val="21"/>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13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(23 )</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shd w:val="clear" w:color="auto" w:fill="CFF0FC"/>
          </w:tcPr>
          <w:p>
            <w:pPr>
              <w:spacing w:after="0" w:line="20" w:lineRule="exact"/>
              <w:rPr>
                <w:sz w:val="1"/>
                <w:szCs w:val="1"/>
                <w:color w:val="auto"/>
              </w:rPr>
            </w:pPr>
          </w:p>
        </w:tc>
        <w:tc>
          <w:tcPr>
            <w:tcW w:w="1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Bearing Liabilities</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-2091055</wp:posOffset>
            </wp:positionV>
            <wp:extent cx="60325"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-2091055</wp:posOffset>
            </wp:positionV>
            <wp:extent cx="51435" cy="1885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-685165</wp:posOffset>
            </wp:positionV>
            <wp:extent cx="60325" cy="1885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-685165</wp:posOffset>
            </wp:positionV>
            <wp:extent cx="51435"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51435" cy="1885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3" w:right="339" w:bottom="1135" w:gutter="0" w:footer="0" w:header="0"/>
        </w:sectPr>
      </w:pPr>
    </w:p>
    <w:bookmarkStart w:id="28" w:name="page29"/>
    <w:bookmarkEnd w:id="28"/>
    <w:tbl>
      <w:tblPr>
        <w:tblLayout w:type="fixed"/>
        <w:tblInd w:w="1140" w:type="dxa"/>
        <w:tblCellMar>
          <w:top w:w="0" w:type="dxa"/>
          <w:left w:w="0" w:type="dxa"/>
          <w:bottom w:w="0" w:type="dxa"/>
          <w:right w:w="0" w:type="dxa"/>
        </w:tblCellMar>
      </w:tblPr>
      <w:tr>
        <w:trPr>
          <w:trHeight w:val="241"/>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2021 vs 2020</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8"/>
              </w:rPr>
              <w:t>(In Thousands)</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Change Due</w:t>
            </w:r>
          </w:p>
        </w:tc>
        <w:tc>
          <w:tcPr>
            <w:tcW w:w="10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Change Due</w:t>
            </w:r>
          </w:p>
        </w:tc>
        <w:tc>
          <w:tcPr>
            <w:tcW w:w="80" w:type="dxa"/>
            <w:vAlign w:val="bottom"/>
          </w:tcPr>
          <w:p>
            <w:pPr>
              <w:spacing w:after="0"/>
              <w:rPr>
                <w:sz w:val="18"/>
                <w:szCs w:val="18"/>
                <w:color w:val="auto"/>
              </w:rPr>
            </w:pPr>
          </w:p>
        </w:tc>
      </w:tr>
      <w:tr>
        <w:trPr>
          <w:trHeight w:val="234"/>
        </w:trPr>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to</w:t>
            </w:r>
          </w:p>
        </w:tc>
        <w:tc>
          <w:tcPr>
            <w:tcW w:w="220" w:type="dxa"/>
            <w:vAlign w:val="bottom"/>
          </w:tcPr>
          <w:p>
            <w:pPr>
              <w:spacing w:after="0"/>
              <w:rPr>
                <w:sz w:val="20"/>
                <w:szCs w:val="20"/>
                <w:color w:val="auto"/>
              </w:rPr>
            </w:pPr>
          </w:p>
        </w:tc>
        <w:tc>
          <w:tcPr>
            <w:tcW w:w="9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to</w:t>
            </w:r>
          </w:p>
        </w:tc>
      </w:tr>
      <w:tr>
        <w:trPr>
          <w:trHeight w:val="250"/>
        </w:trPr>
        <w:tc>
          <w:tcPr>
            <w:tcW w:w="5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Volume</w:t>
            </w:r>
          </w:p>
        </w:tc>
        <w:tc>
          <w:tcPr>
            <w:tcW w:w="220" w:type="dxa"/>
            <w:vAlign w:val="bottom"/>
          </w:tcPr>
          <w:p>
            <w:pPr>
              <w:spacing w:after="0"/>
              <w:rPr>
                <w:sz w:val="21"/>
                <w:szCs w:val="21"/>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Rate</w:t>
            </w:r>
          </w:p>
        </w:tc>
      </w:tr>
      <w:tr>
        <w:trPr>
          <w:trHeight w:val="243"/>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8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140" w:type="dxa"/>
            <w:vAlign w:val="bottom"/>
          </w:tcPr>
          <w:p>
            <w:pPr>
              <w:spacing w:after="0"/>
              <w:rPr>
                <w:sz w:val="20"/>
                <w:szCs w:val="20"/>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10,373</w:t>
            </w:r>
          </w:p>
        </w:tc>
        <w:tc>
          <w:tcPr>
            <w:tcW w:w="22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(4,045 )</w:t>
            </w: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Taxable investment securities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(2,621 )</w:t>
            </w: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Tax-exempt investment securities</w:t>
            </w:r>
          </w:p>
        </w:tc>
        <w:tc>
          <w:tcPr>
            <w:tcW w:w="1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(152 )</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funds sold &amp; interest bearing deposits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(138 )</w:t>
            </w:r>
          </w:p>
        </w:tc>
      </w:tr>
      <w:tr>
        <w:trPr>
          <w:trHeight w:val="20"/>
        </w:trPr>
        <w:tc>
          <w:tcPr>
            <w:tcW w:w="5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Interest Earning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22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(6,780 </w:t>
            </w:r>
            <w:r>
              <w:rPr>
                <w:rFonts w:ascii="Times New Roman" w:cs="Times New Roman" w:eastAsia="Times New Roman" w:hAnsi="Times New Roman"/>
                <w:sz w:val="18"/>
                <w:szCs w:val="18"/>
                <w:color w:val="auto"/>
                <w:highlight w:val="white"/>
              </w:rPr>
              <w:t>)</w:t>
            </w: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5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1"/>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Bearing Liabilities: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(1,475 )</w:t>
            </w:r>
          </w:p>
        </w:tc>
        <w:tc>
          <w:tcPr>
            <w:tcW w:w="2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(2,667 )</w:t>
            </w:r>
          </w:p>
        </w:tc>
      </w:tr>
      <w:tr>
        <w:trPr>
          <w:trHeight w:val="239"/>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time deposits</w:t>
            </w:r>
          </w:p>
        </w:tc>
        <w:tc>
          <w:tcPr>
            <w:tcW w:w="1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(1,745 )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(2,486 )</w:t>
            </w:r>
          </w:p>
        </w:tc>
      </w:tr>
      <w:tr>
        <w:trPr>
          <w:trHeight w:val="247"/>
        </w:trPr>
        <w:tc>
          <w:tcPr>
            <w:tcW w:w="52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borrowed money</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(575 )</w:t>
            </w:r>
          </w:p>
        </w:tc>
      </w:tr>
      <w:tr>
        <w:trPr>
          <w:trHeight w:val="211"/>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funds purchased and securities sold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5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under agreement to repurchase</w:t>
            </w:r>
          </w:p>
        </w:tc>
        <w:tc>
          <w:tcPr>
            <w:tcW w:w="1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(61 )</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(65 )</w:t>
            </w:r>
          </w:p>
        </w:tc>
      </w:tr>
      <w:tr>
        <w:trPr>
          <w:trHeight w:val="250"/>
        </w:trPr>
        <w:tc>
          <w:tcPr>
            <w:tcW w:w="52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Interest Bearing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(3,051 </w:t>
            </w:r>
            <w:r>
              <w:rPr>
                <w:rFonts w:ascii="Times New Roman" w:cs="Times New Roman" w:eastAsia="Times New Roman" w:hAnsi="Times New Roman"/>
                <w:sz w:val="18"/>
                <w:szCs w:val="18"/>
                <w:color w:val="auto"/>
                <w:highlight w:val="white"/>
              </w:rPr>
              <w:t>)</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220" w:type="dxa"/>
            <w:vAlign w:val="bottom"/>
          </w:tcPr>
          <w:p>
            <w:pPr>
              <w:spacing w:after="0"/>
              <w:rPr>
                <w:sz w:val="20"/>
                <w:szCs w:val="20"/>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(5,793 </w:t>
            </w:r>
            <w:r>
              <w:rPr>
                <w:rFonts w:ascii="Times New Roman" w:cs="Times New Roman" w:eastAsia="Times New Roman" w:hAnsi="Times New Roman"/>
                <w:sz w:val="18"/>
                <w:szCs w:val="18"/>
                <w:color w:val="auto"/>
                <w:highlight w:val="white"/>
              </w:rPr>
              <w:t>)</w:t>
            </w:r>
          </w:p>
        </w:tc>
      </w:tr>
      <w:tr>
        <w:trPr>
          <w:trHeight w:val="20"/>
        </w:trPr>
        <w:tc>
          <w:tcPr>
            <w:tcW w:w="5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-1593850</wp:posOffset>
            </wp:positionV>
            <wp:extent cx="60325" cy="1885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-1593850</wp:posOffset>
            </wp:positionV>
            <wp:extent cx="51435" cy="188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-187960</wp:posOffset>
            </wp:positionV>
            <wp:extent cx="51435" cy="1885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 now focuses on the noninterest income and expense generated by the Company for the years ended 2020 through 2022. Noninterest income decreased by 11.8% in total for 2022 as compared to 2021, ending at $15.5 million. 2021 had noninterest income of $17.6 million which exceeded 2020’s $16.8 million by 4.9%.</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two line items of noninterest income on the consolidated income statement for 2022 which improved over both 2021 and 2020 were customer service fee revenue and other service charges and fees. 2022 customer service fee revenue was $287 thousand higher than 2021, mostly due to increased credit card income while 2021 was $778 million higher than 2020, mainly due to increased debit card income. The increase of other service charges and fees in 2022 was attributed to overdraft, returned check charges and recurring overdraft fees from combined business accounts and consumer accounts. Other service charges and fees increased $477.8 thousand from 2021 which increased $164.0 thousand over 2020’s $4.4 million. The majority of the increase for 2021 was related to services charges from business and consumer accounts while the decrease for 2020 was attributed to overdraft, returned check charges and recurring overdraft fees from combined business accounts and consumer accounts. Upgrades to our digital products and services continue to occur in both retail and business lines. In 2020, the Bank purchased additional bank owned life insurance policies which contributed $302.5 thousand of income in 2021. 2020 included a one-time $429.9 thousand gain on the settlement of a bank owned life insurance contract.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Bank has long promoted the use of debit cards by its customers and continues to build on that philosophy with the introduction of new products. During 2022 the Bank collected interchange revenue, combined with fees collected on foreign ATM usage (noncustomers utilizing our ATMs), of $5.0 million which was $149.3 thousand higher than 2021 and $1.1 million higher than 2020. 2022 included a Mastercard growth credit of $188 thousand. For 2021, the Mastercard growth credit was $151 thousand. In December of 2019, the Bank became a principal with MasterCard and received a $1.75 million signing bonus. The signing bonus is based on achieving $1.1 billion in signature transactions within the next five years. The bonus is being recognized over 60 months with $350.8 thousand included in 2022 and 2021’s $5.0 million and $4.8 million, respectively. While this revenue stream continues to improve with more depositors using electronic methods for purchasing, the expense attributable to card fraud has offset a portion of the revenue gain. Further discussion can be found in the noninterest expense section regarding the net effect of debit card activity.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Noninterest income from net gain on sales of loans was the highest in 2020 of the three year periods shown. Net gain on sales of loans was $1.4 million, $3.9 million and $4.0 million, respectively in 2022, 2021 and 2020. The change was related to the decrease in rates after a couple of years of a rising interest rate environment. The net gain on sale of loans is derived from sales of real estate loans into the secondary market. Of these loan types, the Bank sells 100% of the residential loans and 90% of the agricultural loans. 37.6% of the gains were attributed to the residential loans in 2022, 47.4% in 2021 and 65.2% in 2020. In conjunction with these sales, the Bank maintains servicing rights and those income amounts during all three years are included in the customer service fee income line item and accounted for $537 thousand in 2022, $1.4 million in 2021 and $1.7 million in revenue for 2020.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9" w:name="page30"/>
    <w:bookmarkEnd w:id="29"/>
    <w:p>
      <w:pPr>
        <w:jc w:val="both"/>
        <w:spacing w:after="0" w:line="255" w:lineRule="auto"/>
        <w:rPr>
          <w:sz w:val="20"/>
          <w:szCs w:val="20"/>
          <w:color w:val="auto"/>
        </w:rPr>
      </w:pPr>
      <w:r>
        <w:rPr>
          <w:rFonts w:ascii="Times New Roman" w:cs="Times New Roman" w:eastAsia="Times New Roman" w:hAnsi="Times New Roman"/>
          <w:sz w:val="18"/>
          <w:szCs w:val="18"/>
          <w:color w:val="auto"/>
        </w:rPr>
        <w:t>The last item in the noninterest income section is the net gain of sale of investments. Due to the available for sale security portfolio remaining in an unrealized loss position in 2022, the Bank did not sell any securities in 2022. The Bank has sold securities in 2021 and 2020 for two main purposes: to provide funds for loan growth and to take advantage of the position of the yield curve when a gain can be recognized on sales without extending the duration of the portfolio longer than wanted. In March of 2021, the Company sold and recognized a gain on the sale of securities from the holding company of $293 thousand in preparation for the acquisition of Ossian State Bank. In February of 2020, the Bank completed security swap transactions that resulted in a gain of $270 thousand. The Bank will not increase short-term gains at the sacrifice of long-term profitability. The available for sale security portfolio switched from an unrealized gain position in 2020 into an unrealized loss position in 2021 that continued through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Noninterest expense increased 5.7% in 2022 as compared to 2021 and was preceded by a 22.1% increase in 2021 as compared to 2020. Represented in dollars, 2022 was $3.1 million higher than 2021 and 2021 was $9.8 million higher than 2020. Acquisition costs incurred in 2022 and 2021 totaled $2.5 million and $3.9 million, respectively with expenses being recorded in multiple line items. The largest factor behind the increase in both years was the expense of employee salaries and wages. During 2022, an additional $2.5 million was spent over 2021 which correlates to a 12.5% increase. When making the same analysis for 2021 as compared to 2020, 2021’s costs increased $1.7 million or 9.2%. Three main components flow into salaries and wages: base salary, deferred costs, and incentives comprised of the expense of restricted stock awards and performance incentives. 2022 increased with the acquisition of Peoples Federal Savings and Loan offices. 2021 increased with the addition of one new office and the acquisition of Ossian State Bank and Perpetual Federal Savings Bank offices. Base pay increased in 2020 with the creation of pay grades and a minimum living wage of $26,000 or $12.50 per hour. Normal yearly increases to the employees would be included in all years. Base pay was up $2.7 million for 2022 over the previous year and 2021 was up $1.2 million over 2020. The full time equivalent number of employees at each year-end increased to 431 for 2022, to 385 for 2021 compared to 2020’s 367.</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Incentive pay as it related to performance was up $464.1 thousand in 2022 over 2021 and up $320.9 thousand in 2021 over 2020. The Return on Assets multiple used to award incentive pay increased in 2022 to 1.196 compared to 1.165 in 2021 and 1.0 in 2020. In 2022 and 2021, acquisition costs were eliminated from the calculation and 2020 excluded the accelerated net fee income recognized with the forgiveness of PPP loans. The expense for the restricted stock awards increased in 2022 due to more shares being granted to a slightly larger number of employees and the market value of the shares increasing compared to 2021. 7,746 additional shares were awarded in 2022 with a higher value as compared to 2021. The expense for 2022 was higher by $77.4 thousand which included reduced expense due to retirement of $56.9 thousand as compared to 2021. 11,368 additional shares were awarded in 2021 with a higher value as compared to 2020; however, the expense for 2021 was lower by $201.6 thousand which included accelerated expense due to retirement of $32.6 thousand as compared to 2020. The awards incorporate a three year vesting period so the increase of any one year carries forward through the next two years. This expense should continue to increase as the Company continues its expansion strategy. For further discussion in incentive pay and restricted stock awards, see Note 11 of the consolidated financial statements.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Employee benefits expense decreased in 2022 as compared to 2021. Miscellaneous personnel expense accounted for the largest portion of the decrease, which was a decrease of $528.1 thousand over 2021. Acquisition related costs included in this line were $217.3 thousand. The cost of the 401-K retirement plan decreased $251.6 thousand for 2022 as compared to 2021. The contribution portion relating to the discretionary profit-sharing percentage was 5.5% in 2022 compared to 5.0% for 2021. Overall, employee benefits decreased $418.8 thousand or 5.7% from 2021.</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Along with the salary and wage increase was an increase in employee benefits in 2021 as compared to 2020. Miscellaneous personnel expense accounted for the largest portion of the cost, which was an increase of $774.3 thousand over 2020. Acquisition related costs included in this line were $825.5 thousand. The cost of the 401-K retirement plan increased $856.5 thousand for 2021 as compared to 2020. The contribution portion relating to the discretionary profit-sharing percentage was 5.0% in 2021 compared to 4.6% for 2020. Workers compensation increased $184 thousand compared to 2020 with the bureau issuing three dividend checks totaling $185.9 thousand in 2020. Overall, employee benefits increased $1.7 million or 30.7% from 2020.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occupancy expense typically increases as the Company expands. Net occupancy expense increased for 2022 $381.8 thousand but decreased in 2021. One factor that can offset occupancy expense is the receipt by the Company of building rent as it is netted out of occupancy expense. The greatest contributor to building rent comes from the division of FM Investments within the Bank. For 2022, building rent as generated from FM Investments was higher by $106.5 thousand. Rent is received in lieu of commissions. This increase of revenue was able to partially offset increased building repair and maintenance expenses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of $14.0 thousand and lease expense of $46.9 thousand and increased automobile expense of $123.3 thousand. Building rent as generated by FM Investments was higher by $407.9 thousand in 2021 which offset building repair and maintenance expenses of $230.9 thousand contributing to the overall decrease to net occupancy of $87.0 thousand in 2021 as compared to 2020.</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1-4 family mortgage refinancing activity saw a significant decrease in 2022 with the increase in interest rates. 2020 accounted for the largest number of loans being closed in the Bank’s history. A correlating expense to that activity as it relates to loans sold to the secondary market, is the amortization of mortgage servicing rights. The amortization is the expense that offsets the income recognized when the loan is first made. Income is recorded when the mortgage loan is first sold with servicing retained and is therefore recognized within one year. The amortization, however, is calculated over the life of the loan and accelerated as loans are paid off early. An increase in this expense can be driven by two activities: an increase in the number of sold loans and/or by the acceleration of the expense from payoff and refinance activity. The best picture of the bottom line impact is achieved by netting the income with the expense each year. 2022 had a net loss of $22 thousand which excluded the reversal of the $414 thousand valuation allowance established the prior year. The net income for 2021 was $251 thousand with a carrying value that was greater than the $3.2 million market value thus creating the need to establish a $414 thousand valuation allowance. 2020 had net income of $691 thousand. Of course, the value (or income) of the mortgage servicing right when the loans are sold also impacts the net position. As of December 31, 2022, 3,861 loans are being serviced with corresponding balances of $375.6 million. 2021 had 3,961 loans serviced with corresponding balances of $380.8 million. As of December 2020, 4,034 loans were being serviced with balances of $377.5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mortgage servicing rights to both noninterest income and expense is shown in the following table:</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4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r>
      <w:tr>
        <w:trPr>
          <w:trHeight w:val="241"/>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shd w:val="clear" w:color="auto" w:fill="CFF0FC"/>
          </w:tcPr>
          <w:p>
            <w:pPr>
              <w:spacing w:after="0"/>
              <w:rPr>
                <w:sz w:val="20"/>
                <w:szCs w:val="20"/>
                <w:color w:val="auto"/>
              </w:rPr>
            </w:pPr>
          </w:p>
        </w:tc>
      </w:tr>
      <w:tr>
        <w:trPr>
          <w:trHeight w:val="239"/>
        </w:trPr>
        <w:tc>
          <w:tcPr>
            <w:tcW w:w="4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Additions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80" w:type="dxa"/>
            <w:vAlign w:val="bottom"/>
          </w:tcPr>
          <w:p>
            <w:pPr>
              <w:spacing w:after="0"/>
              <w:rPr>
                <w:sz w:val="20"/>
                <w:szCs w:val="20"/>
                <w:color w:val="auto"/>
              </w:rPr>
            </w:pPr>
          </w:p>
        </w:tc>
      </w:tr>
      <w:tr>
        <w:trPr>
          <w:trHeight w:val="243"/>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(559 )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(1,166 )</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(1,031 )</w:t>
            </w:r>
          </w:p>
        </w:tc>
      </w:tr>
      <w:tr>
        <w:trPr>
          <w:trHeight w:val="237"/>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80" w:type="dxa"/>
            <w:vAlign w:val="bottom"/>
            <w:tcBorders>
              <w:top w:val="single" w:sz="8" w:color="CFF0FC"/>
            </w:tcBorders>
          </w:tcPr>
          <w:p>
            <w:pPr>
              <w:spacing w:after="0"/>
              <w:rPr>
                <w:sz w:val="20"/>
                <w:szCs w:val="20"/>
                <w:color w:val="auto"/>
              </w:rPr>
            </w:pPr>
          </w:p>
        </w:tc>
      </w:tr>
      <w:tr>
        <w:trPr>
          <w:trHeight w:val="243"/>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(414 )</w:t>
            </w: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41"/>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Mortgage Servicing Rights net, December 31</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2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80" w:type="dxa"/>
            <w:vAlign w:val="bottom"/>
            <w:tcBorders>
              <w:top w:val="single" w:sz="8" w:color="CFF0FC"/>
            </w:tcBorders>
          </w:tcPr>
          <w:p>
            <w:pPr>
              <w:spacing w:after="0"/>
              <w:rPr>
                <w:sz w:val="20"/>
                <w:szCs w:val="20"/>
                <w:color w:val="auto"/>
              </w:rPr>
            </w:pPr>
          </w:p>
        </w:tc>
      </w:tr>
      <w:tr>
        <w:trPr>
          <w:trHeight w:val="20"/>
        </w:trPr>
        <w:tc>
          <w:tcPr>
            <w:tcW w:w="4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-505460</wp:posOffset>
            </wp:positionV>
            <wp:extent cx="6032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-505460</wp:posOffset>
            </wp:positionV>
            <wp:extent cx="51435" cy="163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-187960</wp:posOffset>
            </wp:positionV>
            <wp:extent cx="6032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-187960</wp:posOffset>
            </wp:positionV>
            <wp:extent cx="5143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Furniture and equipment steadily increase as we continue to add facilities and invest in technology. Annual maintenance costs continue to grow and become a greater piece of the overall cost. As new services are provided to our customers, the backroom cost to supply them continues to rise. The Company accepts it is an expected cost of doing business and keeping our services relevant to the industry.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Data processing costs were higher in 2022 as compared to 2021 by $454.2 thousand. Acquisition related data processing expense decreased $257.2 thousand in 2022 compared to 2021. As the pricing on many services is based on number of accounts which the Bank fully expects to increase with the growth from the newer offices and overall Bank growth, data processing costs are expected to increase. Data processing expense increased by $1.7 million during 2021 as compared to 2020 of which $1.4 million was acquisition related.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ATM expense increased $371.2 thousand over 2021 while 2021 increased $156.0 thousand from 2020. Included in this line are the debit card fees incurred which offset the debit card income as discussed above.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FDIC assessment decreased from 2021 due to a decreased assessment rate that has offset an increased assessment base while 2021 increased as compared to 2020. This line item speaks to the health of the Bank and the financial industry. With continued growth, the assessment base increases which leads to a greater expense. 2022’s assessment was $168.3 thousand under 2021. The assessment for 2021 was up $440 thousand compared to 2020 as a result of the total assessment base increasing.</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Advertising and public relations increased in 2022 by $210.1 thousand and increased in 2021 by $104.0 thousand. With the addition of new offices, 2022 was expected to increase. The Bank also celebrates the anniversary of office openings with a special event in each community. 2022 also saw the celebration and promotion of the Bank's 125th anniversary.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last line items with significant variation in noninterest expense to discuss is “consulting fees” and “other general and administrative.” Consulting fees decreased by $332.8 thousand in 2022 from 2021 and increased $666.0 thousand in 2021 compared to 2020. Acquisition expenses included in the other general and administrative line were $590.3 thousand for 2022 and $743.3 thousand for 2020. Customer list intangible expense which is included in the other general and administrative line increased in 2021 compared to 2020 by $107.0 thousand with the acquisition of Adams County Financial Resources in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November of 2020. Loan and collection expenses increased $287.0 thousand over 2021 and legal expenses decreased $223.3 thousand from 2021 of which $205.1 thousand of the decrease was acquisition related. Auditing and exam fees increased $103.1 thousand which included $77.3 thousand of acquisition related costs over 2021 and 2021 increased $210.3 thousand over 2020 which included $81.1 thousand of acquisition related costs.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Provision expense increased by $1.2 million for 2022 as compared to 2021 and decreased by $3.5 million for 2021 as compared to 2020. The increase in provision expense for 2022 was attributed to the net charge-off activity and significant loan growth. Sustained strong asset quality kept the provision expense lower than the growth alone would have warranted. The larger provision expense for 2020 was attributable to the uncertainties associated with COVID-19 and its effects on the ability of individuals, businesses and other entities to meet their financial obligations. Therefore, it was prudent to incorporate the impact of COVID-19 in the evaluation of the adequacy of Allowance for Loan and Lease Losses (ALLL). The portfolios for which we had concerns with the COVID-19 impact in 2020 have performed and recovered nicely and have allowed us not to allocate funds to the ALLL in 2021. Management continues to monitor asset quality, making adjustments to the provision as necessary. The commercial and industrial portfolio had the highest level of charge-off activity in 2022 and 2021 at $418 and $814 thousand, respectively. The consumer portfolio had the highest levels of charge-off activity in 2020 at $380 thousand. Net charge-offs in the commercial and industrial portfolio were $325 and $557 thousand in 2022 and 2021, respectively while the consumer portfolio net charge-offs were $240 for 2020. Total net charge-offs were $529, $874 and $537 thousand for 2022, 2021 and 2020, respectively.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segregates its Allowance for Credit Losses (ACL) into two reserves: The ALLL and the Allowance for Unfunded Loan Commitments and Letters of Credit (AULC). When combined, these reserves constitute the total ACL. The AUCL is included in other liabilities on the consolidated balance sheets.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Bank’s ALLL methodology captures trends in leading, current, and lagging indicators which will directly affect the Bank’s allocation amount. The Bank monitors trends in such leading indicators as delinquency, unemployment changes in the Bank’s service area, experience and ability of staff, regulatory trends, and credit concentrations. A current indicator such as the total watch list loan amount to Capital, and a lagging indicator such as the charge-off amount are referenced as well. A matrix formed by loan type from these indicators is used in making ALLL adjustments.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Watch list loan balances are comprised of loans graded 5-8. At year-end December 31, 2022, these loans totaled $60.0 million and were $4.6 million higher than December 31, 2021. Grade 5 increased $2.6 million in 2022 as compared to 2021 and Grade 6 increased $2.0 million in the same comparison.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year-end December 31, 2021, these loans totaled $55.4 million and were approximately $1.0 million lower than December 31, 2020. Grade 5 increased $4.4 million in 2021 as compared to 2020 and Grade 6 decreased $4.3 million in the same comparison. Grade 7 decreased $1.1 million in 2021 as compared to 2020.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year-end December 31, 2020 these loans totaled $56.3 million and were $3.9 million lower than December 31, 2019. Grade 5 decreased $6.1 million in 2020 as compared to 2019 and Grade 6 increased by $2.2 million in the same comparison. Grade 7 increased a mere $29 thousand in 2020 as compared to 2019.</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December 31, 2022, of the $60.0 million watch list loans, 41.0% were classified as special mention and 59.0% were classified as substandard. At year-end 2021, of the $55.4 million watch list loans, 39.7% were classified as special mention and 60.3% were classified as substandard.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the aggregate watch list loan balances, as of December 31, 2020, 31.2% of the watch list was classified as special mention, with an additional 66.8% classified as substandard and a small 2.0% or $1.1 million of the $56.3 million watch list was classified as doubtful.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response to these fluctuations and the offset by loan growth during 2020 through 2022, the Bank’s ALLL to outstanding loan coverage percentage changed to 0.86% as of December 31, 2022, 0.87% as of December 31, 2021 and 1.05% as of December 31, 2020. In addition, for 2022, 2021 and 2020, our allowance for loan and lease losses does not include a $785 thousand, $1.2 million and $1.7 million credit mark associated with the Limberlost acquisition. For 2022 and 2021, our allowance for loan and lease losses also does not include a $480 thousand or $966 thousand credit mark associated with the Ossian acquisition. The credit mark not included in the allowance for loan losses associated with the Perpetual Federal Savings Bank acquisition for 2022 and 2021 was $4.4 million and $5.5 million, respectively. 2022 also includes a $798 thousand credit mark associated 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the Peoples Federal Savings and Loan Bank acquisition. Together, all of the credit marks further support the current position of the ALLL.</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above indicators impacting the ALLL are reviewed at a minimum quarterly. Some of the indicators are quantifiable and, as such, will automatically adjust the ALLL once calculated. These indicators include the ratio of past due loans to total loans, loans past due greater than 30 days, and the ratio of watch list loans to capital, with the watch list made up of loans graded 5, 6 or 7 on a scale of 1 (best) to 7 (worst). Other indicators consist of more subjective data used to evaluate the potential for inherent losses in the Bank’s loan portfolio. For example, the economic indicator uses the unemployment statistics from the communities in our market area to help determine whether the ALLL should be adjusted. In 2020, a COVID-19 factor was added and adjusted during the year. The COVID-19 factor was eliminated by the end of 2022.</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commercial and agricultural relationships with lines of credit greater than $50,000 and aggregate loan exposure greater than $250,000 are reviewed annually by the Bank’s Credit Department. All commercial and agricultural relationships with term debt only and aggregate loan exposure greater than $750,000 are also reviewed by the Bank’s Credit Department. These reviews are conducted to identify early signs of deterioration.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establish the specific reserve allocation for real estate, a discount to the market value is established to account for liquidation expenses. The discounting percentage used for real estate mirrors the discounting of real estate as provided for in the Bank’s Loan Policy. However, unique or unusual circumstances may be present which will affect the real estate value and, when appropriately identified, can adjust the discounting percentage at the discretion of management.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ACL increased $4.3 million during 2022 while increasing $3.0 million and $6.6 million during 2021 and 2020, respectively. The percentage of ACL to the total loan portfolio was 1.10% as of December 31, 2020 and 0.93% as of December 31, 2021, and 0.92% as of December 31, 2022. December 31, 2021 had the lowest loans past due 30+ day percentage at 0.09% in the last ten years. December 31, 2020 and 2022 were still at respectable lows of 0.29% and 0.26%.</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Note 4 in the consolidated financial statement for additional tables regarding the composition of the ACL.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tax expense was $1.9 million more for 2022 than 2021 as result of approximately $11.0 million of additional income. Effective tax rates were 19.67%, 20.35% and 20.28% for 2022, 2021 and 2020 respectively. The effect of tax-exempt interest from holding tax-exempt securities and Industrial Development Bonds (IDBs) was $137, $119 and $150 thousand for 2022, 2021 and 2020, respectively less the TEFRA adjustments of $5, $3 and $4 thousand respectively. One of the benefits from the establishment of the Captive subsidiary was a lower effective tax rate.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Changes in Financial Condition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shifts in the balance sheet during 2022 through 2020 have positioned the Company for continued improvement in profitability. On the asset side, interest income increased primarily from loan growth with funding for the increase provided by growth in core deposits and growth in other borrowings primarily related to the acquisition of the Bank of Geneva and Perpetual Federal Savings Bank. The cost of funds has been impacted by the increase of both interest bearing liabilities, the pressure on rates from competition for funds and a rising rate environment. In 2020, the rate pressure from competition basically subsided. Increased balances in non-interest bearing deposits aided in profitability also. Loan growth contributed to an increase in profitability in 2022 through 2020.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earning assets increased in balances through 2022 and 2020. Loan growth in the three years was the main factor.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SELECTED CONSOLIDATED FINANCIAL DATA</w:t>
      </w: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Summary of Consolidated Statement of Income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color w:val="auto"/>
              </w:rPr>
              <w:t>(In Thousands, except share data)</w:t>
            </w:r>
          </w:p>
        </w:tc>
        <w:tc>
          <w:tcPr>
            <w:tcW w:w="7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2020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2019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Summary of Income:</w:t>
            </w: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101,149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76,840</w:t>
            </w:r>
          </w:p>
        </w:tc>
        <w:tc>
          <w:tcPr>
            <w:tcW w:w="180" w:type="dxa"/>
            <w:vAlign w:val="bottom"/>
          </w:tcPr>
          <w:p>
            <w:pPr>
              <w:spacing w:after="0"/>
              <w:rPr>
                <w:sz w:val="19"/>
                <w:szCs w:val="19"/>
                <w:color w:val="auto"/>
              </w:rPr>
            </w:pPr>
          </w:p>
        </w:tc>
        <w:tc>
          <w:tcPr>
            <w:tcW w:w="3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70,169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46,429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14,362</w:t>
            </w:r>
          </w:p>
        </w:tc>
        <w:tc>
          <w:tcPr>
            <w:tcW w:w="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7,342</w:t>
            </w: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10,393</w:t>
            </w:r>
          </w:p>
        </w:tc>
        <w:tc>
          <w:tcPr>
            <w:tcW w:w="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14,759</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6,572</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Interest Income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86,787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59,776</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53,547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Provision for loan losses</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Net interest income after provision for loan losses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82,187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66,054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52,409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Noninterest income (expense), net</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(41,712 )</w:t>
            </w: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(36,557 )</w:t>
            </w: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(27,589 )</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(29,647 )</w:t>
            </w:r>
          </w:p>
        </w:tc>
        <w:tc>
          <w:tcPr>
            <w:tcW w:w="2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(21,283 )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before income taxes</w:t>
            </w:r>
          </w:p>
        </w:tc>
        <w:tc>
          <w:tcPr>
            <w:tcW w:w="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40,475</w:t>
            </w: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29,497</w:t>
            </w:r>
          </w:p>
        </w:tc>
        <w:tc>
          <w:tcPr>
            <w:tcW w:w="18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25,206</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22,762</w:t>
            </w:r>
          </w:p>
        </w:tc>
        <w:tc>
          <w:tcPr>
            <w:tcW w:w="2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18,250</w:t>
            </w:r>
          </w:p>
        </w:tc>
        <w:tc>
          <w:tcPr>
            <w:tcW w:w="100" w:type="dxa"/>
            <w:vAlign w:val="bottom"/>
            <w:tcBorders>
              <w:top w:val="single" w:sz="8" w:color="CFF0FC"/>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Income taxes</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7,960</w:t>
            </w:r>
          </w:p>
        </w:tc>
        <w:tc>
          <w:tcPr>
            <w:tcW w:w="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6,002</w:t>
            </w:r>
          </w:p>
        </w:tc>
        <w:tc>
          <w:tcPr>
            <w:tcW w:w="1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5,111</w:t>
            </w:r>
          </w:p>
        </w:tc>
        <w:tc>
          <w:tcPr>
            <w:tcW w:w="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4,360</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23,495</w:t>
            </w:r>
          </w:p>
        </w:tc>
        <w:tc>
          <w:tcPr>
            <w:tcW w:w="180" w:type="dxa"/>
            <w:vAlign w:val="bottom"/>
          </w:tcPr>
          <w:p>
            <w:pPr>
              <w:spacing w:after="0"/>
              <w:rPr>
                <w:sz w:val="19"/>
                <w:szCs w:val="19"/>
                <w:color w:val="auto"/>
              </w:rPr>
            </w:pPr>
          </w:p>
        </w:tc>
        <w:tc>
          <w:tcPr>
            <w:tcW w:w="3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14,949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 Share of Common Stock:</w:t>
            </w: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Earnings per common share outstanding *</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gridSpan w:val="2"/>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FF0FC"/>
            </w:tcBorders>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w:t>
            </w:r>
          </w:p>
        </w:tc>
        <w:tc>
          <w:tcPr>
            <w:tcW w:w="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0.7100</w:t>
            </w:r>
          </w:p>
        </w:tc>
        <w:tc>
          <w:tcPr>
            <w:tcW w:w="180" w:type="dxa"/>
            <w:vAlign w:val="bottom"/>
          </w:tcPr>
          <w:p>
            <w:pPr>
              <w:spacing w:after="0"/>
              <w:rPr>
                <w:sz w:val="19"/>
                <w:szCs w:val="19"/>
                <w:color w:val="auto"/>
              </w:rPr>
            </w:pPr>
          </w:p>
        </w:tc>
        <w:tc>
          <w:tcPr>
            <w:tcW w:w="3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0.6600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4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5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outstanding, including participating</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13,206,713</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11,664,852</w:t>
            </w: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11,146,270</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11,113,810</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9,272,964</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56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securities</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vMerge w:val="continue"/>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gridSpan w:val="2"/>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vMerge w:val="continue"/>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Based on weighted average number of shares outstanding</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Summary of Consolidated Balance Sheet</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color w:val="auto"/>
              </w:rPr>
              <w:t>(In Thousands)</w:t>
            </w: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2019</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3,015,351</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2,638,300</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1,909,544</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1,607,330</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1,116,163</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Loans, net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2,336,074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1,841,177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1,289,318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1,211,771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839,599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deposits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2,468,864</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2,193,462</w:t>
            </w: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1,596,162</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1,288,347</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928,790</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298,140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297,167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249,160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230,258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143,287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Key Ratios</w:t>
            </w: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Return on average equity</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11.30 %</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9.09 %</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8.38 %</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8.26 %</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10.86 %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Return on average assets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1.17 %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1.05 %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1.14 %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1.23 %</w:t>
            </w: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Loans to deposits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94.62 %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83.94 %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80.78 %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94.06 %</w:t>
            </w: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90.40 %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to assets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9.89 %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11.26 %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13.05 %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14.33 %</w:t>
            </w: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12.84 %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 payout</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32.74 %</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35.08 %</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36.36 %</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36.59 %</w:t>
            </w:r>
          </w:p>
        </w:tc>
        <w:tc>
          <w:tcPr>
            <w:tcW w:w="22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34.40 %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-4538980</wp:posOffset>
            </wp:positionV>
            <wp:extent cx="7747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-4538980</wp:posOffset>
            </wp:positionV>
            <wp:extent cx="77470"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-4538980</wp:posOffset>
            </wp:positionV>
            <wp:extent cx="68580"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-4538980</wp:posOffset>
            </wp:positionV>
            <wp:extent cx="6858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-4538980</wp:posOffset>
            </wp:positionV>
            <wp:extent cx="6858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-4238625</wp:posOffset>
            </wp:positionV>
            <wp:extent cx="7747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-4238625</wp:posOffset>
            </wp:positionV>
            <wp:extent cx="7747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-4238625</wp:posOffset>
            </wp:positionV>
            <wp:extent cx="6858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-4238625</wp:posOffset>
            </wp:positionV>
            <wp:extent cx="685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-4238625</wp:posOffset>
            </wp:positionV>
            <wp:extent cx="685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-3938905</wp:posOffset>
            </wp:positionV>
            <wp:extent cx="7747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-3938905</wp:posOffset>
            </wp:positionV>
            <wp:extent cx="7747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-3938905</wp:posOffset>
            </wp:positionV>
            <wp:extent cx="68580" cy="154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-3938905</wp:posOffset>
            </wp:positionV>
            <wp:extent cx="6858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-3938905</wp:posOffset>
            </wp:positionV>
            <wp:extent cx="6858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-3638550</wp:posOffset>
            </wp:positionV>
            <wp:extent cx="77470"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-3638550</wp:posOffset>
            </wp:positionV>
            <wp:extent cx="77470" cy="1803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18034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-3638550</wp:posOffset>
            </wp:positionV>
            <wp:extent cx="68580" cy="180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-3638550</wp:posOffset>
            </wp:positionV>
            <wp:extent cx="68580" cy="1803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-3638550</wp:posOffset>
            </wp:positionV>
            <wp:extent cx="68580" cy="1803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-3021330</wp:posOffset>
            </wp:positionV>
            <wp:extent cx="7747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-3021330</wp:posOffset>
            </wp:positionV>
            <wp:extent cx="77470"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-3021330</wp:posOffset>
            </wp:positionV>
            <wp:extent cx="68580" cy="1625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-3021330</wp:posOffset>
            </wp:positionV>
            <wp:extent cx="68580" cy="162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-3021330</wp:posOffset>
            </wp:positionV>
            <wp:extent cx="68580" cy="1625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-2464435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-2464435</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-2464435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-2464435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-2464435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-569595</wp:posOffset>
            </wp:positionV>
            <wp:extent cx="713232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121"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investment portfolio is primarily used to provide overall liquidity for the Bank. It is also used to provide required collateral for pledging to the Bank’s Ohio public depositors for amounts on deposit in excess of the FDIC coverage limits. It may also be used to pledge for additional borrowings from third parties. Investments are made with the above criteria in mind while still seeking a fair market rate of return and looking for maturities that fall within the projected overall strategy of the Bank. The possible need to fund future loan growth is also a consideration.</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Bank uses Promontory’s ICS product which utilizes a nation-wide bank network to provide FDIC insurance coverage to the Bank’s depositors to protect balances over $250 thousand. The Bank is using the product to replace pledging securities for the Bank’s Ohio public customers and commercial sweep customers; thereby increasing liquidity.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Bank’s security portfolio is categorized as available for sale and as such is recorded at market value.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657"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Our cash position increased with each of the acquisitions and the excess cash was partially invested in the security portfolio. Security balances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are summarized below:</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4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r>
      <w:tr>
        <w:trPr>
          <w:trHeight w:val="241"/>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94,678</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89,177</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139,767</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156,886</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124,241</w:t>
            </w:r>
          </w:p>
        </w:tc>
        <w:tc>
          <w:tcPr>
            <w:tcW w:w="80" w:type="dxa"/>
            <w:vAlign w:val="bottom"/>
          </w:tcPr>
          <w:p>
            <w:pPr>
              <w:spacing w:after="0"/>
              <w:rPr>
                <w:sz w:val="20"/>
                <w:szCs w:val="20"/>
                <w:color w:val="auto"/>
              </w:rPr>
            </w:pPr>
          </w:p>
        </w:tc>
      </w:tr>
      <w:tr>
        <w:trPr>
          <w:trHeight w:val="247"/>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86,927</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117,927</w:t>
            </w: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113,056</w:t>
            </w:r>
          </w:p>
        </w:tc>
        <w:tc>
          <w:tcPr>
            <w:tcW w:w="80" w:type="dxa"/>
            <w:vAlign w:val="bottom"/>
            <w:shd w:val="clear" w:color="auto" w:fill="CFF0FC"/>
          </w:tcPr>
          <w:p>
            <w:pPr>
              <w:spacing w:after="0"/>
              <w:rPr>
                <w:sz w:val="21"/>
                <w:szCs w:val="21"/>
                <w:color w:val="auto"/>
              </w:rPr>
            </w:pPr>
          </w:p>
        </w:tc>
      </w:tr>
      <w:tr>
        <w:trPr>
          <w:trHeight w:val="23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69,417</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65,941</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70,515</w:t>
            </w:r>
          </w:p>
        </w:tc>
        <w:tc>
          <w:tcPr>
            <w:tcW w:w="80" w:type="dxa"/>
            <w:vAlign w:val="bottom"/>
          </w:tcPr>
          <w:p>
            <w:pPr>
              <w:spacing w:after="0"/>
              <w:rPr>
                <w:sz w:val="20"/>
                <w:szCs w:val="20"/>
                <w:color w:val="auto"/>
              </w:rPr>
            </w:pPr>
          </w:p>
        </w:tc>
      </w:tr>
      <w:tr>
        <w:trPr>
          <w:trHeight w:val="277"/>
        </w:trPr>
        <w:tc>
          <w:tcPr>
            <w:tcW w:w="44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390,789</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429,931</w:t>
            </w:r>
          </w:p>
        </w:tc>
        <w:tc>
          <w:tcPr>
            <w:tcW w:w="2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307,812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-24765</wp:posOffset>
            </wp:positionV>
            <wp:extent cx="603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603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maturities of investment securities as of December 31, 2022 and the weighted average yields of such securities calculated on the basis of cost and effective yields weighted for the scheduled maturity of each security. Tax-equivalent adjustments, using a twenty-one percent rate, have been made in yields on obligations of state and political subdivisions. Stocks of domestic corporations have not been included. Maturities of mortgage-backed securities are based on the stated maturity date of the security. Due to prepayments, actual maturities may be different.</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760" w:type="dxa"/>
            <w:vAlign w:val="bottom"/>
            <w:gridSpan w:val="7"/>
          </w:tcPr>
          <w:p>
            <w:pPr>
              <w:jc w:val="center"/>
              <w:ind w:right="940"/>
              <w:spacing w:after="0"/>
              <w:rPr>
                <w:sz w:val="20"/>
                <w:szCs w:val="20"/>
                <w:color w:val="auto"/>
              </w:rPr>
            </w:pPr>
            <w:r>
              <w:rPr>
                <w:rFonts w:ascii="Times New Roman" w:cs="Times New Roman" w:eastAsia="Times New Roman" w:hAnsi="Times New Roman"/>
                <w:sz w:val="18"/>
                <w:szCs w:val="18"/>
                <w:color w:val="auto"/>
                <w:w w:val="99"/>
              </w:rPr>
              <w:t>Maturities</w:t>
            </w: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5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4"/>
        </w:trPr>
        <w:tc>
          <w:tcPr>
            <w:tcW w:w="5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20" w:type="dxa"/>
            <w:vAlign w:val="bottom"/>
            <w:gridSpan w:val="5"/>
          </w:tcPr>
          <w:p>
            <w:pPr>
              <w:jc w:val="center"/>
              <w:ind w:right="50"/>
              <w:spacing w:after="0"/>
              <w:rPr>
                <w:sz w:val="20"/>
                <w:szCs w:val="20"/>
                <w:color w:val="auto"/>
              </w:rPr>
            </w:pPr>
            <w:r>
              <w:rPr>
                <w:rFonts w:ascii="Times New Roman" w:cs="Times New Roman" w:eastAsia="Times New Roman" w:hAnsi="Times New Roman"/>
                <w:sz w:val="18"/>
                <w:szCs w:val="18"/>
                <w:color w:val="auto"/>
                <w:w w:val="98"/>
              </w:rPr>
              <w:t>After One Year</w:t>
            </w:r>
          </w:p>
        </w:tc>
        <w:tc>
          <w:tcPr>
            <w:tcW w:w="160" w:type="dxa"/>
            <w:vAlign w:val="bottom"/>
          </w:tcPr>
          <w:p>
            <w:pPr>
              <w:spacing w:after="0"/>
              <w:rPr>
                <w:sz w:val="20"/>
                <w:szCs w:val="20"/>
                <w:color w:val="auto"/>
              </w:rPr>
            </w:pPr>
          </w:p>
        </w:tc>
      </w:tr>
      <w:tr>
        <w:trPr>
          <w:trHeight w:val="245"/>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Within One Year</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gridSpan w:val="6"/>
          </w:tcPr>
          <w:p>
            <w:pPr>
              <w:jc w:val="center"/>
              <w:ind w:right="210"/>
              <w:spacing w:after="0"/>
              <w:rPr>
                <w:sz w:val="20"/>
                <w:szCs w:val="20"/>
                <w:color w:val="auto"/>
              </w:rPr>
            </w:pPr>
            <w:r>
              <w:rPr>
                <w:rFonts w:ascii="Times New Roman" w:cs="Times New Roman" w:eastAsia="Times New Roman" w:hAnsi="Times New Roman"/>
                <w:sz w:val="18"/>
                <w:szCs w:val="18"/>
                <w:color w:val="auto"/>
                <w:w w:val="97"/>
              </w:rPr>
              <w:t>Within Five Years</w:t>
            </w:r>
          </w:p>
        </w:tc>
      </w:tr>
      <w:tr>
        <w:trPr>
          <w:trHeight w:val="237"/>
        </w:trPr>
        <w:tc>
          <w:tcPr>
            <w:tcW w:w="5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4"/>
              </w:rPr>
              <w:t>Yield</w:t>
            </w:r>
          </w:p>
        </w:tc>
        <w:tc>
          <w:tcPr>
            <w:tcW w:w="3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Yield</w:t>
            </w:r>
          </w:p>
        </w:tc>
        <w:tc>
          <w:tcPr>
            <w:tcW w:w="160" w:type="dxa"/>
            <w:vAlign w:val="bottom"/>
          </w:tcPr>
          <w:p>
            <w:pPr>
              <w:spacing w:after="0"/>
              <w:rPr>
                <w:sz w:val="20"/>
                <w:szCs w:val="20"/>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0.89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51,673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1.12 %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108,945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2.43 %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2.27 %</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2.19 %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Taxable state and local governments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0.00 %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473"/>
        </w:trPr>
        <w:tc>
          <w:tcPr>
            <w:tcW w:w="5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After Five Years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Within Ten Years</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80" w:type="dxa"/>
            <w:vAlign w:val="bottom"/>
            <w:gridSpan w:val="6"/>
          </w:tcPr>
          <w:p>
            <w:pPr>
              <w:jc w:val="center"/>
              <w:ind w:right="250"/>
              <w:spacing w:after="0"/>
              <w:rPr>
                <w:sz w:val="20"/>
                <w:szCs w:val="20"/>
                <w:color w:val="auto"/>
              </w:rPr>
            </w:pPr>
            <w:r>
              <w:rPr>
                <w:rFonts w:ascii="Times New Roman" w:cs="Times New Roman" w:eastAsia="Times New Roman" w:hAnsi="Times New Roman"/>
                <w:sz w:val="18"/>
                <w:szCs w:val="18"/>
                <w:color w:val="auto"/>
                <w:w w:val="97"/>
              </w:rPr>
              <w:t>After Ten Years</w:t>
            </w:r>
          </w:p>
        </w:tc>
      </w:tr>
      <w:tr>
        <w:trPr>
          <w:trHeight w:val="239"/>
        </w:trPr>
        <w:tc>
          <w:tcPr>
            <w:tcW w:w="5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4"/>
              </w:rPr>
              <w:t>Yield</w:t>
            </w:r>
          </w:p>
        </w:tc>
        <w:tc>
          <w:tcPr>
            <w:tcW w:w="3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Amount</w:t>
            </w:r>
          </w:p>
        </w:tc>
        <w:tc>
          <w:tcPr>
            <w:tcW w:w="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Yield</w:t>
            </w:r>
          </w:p>
        </w:tc>
        <w:tc>
          <w:tcPr>
            <w:tcW w:w="160" w:type="dxa"/>
            <w:vAlign w:val="bottom"/>
          </w:tcPr>
          <w:p>
            <w:pPr>
              <w:spacing w:after="0"/>
              <w:rPr>
                <w:sz w:val="20"/>
                <w:szCs w:val="20"/>
                <w:color w:val="auto"/>
              </w:rPr>
            </w:pPr>
          </w:p>
        </w:tc>
      </w:tr>
      <w:tr>
        <w:trPr>
          <w:trHeight w:val="232"/>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31,195</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1.08 %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68,925</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1.71 %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2.83 %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Taxable state and local governments</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2.21 %</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1,867</w:t>
            </w:r>
          </w:p>
        </w:tc>
        <w:tc>
          <w:tcPr>
            <w:tcW w:w="18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-2159635</wp:posOffset>
            </wp:positionV>
            <wp:extent cx="641223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-1851025</wp:posOffset>
            </wp:positionV>
            <wp:extent cx="6412230" cy="1543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-1542415</wp:posOffset>
            </wp:positionV>
            <wp:extent cx="641223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-762635</wp:posOffset>
            </wp:positionV>
            <wp:extent cx="641223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-454025</wp:posOffset>
            </wp:positionV>
            <wp:extent cx="6412230" cy="1543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2022, the Bank also holds stock in the Federal Home Loan Bank of Cincinnati and Indianapolis at a cost of $8.1 million. This is required in order to obtain Federal Home Loan Bank loans.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Bank’s various loan portfolios are subject to varying levels of credit risk. Management mitigates these risks through portfolio diversification and through standardization of lending policies and procedures.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Risks are mitigated through an adherence to the Bank’s loan policies, with any exception being recorded and approved by senior management or committees comprised of senior management. The Bank’s loan policies define parameters to essential underwriting guidelines such as loan-to-value ratio, cash flow and debt-to-income ratio, loan requirements and covenants, financial information tracking, collection practice and others. The maximum loan amount to any one borrower is limited by the Bank’s legal lending limits and is stated in policy. On a broader basis, the Bank restricts total aggregate funding in comparison to Bank capital to any one business or agricultural sector by an approved sector percentage to capital limitation.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shows the Bank’s loan portfolio, excluding loans held for sale, by category of loan as of December 31 of each year, net of deferred fees and costs: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3"/>
        </w:trPr>
        <w:tc>
          <w:tcPr>
            <w:tcW w:w="456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8"/>
                <w:szCs w:val="18"/>
                <w:color w:val="auto"/>
              </w:rPr>
              <w:t>Loans:</w:t>
            </w:r>
          </w:p>
        </w:tc>
        <w:tc>
          <w:tcPr>
            <w:tcW w:w="240" w:type="dxa"/>
            <w:vAlign w:val="bottom"/>
          </w:tcPr>
          <w:p>
            <w:pPr>
              <w:spacing w:after="0"/>
              <w:rPr>
                <w:sz w:val="17"/>
                <w:szCs w:val="17"/>
                <w:color w:val="auto"/>
              </w:rPr>
            </w:pPr>
          </w:p>
        </w:tc>
        <w:tc>
          <w:tcPr>
            <w:tcW w:w="8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7"/>
                <w:szCs w:val="17"/>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20" w:type="dxa"/>
            <w:vAlign w:val="bottom"/>
            <w:shd w:val="clear" w:color="auto" w:fill="CFF0FC"/>
          </w:tcPr>
          <w:p>
            <w:pPr>
              <w:spacing w:after="0"/>
              <w:rPr>
                <w:sz w:val="20"/>
                <w:szCs w:val="20"/>
                <w:color w:val="auto"/>
              </w:rPr>
            </w:pPr>
          </w:p>
        </w:tc>
        <w:tc>
          <w:tcPr>
            <w:tcW w:w="4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Consumer Real Estate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494,423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395,873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175,588</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165,349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80,766</w:t>
            </w:r>
          </w:p>
        </w:tc>
        <w:tc>
          <w:tcPr>
            <w:tcW w:w="100" w:type="dxa"/>
            <w:vAlign w:val="bottom"/>
            <w:shd w:val="clear" w:color="auto" w:fill="CFF0FC"/>
          </w:tcPr>
          <w:p>
            <w:pPr>
              <w:spacing w:after="0"/>
              <w:rPr>
                <w:sz w:val="20"/>
                <w:szCs w:val="20"/>
                <w:color w:val="auto"/>
              </w:rPr>
            </w:pPr>
          </w:p>
        </w:tc>
      </w:tr>
      <w:tr>
        <w:trPr>
          <w:trHeight w:val="239"/>
        </w:trPr>
        <w:tc>
          <w:tcPr>
            <w:tcW w:w="20" w:type="dxa"/>
            <w:vAlign w:val="bottom"/>
          </w:tcPr>
          <w:p>
            <w:pPr>
              <w:spacing w:after="0"/>
              <w:rPr>
                <w:sz w:val="20"/>
                <w:szCs w:val="20"/>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220,819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189,159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199,105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68,609</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Agricultural</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128,733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118,368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94,358</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111,820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108,495</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1,152,603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848,477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588,825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419,784</w:t>
            </w:r>
          </w:p>
        </w:tc>
        <w:tc>
          <w:tcPr>
            <w:tcW w:w="100" w:type="dxa"/>
            <w:vAlign w:val="bottom"/>
          </w:tcPr>
          <w:p>
            <w:pPr>
              <w:spacing w:after="0"/>
              <w:rPr>
                <w:sz w:val="20"/>
                <w:szCs w:val="20"/>
                <w:color w:val="auto"/>
              </w:rPr>
            </w:pPr>
          </w:p>
        </w:tc>
      </w:tr>
      <w:tr>
        <w:trPr>
          <w:trHeight w:val="247"/>
        </w:trPr>
        <w:tc>
          <w:tcPr>
            <w:tcW w:w="20" w:type="dxa"/>
            <w:vAlign w:val="bottom"/>
            <w:shd w:val="clear" w:color="auto" w:fill="CFF0FC"/>
          </w:tcPr>
          <w:p>
            <w:pPr>
              <w:spacing w:after="0"/>
              <w:rPr>
                <w:sz w:val="21"/>
                <w:szCs w:val="21"/>
                <w:color w:val="auto"/>
              </w:rPr>
            </w:pPr>
          </w:p>
        </w:tc>
        <w:tc>
          <w:tcPr>
            <w:tcW w:w="4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242,360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208,270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189,246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135,631</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121,793</w:t>
            </w:r>
          </w:p>
        </w:tc>
        <w:tc>
          <w:tcPr>
            <w:tcW w:w="100" w:type="dxa"/>
            <w:vAlign w:val="bottom"/>
            <w:shd w:val="clear" w:color="auto" w:fill="CFF0FC"/>
          </w:tcPr>
          <w:p>
            <w:pPr>
              <w:spacing w:after="0"/>
              <w:rPr>
                <w:sz w:val="21"/>
                <w:szCs w:val="21"/>
                <w:color w:val="auto"/>
              </w:rPr>
            </w:pPr>
          </w:p>
        </w:tc>
      </w:tr>
      <w:tr>
        <w:trPr>
          <w:trHeight w:val="239"/>
        </w:trPr>
        <w:tc>
          <w:tcPr>
            <w:tcW w:w="20" w:type="dxa"/>
            <w:vAlign w:val="bottom"/>
          </w:tcPr>
          <w:p>
            <w:pPr>
              <w:spacing w:after="0"/>
              <w:rPr>
                <w:sz w:val="20"/>
                <w:szCs w:val="20"/>
                <w:color w:val="auto"/>
              </w:rPr>
            </w:pPr>
          </w:p>
        </w:tc>
        <w:tc>
          <w:tcPr>
            <w:tcW w:w="4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41,953</w:t>
            </w:r>
          </w:p>
        </w:tc>
        <w:tc>
          <w:tcPr>
            <w:tcW w:w="100" w:type="dxa"/>
            <w:vAlign w:val="bottom"/>
          </w:tcPr>
          <w:p>
            <w:pPr>
              <w:spacing w:after="0"/>
              <w:rPr>
                <w:sz w:val="20"/>
                <w:szCs w:val="20"/>
                <w:color w:val="auto"/>
              </w:rPr>
            </w:pPr>
          </w:p>
        </w:tc>
      </w:tr>
      <w:tr>
        <w:trPr>
          <w:trHeight w:val="247"/>
        </w:trPr>
        <w:tc>
          <w:tcPr>
            <w:tcW w:w="20" w:type="dxa"/>
            <w:vAlign w:val="bottom"/>
            <w:tcBorders>
              <w:bottom w:val="single" w:sz="8" w:color="CFF0FC"/>
            </w:tcBorders>
            <w:shd w:val="clear" w:color="auto" w:fill="CFF0FC"/>
          </w:tcPr>
          <w:p>
            <w:pPr>
              <w:spacing w:after="0"/>
              <w:rPr>
                <w:sz w:val="21"/>
                <w:szCs w:val="21"/>
                <w:color w:val="auto"/>
              </w:rPr>
            </w:pPr>
          </w:p>
        </w:tc>
        <w:tc>
          <w:tcPr>
            <w:tcW w:w="454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29,818</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2,357,903</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1,859,157</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1,305,473</w:t>
            </w:r>
          </w:p>
        </w:tc>
        <w:tc>
          <w:tcPr>
            <w:tcW w:w="26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1,220,765</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847,289</w:t>
            </w:r>
          </w:p>
        </w:tc>
        <w:tc>
          <w:tcPr>
            <w:tcW w:w="10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-187960</wp:posOffset>
            </wp:positionV>
            <wp:extent cx="76835"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-187960</wp:posOffset>
            </wp:positionV>
            <wp:extent cx="68580" cy="1885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-187960</wp:posOffset>
            </wp:positionV>
            <wp:extent cx="68580" cy="1885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1885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maturity of loans excluding fair value adjustments as of December 31, 2022:</w:t>
      </w:r>
    </w:p>
    <w:p>
      <w:pPr>
        <w:spacing w:after="0" w:line="252"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After One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Within</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6"/>
              </w:rPr>
              <w:t>Year Within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After</w:t>
            </w:r>
          </w:p>
        </w:tc>
        <w:tc>
          <w:tcPr>
            <w:tcW w:w="80" w:type="dxa"/>
            <w:vAlign w:val="bottom"/>
          </w:tcPr>
          <w:p>
            <w:pPr>
              <w:spacing w:after="0"/>
              <w:rPr>
                <w:sz w:val="20"/>
                <w:szCs w:val="20"/>
                <w:color w:val="auto"/>
              </w:rPr>
            </w:pPr>
          </w:p>
        </w:tc>
      </w:tr>
      <w:tr>
        <w:trPr>
          <w:trHeight w:val="250"/>
        </w:trPr>
        <w:tc>
          <w:tcPr>
            <w:tcW w:w="4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One Year</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6"/>
              </w:rPr>
              <w:t>Five Years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Five Years</w:t>
            </w:r>
          </w:p>
        </w:tc>
        <w:tc>
          <w:tcPr>
            <w:tcW w:w="80" w:type="dxa"/>
            <w:vAlign w:val="bottom"/>
          </w:tcPr>
          <w:p>
            <w:pPr>
              <w:spacing w:after="0"/>
              <w:rPr>
                <w:sz w:val="21"/>
                <w:szCs w:val="21"/>
                <w:color w:val="auto"/>
              </w:rPr>
            </w:pPr>
          </w:p>
        </w:tc>
      </w:tr>
      <w:tr>
        <w:trPr>
          <w:trHeight w:val="24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456,556</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214,297</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59,119</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26,670</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336,890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789,304</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81,552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108,729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52,715</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40,357</w:t>
            </w:r>
          </w:p>
        </w:tc>
        <w:tc>
          <w:tcPr>
            <w:tcW w:w="80" w:type="dxa"/>
            <w:vAlign w:val="bottom"/>
          </w:tcPr>
          <w:p>
            <w:pPr>
              <w:spacing w:after="0"/>
              <w:rPr>
                <w:sz w:val="20"/>
                <w:szCs w:val="20"/>
                <w:color w:val="auto"/>
              </w:rPr>
            </w:pPr>
          </w:p>
        </w:tc>
      </w:tr>
      <w:tr>
        <w:trPr>
          <w:trHeight w:val="243"/>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47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1,604,148</w:t>
            </w:r>
          </w:p>
        </w:tc>
        <w:tc>
          <w:tcPr>
            <w:tcW w:w="8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-187960</wp:posOffset>
            </wp:positionV>
            <wp:extent cx="60325" cy="1885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51435"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9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of loans excluding fair value adjustments due after one year which has either 1) predetermined interest rates (fixed) or 2) floating or adjustable interest rates (variable):</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Fixed</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6"/>
              </w:rPr>
              <w:t>Variable</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47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Rate</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Rate</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1"/>
                <w:szCs w:val="21"/>
                <w:color w:val="auto"/>
              </w:rPr>
            </w:pPr>
          </w:p>
        </w:tc>
      </w:tr>
      <w:tr>
        <w:trPr>
          <w:trHeight w:val="24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469,336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22,181</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491,517</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194,679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221,413</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67,934</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69,657</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996,833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129,361</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1,126,194</w:t>
            </w:r>
          </w:p>
        </w:tc>
        <w:tc>
          <w:tcPr>
            <w:tcW w:w="80" w:type="dxa"/>
            <w:vAlign w:val="bottom"/>
          </w:tcPr>
          <w:p>
            <w:pPr>
              <w:spacing w:after="0"/>
              <w:rPr>
                <w:sz w:val="20"/>
                <w:szCs w:val="20"/>
                <w:color w:val="auto"/>
              </w:rPr>
            </w:pPr>
          </w:p>
        </w:tc>
      </w:tr>
      <w:tr>
        <w:trPr>
          <w:trHeight w:val="247"/>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150,905</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161,444</w:t>
            </w:r>
          </w:p>
        </w:tc>
        <w:tc>
          <w:tcPr>
            <w:tcW w:w="80" w:type="dxa"/>
            <w:vAlign w:val="bottom"/>
            <w:shd w:val="clear" w:color="auto" w:fill="CFF0FC"/>
          </w:tcPr>
          <w:p>
            <w:pPr>
              <w:spacing w:after="0"/>
              <w:rPr>
                <w:sz w:val="21"/>
                <w:szCs w:val="21"/>
                <w:color w:val="auto"/>
              </w:rPr>
            </w:pPr>
          </w:p>
        </w:tc>
      </w:tr>
      <w:tr>
        <w:trPr>
          <w:trHeight w:val="23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87,409</w:t>
            </w:r>
          </w:p>
        </w:tc>
        <w:tc>
          <w:tcPr>
            <w:tcW w:w="80" w:type="dxa"/>
            <w:vAlign w:val="bottom"/>
          </w:tcPr>
          <w:p>
            <w:pPr>
              <w:spacing w:after="0"/>
              <w:rPr>
                <w:sz w:val="20"/>
                <w:szCs w:val="20"/>
                <w:color w:val="auto"/>
              </w:rPr>
            </w:pPr>
          </w:p>
        </w:tc>
      </w:tr>
      <w:tr>
        <w:trPr>
          <w:trHeight w:val="247"/>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19,794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47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1,986,890</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200,338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2,187,228</w:t>
            </w:r>
          </w:p>
        </w:tc>
        <w:tc>
          <w:tcPr>
            <w:tcW w:w="8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-187960</wp:posOffset>
            </wp:positionV>
            <wp:extent cx="60325"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51435"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-187960</wp:posOffset>
            </wp:positionV>
            <wp:extent cx="51435"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nonaccrual, past due 90 days or more and still accruing loans, and accruing troubled debt restructurings as of December 31 for each of the last five years: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4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41"/>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FF0FC"/>
          </w:tcPr>
          <w:p>
            <w:pPr>
              <w:spacing w:after="0"/>
              <w:rPr>
                <w:sz w:val="20"/>
                <w:szCs w:val="20"/>
                <w:color w:val="auto"/>
              </w:rPr>
            </w:pPr>
          </w:p>
        </w:tc>
      </w:tr>
      <w:tr>
        <w:trPr>
          <w:trHeight w:val="23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Accruing loans past due 90 days or more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4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Troubled Debt Restructurings, not included above</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4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20"/>
                <w:szCs w:val="20"/>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-187960</wp:posOffset>
            </wp:positionV>
            <wp:extent cx="76835" cy="1885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-187960</wp:posOffset>
            </wp:positionV>
            <wp:extent cx="6858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-187960</wp:posOffset>
            </wp:positionV>
            <wp:extent cx="6858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1885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Although loans may be classified as non-performing, some pay on a regular basis, and many continue to pay interest irregularly or at less than original contractual rates. Interest income that would have been recorded under the original terms of these loans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6" w:name="page37"/>
    <w:bookmarkEnd w:id="36"/>
    <w:p>
      <w:pPr>
        <w:jc w:val="both"/>
        <w:spacing w:after="0" w:line="261" w:lineRule="auto"/>
        <w:rPr>
          <w:sz w:val="20"/>
          <w:szCs w:val="20"/>
          <w:color w:val="auto"/>
        </w:rPr>
      </w:pPr>
      <w:r>
        <w:rPr>
          <w:rFonts w:ascii="Times New Roman" w:cs="Times New Roman" w:eastAsia="Times New Roman" w:hAnsi="Times New Roman"/>
          <w:sz w:val="18"/>
          <w:szCs w:val="18"/>
          <w:color w:val="auto"/>
        </w:rPr>
        <w:t>would have aggregated $157 thousand for 2022, $502 thousand for 2021 and $272 thousand for 2020. Any collections of interest on nonaccrual loans are included in interest income when collected unless it is on an impaired loan with a specific allocation. A collection of interest on an impaired loan with a specific allocation is applied to the loan balance to decrease the allocation. Total interest collections, whether on an accrued or cash basis, amounted to $361 thousand for 2022, $292 thousand for 2021 and $269 thousand for 2020.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are placed on nonaccrual status in the event that the loan is in past due status for more than 90 days or payment in full of principal and interest is not expected. The Bank had nonaccrual loan balances of $4.7 million at December 31, 2022 compared to balances of $8.1 million and $9.4 million as of year-end 2021 and 2020. All of the balances of nonaccrual loans for the past three years were collaterally secured.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2022, the Bank had $60.0 million of loans which it considers to be “potential problem loans” in that the borrowers are experiencing financial difficulties which are not reflected in the table above. At December 31, 2021, the Bank had $55.4 million of these loans and at December 31, 2020, the Bank had $56.3 million of these loans. These loans are subject to constant management attention and are reviewed at least monthly. The amount of the potential problem loans was considered in management’s review of the loan loss reserve at December 31, 2022 and 2021.</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extending credit to families, businesses and governments, banks accept a measure of risk against which an allowance for possible loan loss is established by way of expense charges to earnings. This expense is determined by management based on a detailed monthly review of the risk factors affecting the loan portfolio, including general economic conditions, changes in the portfolio mix, past due loan-loss experience and the financial condition of the Bank’s borrowers.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2022, the Bank had loans outstanding to individuals and firms engaged in the various fields of agriculture in the amount of $128.7 million with an additional $220.9 million in agricultural real estate loans which compared to $118.4 and $198.3 million respectively as of December 31, 2021. The ratio of this segment of loans to the total loan portfolio is not considered unusual for a bank engaged in and servicing rural communities.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modification to reflect a decrease in market interest rates or maintain a relationship with the debtor, where the debtor is not experiencing financial difficulty and can obtain funding from other sources, is not considered a troubled debt restructuring. As of December 31, 2022, the Bank had $3.6 million of its loans that were classified as troubled debt restructurings, of which $2.5 million are included in nonaccrual loans. This compares to $7.6 million of troubled debt restructurings, of which $6.5 million are included in nonaccrual loans for 2021 and $6.5 million of troubled debt restructuring, of which $5.6 million are included in nonaccrual loans for 2020.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Updated appraisals are required on all collateral dependent loans once they are deemed impaired. The Bank may also require an updated appraisal of a watch list loan which the Bank monitors under its loan policy. On a quarterly basis, Bank management reviews properties supporting asset dependent loans to consider market events that may indicate a change in value has occurred.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determine observable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existing collateral value used.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Performing “non-watch list” loans secured in whole or in part by real estate, do not require an updated appraisal unless the loan is rewritten and additional funds advanced. Watch List loans secured in whole or in part by real estate require updated appraisals every two years. All loans are subject to loan to values as found in the Bank’s loan policies irrespective of their grade. The Bank’s watch list is reviewed on a quarterly basis by management and any questions to value are addressed at that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the Bank’s loans are made in the market by lenders who live and work in the market. Thus, their evaluation of the independent valuation is also valuable and serves as a double check.</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extremely rare occasions, the Bank will make adjustments to the recorded values of collateral securing commercial real estate loans without acquiring an updated appraisal for the subject property. The Bank has no formalized policy for determining when collateral value adjustments between regularly scheduled appraisals are necessary, nor does it use any specific methodology for applying such adjustments. However, on a quarterly basis as part of its normal operations, the Bank’s senior management and the Loan Review Committee will meet to review all commercial credits either deemed to be impaired or on the Bank’s watch list. In addition to analyzing the recent performance of these loans, management and the Enterprise Risk Management Committee will also consider any general market conditions that might warrant adjustments to the value of particular real estate collateralizing commercial loans. In addition, management conducts annual reviews of all commercial loans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exceeding certain outstanding balance thresholds. In each of these situations, any information available to management regarding market conditions impacting a specific property or other relevant factors are considered, and lenders familiar with a particular commercial real estate loan and the underlying collateral may be present to provide their opinion on such factors. If the available information leads management to conclude a valuation adjustment is warranted, such an adjustment may be applied on the basis of the information available. If management concludes that an adjustment is warranted but lacks the specific information needed to reasonably quantify the adjustment, management will order a new appraisal on the subject property even though one may not be required under the Bank’s general policies for updating appraisal.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of the Consolidated Financial Statements may also be reviewed for additional tables dealing with the Bank’s loans and ALLL.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ALLL is evaluated based on an assessment of the losses inherent in the loan portfolio. This assessment results in an allowance consisting of two components, allocated and unallocated.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considers several different risk assessments in determining ALLL. The allocated component of ALLL reflects expected losses resulting from an analysis of individual loans, developed through specific credit allocations for individual loans and historical loss experience for each loan category. For those loans where the internal credit rating is at or below a predetermined classification and management can reasonably estimate the loss that will be sustained based upon collateral, the borrowers operating activity and economic conditions in which the borrower operates, a specific allocation is made. For those borrowers that are not currently behind in their payment, but for which management believes, based on economic conditions and operating activities of the borrower, the possibility exists for future collection problems, a reserve is established. The amount of reserve allocated to each loan portfolio is based on past loss experiences and the different levels of risk within each loan portfolio. The historical loan loss portion is determined using a historical loss analysis by loan category.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unallocated portion of the reserve for loan losses is determined based on management’s assessment of general economic conditions as well as specific economic factors in the Bank’s marketing area. This assessment inherently involves a higher degree of uncertainty. It represents estimated inherent but undetected losses within the portfolio that are probable due to uncertainties in economic conditions, delays in obtaining information, including unfavorable information about a borrower’s financial condition and other current risk factors that may not have yet manifested themselves in the Bank’s historical loss factors used to determine the allocated component of the allowance.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Actual charge-off of loan balances is based upon periodic evaluations of the loan portfolio by management. These evaluations consider several factors, including, but not limited to, general economic conditions, financial condition of the borrower, and collateral.</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presented in the table on the next page, charge-offs decreased to $827 thousand for 2022. 50.5% of the charge-offs stemmed from the commercial and industrial portfolio. Charge-offs were $1.3 million for 2021, $720 thousand for 2020, preceded by $841 thousand for 2019 and $580 thousand for 2018. Recoveries were $298 thousand in 2022 compared to $458, $183, $156 and $163 thousand for 2021, 2020, 2019 and 2018, respectively. The net charge-offs for the last five years were all under $900 thousand with 2021 the highest at $874 thousand and 2018 the lowest at $417 thousand.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Higher provision expense was used to fund the ALLL for loan growth in 2022 and 2019. 2021 and 2020 had higher provision expense due to the uncertainty surrounding COVID-19 and its impact on individuals and businesses. For 2018, the provision was used to replenish the balance decreased by the net charge-off activity. Overall, the ALLL increased from $6.8 million at year-end 2018 to $20.3 million at year-end 2022. After adding the allowance for unfunded loan commitments, the ACL ended 2022 at $21.6 million. As the ratios on the bottom of the following table show, the trends for each have improved or remained fairly constant over the five years shown. Asset quality and the ACL are both strong and emphasize the level of credit quality.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reviewing the bigger picture of the allowance for loan and lease loss, the years with the higher percentage of ALLL to total nonperforming loans ratio account for the lower level of nonaccrual loans. This demonstrates the extended time period with which it has taken to achieve resolution and/or collection of these loans. The ratio of ALLL to nonperforming loans increased beginning in 2018 with a significant drop in 2019 followed by a slight drop in 2020 and slight increases in 2021 and 2022. 2020’s provision expense was the highest of the five years shown largely due to the uncertainty surrounding COVID-19. Loan growth in 2022, 2021 and 2020 reached double-digit percentage increases for all three years. The ALLL to nonperforming loans for all years remained more than adequate and emphasizes the existing strong level of credit quality.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the allowance for credit losses for the years ended December 31, 2022, 2021, 2020, 2019 and 2018:</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379"/>
              <w:spacing w:after="0"/>
              <w:rPr>
                <w:sz w:val="20"/>
                <w:szCs w:val="20"/>
                <w:color w:val="auto"/>
              </w:rPr>
            </w:pPr>
            <w:r>
              <w:rPr>
                <w:rFonts w:ascii="Times New Roman" w:cs="Times New Roman" w:eastAsia="Times New Roman" w:hAnsi="Times New Roman"/>
                <w:sz w:val="16"/>
                <w:szCs w:val="16"/>
                <w:color w:val="auto"/>
              </w:rPr>
              <w:t>(In Thousands)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2020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2018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Loans</w:t>
            </w: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2,356,387</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1,857,419</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1,302,990</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1,218,999</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846,374</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Daily average of outstanding loans</w:t>
            </w: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2,073,737</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1,522,088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1,313,675</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1,129,231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831,614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Nonaccrual loans</w:t>
            </w:r>
          </w:p>
        </w:tc>
        <w:tc>
          <w:tcPr>
            <w:tcW w:w="28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8,076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9,404</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 loans</w:t>
            </w: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4,689</w:t>
            </w:r>
          </w:p>
        </w:tc>
        <w:tc>
          <w:tcPr>
            <w:tcW w:w="240" w:type="dxa"/>
            <w:vAlign w:val="bottom"/>
          </w:tcPr>
          <w:p>
            <w:pPr>
              <w:spacing w:after="0"/>
              <w:rPr>
                <w:sz w:val="19"/>
                <w:szCs w:val="19"/>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8,076</w:t>
            </w:r>
          </w:p>
        </w:tc>
        <w:tc>
          <w:tcPr>
            <w:tcW w:w="140" w:type="dxa"/>
            <w:vAlign w:val="bottom"/>
          </w:tcPr>
          <w:p>
            <w:pPr>
              <w:spacing w:after="0"/>
              <w:rPr>
                <w:sz w:val="19"/>
                <w:szCs w:val="19"/>
                <w:color w:val="auto"/>
              </w:rPr>
            </w:pP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9,404</w:t>
            </w:r>
          </w:p>
        </w:tc>
        <w:tc>
          <w:tcPr>
            <w:tcW w:w="22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3,400</w:t>
            </w:r>
          </w:p>
        </w:tc>
        <w:tc>
          <w:tcPr>
            <w:tcW w:w="220" w:type="dxa"/>
            <w:vAlign w:val="bottom"/>
          </w:tcPr>
          <w:p>
            <w:pPr>
              <w:spacing w:after="0"/>
              <w:rPr>
                <w:sz w:val="19"/>
                <w:szCs w:val="19"/>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Allowance for Loan Losses - Jan 1</w:t>
            </w: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16,242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13,672</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6,868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 Charged off:</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Consumer Real Estate</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Agricultural Real Estate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Agricultural</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Commercial Real Estate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Consumer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 Recoveries: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Consumer Real Estate</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Agricultural Real Estate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Agricultural</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Commercial Real Estate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Consumer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3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Charge-offs: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Consumer Real Estate</w:t>
            </w: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(20 )</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Agricultural Real Estate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Agricultural</w:t>
            </w: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(7 )</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Commercial Real Estate</w:t>
            </w:r>
          </w:p>
        </w:tc>
        <w:tc>
          <w:tcPr>
            <w:tcW w:w="280" w:type="dxa"/>
            <w:vAlign w:val="bottom"/>
          </w:tcPr>
          <w:p>
            <w:pPr>
              <w:spacing w:after="0"/>
              <w:rPr>
                <w:sz w:val="19"/>
                <w:szCs w:val="19"/>
                <w:color w:val="auto"/>
              </w:rPr>
            </w:pPr>
          </w:p>
        </w:tc>
        <w:tc>
          <w:tcPr>
            <w:tcW w:w="12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(9 )</w:t>
            </w:r>
          </w:p>
        </w:tc>
        <w:tc>
          <w:tcPr>
            <w:tcW w:w="2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(2 )</w:t>
            </w:r>
          </w:p>
        </w:tc>
        <w:tc>
          <w:tcPr>
            <w:tcW w:w="240" w:type="dxa"/>
            <w:vAlign w:val="bottom"/>
          </w:tcPr>
          <w:p>
            <w:pPr>
              <w:spacing w:after="0"/>
              <w:rPr>
                <w:sz w:val="19"/>
                <w:szCs w:val="19"/>
                <w:color w:val="auto"/>
              </w:rPr>
            </w:pPr>
          </w:p>
        </w:tc>
        <w:tc>
          <w:tcPr>
            <w:tcW w:w="10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(11 )</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Consumer</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Provision for loan loss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Acquisition provision for loan loss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Allowance for Loan &amp; Lease Losses - Dec 31</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20,313</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16,242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13,672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6,775</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for Unfunded Loan</w:t>
            </w:r>
          </w:p>
        </w:tc>
        <w:tc>
          <w:tcPr>
            <w:tcW w:w="2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Commitments &amp; Letters of Credit - Dec 31</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4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Total Allowance for Credit Losses - Dec 31</w:t>
            </w: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21,575</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17,283</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14,313</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7,049</w:t>
            </w:r>
          </w:p>
        </w:tc>
        <w:tc>
          <w:tcPr>
            <w:tcW w:w="100" w:type="dxa"/>
            <w:vAlign w:val="bottom"/>
            <w:tcBorders>
              <w:bottom w:val="single" w:sz="8" w:color="CFF0FC"/>
            </w:tcBorders>
            <w:shd w:val="clear" w:color="auto" w:fill="CFF0FC"/>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Ratio of Net Charge-offs to Average</w:t>
            </w:r>
          </w:p>
        </w:tc>
        <w:tc>
          <w:tcPr>
            <w:tcW w:w="280" w:type="dxa"/>
            <w:vAlign w:val="bottom"/>
          </w:tcPr>
          <w:p>
            <w:pPr>
              <w:spacing w:after="0"/>
              <w:rPr>
                <w:sz w:val="16"/>
                <w:szCs w:val="16"/>
                <w:color w:val="auto"/>
              </w:rPr>
            </w:pPr>
          </w:p>
        </w:tc>
        <w:tc>
          <w:tcPr>
            <w:tcW w:w="12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0.03 %</w:t>
            </w:r>
          </w:p>
        </w:tc>
        <w:tc>
          <w:tcPr>
            <w:tcW w:w="280" w:type="dxa"/>
            <w:vAlign w:val="bottom"/>
          </w:tcPr>
          <w:p>
            <w:pPr>
              <w:spacing w:after="0"/>
              <w:rPr>
                <w:sz w:val="16"/>
                <w:szCs w:val="16"/>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0.06 %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0.04 %</w:t>
            </w:r>
          </w:p>
        </w:tc>
        <w:tc>
          <w:tcPr>
            <w:tcW w:w="240" w:type="dxa"/>
            <w:vAlign w:val="bottom"/>
          </w:tcPr>
          <w:p>
            <w:pPr>
              <w:spacing w:after="0"/>
              <w:rPr>
                <w:sz w:val="16"/>
                <w:szCs w:val="16"/>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0.06 %</w:t>
            </w:r>
          </w:p>
        </w:tc>
        <w:tc>
          <w:tcPr>
            <w:tcW w:w="240" w:type="dxa"/>
            <w:vAlign w:val="bottom"/>
          </w:tcPr>
          <w:p>
            <w:pPr>
              <w:spacing w:after="0"/>
              <w:rPr>
                <w:sz w:val="16"/>
                <w:szCs w:val="16"/>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0.05 %</w:t>
            </w:r>
          </w:p>
        </w:tc>
        <w:tc>
          <w:tcPr>
            <w:tcW w:w="0" w:type="dxa"/>
            <w:vAlign w:val="bottom"/>
          </w:tcPr>
          <w:p>
            <w:pPr>
              <w:spacing w:after="0"/>
              <w:rPr>
                <w:sz w:val="1"/>
                <w:szCs w:val="1"/>
                <w:color w:val="auto"/>
              </w:rPr>
            </w:pPr>
          </w:p>
        </w:tc>
      </w:tr>
      <w:tr>
        <w:trPr>
          <w:trHeight w:val="189"/>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Outstanding Loans</w:t>
            </w: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Ratio of Nonaccrual Loans to Loans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60" w:type="dxa"/>
            <w:vAlign w:val="bottom"/>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0.20</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Ratio of the Allowance for Loan &amp; Lease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0.86 %</w:t>
            </w:r>
          </w:p>
        </w:tc>
        <w:tc>
          <w:tcPr>
            <w:tcW w:w="280" w:type="dxa"/>
            <w:vAlign w:val="bottom"/>
          </w:tcPr>
          <w:p>
            <w:pPr>
              <w:spacing w:after="0"/>
              <w:rPr>
                <w:sz w:val="16"/>
                <w:szCs w:val="16"/>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0.87 %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240" w:type="dxa"/>
            <w:vAlign w:val="bottom"/>
          </w:tcPr>
          <w:p>
            <w:pPr>
              <w:spacing w:after="0"/>
              <w:rPr>
                <w:sz w:val="16"/>
                <w:szCs w:val="16"/>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0.59 %</w:t>
            </w:r>
          </w:p>
        </w:tc>
        <w:tc>
          <w:tcPr>
            <w:tcW w:w="240" w:type="dxa"/>
            <w:vAlign w:val="bottom"/>
          </w:tcPr>
          <w:p>
            <w:pPr>
              <w:spacing w:after="0"/>
              <w:rPr>
                <w:sz w:val="16"/>
                <w:szCs w:val="16"/>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0.80 %</w:t>
            </w:r>
          </w:p>
        </w:tc>
        <w:tc>
          <w:tcPr>
            <w:tcW w:w="0" w:type="dxa"/>
            <w:vAlign w:val="bottom"/>
          </w:tcPr>
          <w:p>
            <w:pPr>
              <w:spacing w:after="0"/>
              <w:rPr>
                <w:sz w:val="1"/>
                <w:szCs w:val="1"/>
                <w:color w:val="auto"/>
              </w:rPr>
            </w:pPr>
          </w:p>
        </w:tc>
      </w:tr>
      <w:tr>
        <w:trPr>
          <w:trHeight w:val="189"/>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to Loans</w:t>
            </w: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Ratio of the Allowance for Loan &amp; Lease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273.67 %</w:t>
            </w:r>
          </w:p>
        </w:tc>
        <w:tc>
          <w:tcPr>
            <w:tcW w:w="280" w:type="dxa"/>
            <w:vAlign w:val="bottom"/>
          </w:tcPr>
          <w:p>
            <w:pPr>
              <w:spacing w:after="0"/>
              <w:rPr>
                <w:sz w:val="15"/>
                <w:szCs w:val="15"/>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201.11 %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145.47 %</w:t>
            </w:r>
          </w:p>
        </w:tc>
        <w:tc>
          <w:tcPr>
            <w:tcW w:w="24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209.70 %</w:t>
            </w:r>
          </w:p>
        </w:tc>
        <w:tc>
          <w:tcPr>
            <w:tcW w:w="240" w:type="dxa"/>
            <w:vAlign w:val="bottom"/>
          </w:tcPr>
          <w:p>
            <w:pPr>
              <w:spacing w:after="0"/>
              <w:rPr>
                <w:sz w:val="15"/>
                <w:szCs w:val="15"/>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1249.57 %</w:t>
            </w:r>
          </w:p>
        </w:tc>
        <w:tc>
          <w:tcPr>
            <w:tcW w:w="0" w:type="dxa"/>
            <w:vAlign w:val="bottom"/>
          </w:tcPr>
          <w:p>
            <w:pPr>
              <w:spacing w:after="0"/>
              <w:rPr>
                <w:sz w:val="1"/>
                <w:szCs w:val="1"/>
                <w:color w:val="auto"/>
              </w:rPr>
            </w:pPr>
          </w:p>
        </w:tc>
      </w:tr>
      <w:tr>
        <w:trPr>
          <w:trHeight w:val="189"/>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to Nonaccrual Loans</w:t>
            </w: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Ratio of the Allowance for Loan &amp; Lease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273.67 %</w:t>
            </w:r>
          </w:p>
        </w:tc>
        <w:tc>
          <w:tcPr>
            <w:tcW w:w="280" w:type="dxa"/>
            <w:vAlign w:val="bottom"/>
          </w:tcPr>
          <w:p>
            <w:pPr>
              <w:spacing w:after="0"/>
              <w:rPr>
                <w:sz w:val="15"/>
                <w:szCs w:val="15"/>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201.11 %</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145.47 %</w:t>
            </w:r>
          </w:p>
        </w:tc>
        <w:tc>
          <w:tcPr>
            <w:tcW w:w="24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209.70 %</w:t>
            </w:r>
          </w:p>
        </w:tc>
        <w:tc>
          <w:tcPr>
            <w:tcW w:w="240" w:type="dxa"/>
            <w:vAlign w:val="bottom"/>
          </w:tcPr>
          <w:p>
            <w:pPr>
              <w:spacing w:after="0"/>
              <w:rPr>
                <w:sz w:val="15"/>
                <w:szCs w:val="15"/>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1249.57 %</w:t>
            </w:r>
          </w:p>
        </w:tc>
        <w:tc>
          <w:tcPr>
            <w:tcW w:w="0" w:type="dxa"/>
            <w:vAlign w:val="bottom"/>
          </w:tcPr>
          <w:p>
            <w:pPr>
              <w:spacing w:after="0"/>
              <w:rPr>
                <w:sz w:val="1"/>
                <w:szCs w:val="1"/>
                <w:color w:val="auto"/>
              </w:rPr>
            </w:pPr>
          </w:p>
        </w:tc>
      </w:tr>
      <w:tr>
        <w:trPr>
          <w:trHeight w:val="189"/>
        </w:trPr>
        <w:tc>
          <w:tcPr>
            <w:tcW w:w="4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to Nonperforming Loans</w:t>
            </w: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-6334125</wp:posOffset>
            </wp:positionV>
            <wp:extent cx="3574415" cy="1968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74415" cy="19685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-4525645</wp:posOffset>
            </wp:positionV>
            <wp:extent cx="7747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-4525645</wp:posOffset>
            </wp:positionV>
            <wp:extent cx="7683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-4525645</wp:posOffset>
            </wp:positionV>
            <wp:extent cx="6858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-4525645</wp:posOffset>
            </wp:positionV>
            <wp:extent cx="6858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-4525645</wp:posOffset>
            </wp:positionV>
            <wp:extent cx="6858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-3342640</wp:posOffset>
            </wp:positionV>
            <wp:extent cx="7747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-3342640</wp:posOffset>
            </wp:positionV>
            <wp:extent cx="76835"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-3342640</wp:posOffset>
            </wp:positionV>
            <wp:extent cx="68580" cy="1543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-3342640</wp:posOffset>
            </wp:positionV>
            <wp:extent cx="68580" cy="1543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294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29413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*Nonperforming loans are defined as all loans on nonaccrual, plus any loans past due 90 days not on nonaccrual.</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53"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Allocation of ALLL per Loan Category in terms of dollars and percentage of loans in each category to total loans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2022</w:t>
            </w:r>
          </w:p>
        </w:tc>
        <w:tc>
          <w:tcPr>
            <w:tcW w:w="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2021</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2020</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2019</w:t>
            </w:r>
          </w:p>
        </w:tc>
        <w:tc>
          <w:tcPr>
            <w:tcW w:w="4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2018</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3"/>
          </w:tcPr>
          <w:p>
            <w:pPr>
              <w:jc w:val="center"/>
              <w:ind w:right="420"/>
              <w:spacing w:after="0" w:line="160" w:lineRule="exact"/>
              <w:rPr>
                <w:sz w:val="20"/>
                <w:szCs w:val="20"/>
                <w:color w:val="auto"/>
              </w:rPr>
            </w:pPr>
            <w:r>
              <w:rPr>
                <w:rFonts w:ascii="Times New Roman" w:cs="Times New Roman" w:eastAsia="Times New Roman" w:hAnsi="Times New Roman"/>
                <w:sz w:val="14"/>
                <w:szCs w:val="14"/>
                <w:color w:val="auto"/>
              </w:rPr>
              <w:t>Amount</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4"/>
                <w:szCs w:val="14"/>
                <w:color w:val="auto"/>
              </w:rPr>
              <w:t>Amount</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ind w:right="380"/>
              <w:spacing w:after="0" w:line="160" w:lineRule="exact"/>
              <w:rPr>
                <w:sz w:val="20"/>
                <w:szCs w:val="20"/>
                <w:color w:val="auto"/>
              </w:rPr>
            </w:pPr>
            <w:r>
              <w:rPr>
                <w:rFonts w:ascii="Times New Roman" w:cs="Times New Roman" w:eastAsia="Times New Roman" w:hAnsi="Times New Roman"/>
                <w:sz w:val="14"/>
                <w:szCs w:val="14"/>
                <w:color w:val="auto"/>
              </w:rPr>
              <w:t>Amount</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4"/>
          </w:tcPr>
          <w:p>
            <w:pPr>
              <w:jc w:val="center"/>
              <w:ind w:right="320"/>
              <w:spacing w:after="0" w:line="160" w:lineRule="exact"/>
              <w:rPr>
                <w:sz w:val="20"/>
                <w:szCs w:val="20"/>
                <w:color w:val="auto"/>
              </w:rPr>
            </w:pPr>
            <w:r>
              <w:rPr>
                <w:rFonts w:ascii="Times New Roman" w:cs="Times New Roman" w:eastAsia="Times New Roman" w:hAnsi="Times New Roman"/>
                <w:sz w:val="14"/>
                <w:szCs w:val="14"/>
                <w:color w:val="auto"/>
              </w:rPr>
              <w:t>Amount</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4"/>
          </w:tcPr>
          <w:p>
            <w:pPr>
              <w:jc w:val="center"/>
              <w:ind w:right="320"/>
              <w:spacing w:after="0" w:line="160" w:lineRule="exact"/>
              <w:rPr>
                <w:sz w:val="20"/>
                <w:szCs w:val="20"/>
                <w:color w:val="auto"/>
              </w:rPr>
            </w:pPr>
            <w:r>
              <w:rPr>
                <w:rFonts w:ascii="Times New Roman" w:cs="Times New Roman" w:eastAsia="Times New Roman" w:hAnsi="Times New Roman"/>
                <w:sz w:val="14"/>
                <w:szCs w:val="14"/>
                <w:color w:val="auto"/>
              </w:rPr>
              <w:t>Amount</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w w:val="99"/>
              </w:rPr>
              <w:t>(000's)</w:t>
            </w:r>
          </w:p>
        </w:tc>
        <w:tc>
          <w:tcPr>
            <w:tcW w:w="50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(000's)</w:t>
            </w:r>
          </w:p>
        </w:tc>
        <w:tc>
          <w:tcPr>
            <w:tcW w:w="5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rPr>
              <w:t>(000's)</w:t>
            </w:r>
          </w:p>
        </w:tc>
        <w:tc>
          <w:tcPr>
            <w:tcW w:w="50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(000's)</w:t>
            </w:r>
          </w:p>
        </w:tc>
        <w:tc>
          <w:tcPr>
            <w:tcW w:w="46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color w:val="auto"/>
              </w:rPr>
              <w:t>(000's)</w:t>
            </w:r>
          </w:p>
        </w:tc>
        <w:tc>
          <w:tcPr>
            <w:tcW w:w="4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at End of Period</w:t>
            </w: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6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48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Applicable To:</w:t>
            </w:r>
          </w:p>
        </w:tc>
        <w:tc>
          <w:tcPr>
            <w:tcW w:w="10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Consumer Real Estate</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Agricultural Real Estate</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1,040</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16.31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Agricultural</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Commercial Real Estate</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11,924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9,130</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7,415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3,634</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3,217</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3,346</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Consumer</w:t>
            </w:r>
          </w:p>
        </w:tc>
        <w:tc>
          <w:tcPr>
            <w:tcW w:w="1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Unallocated</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3220" w:type="dxa"/>
            <w:vAlign w:val="bottom"/>
            <w:shd w:val="clear" w:color="auto" w:fill="CFF0FC"/>
          </w:tcPr>
          <w:p>
            <w:pPr>
              <w:ind w:left="200"/>
              <w:spacing w:after="0" w:line="133" w:lineRule="exact"/>
              <w:rPr>
                <w:sz w:val="20"/>
                <w:szCs w:val="20"/>
                <w:color w:val="auto"/>
              </w:rPr>
            </w:pPr>
            <w:r>
              <w:rPr>
                <w:rFonts w:ascii="Times New Roman" w:cs="Times New Roman" w:eastAsia="Times New Roman" w:hAnsi="Times New Roman"/>
                <w:sz w:val="14"/>
                <w:szCs w:val="14"/>
                <w:color w:val="auto"/>
              </w:rPr>
              <w:t>Allowance for Loan &amp; Lease</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20,313</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3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16,242</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13,672</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7,228</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6,775</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Losses</w:t>
            </w:r>
          </w:p>
        </w:tc>
        <w:tc>
          <w:tcPr>
            <w:tcW w:w="100" w:type="dxa"/>
            <w:vAlign w:val="bottom"/>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2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Off Balance Sheet</w:t>
            </w:r>
          </w:p>
        </w:tc>
        <w:tc>
          <w:tcPr>
            <w:tcW w:w="10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Commitments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20" w:type="dxa"/>
            <w:vAlign w:val="bottom"/>
            <w:shd w:val="clear" w:color="auto" w:fill="CFF0FC"/>
          </w:tcPr>
          <w:p>
            <w:pPr>
              <w:ind w:left="380"/>
              <w:spacing w:after="0" w:line="133" w:lineRule="exact"/>
              <w:rPr>
                <w:sz w:val="20"/>
                <w:szCs w:val="20"/>
                <w:color w:val="auto"/>
              </w:rPr>
            </w:pPr>
            <w:r>
              <w:rPr>
                <w:rFonts w:ascii="Times New Roman" w:cs="Times New Roman" w:eastAsia="Times New Roman" w:hAnsi="Times New Roman"/>
                <w:sz w:val="14"/>
                <w:szCs w:val="14"/>
                <w:color w:val="auto"/>
              </w:rPr>
              <w:t>Total Allowance for</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21,575</w:t>
            </w: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17,283</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14,313</w:t>
            </w:r>
          </w:p>
        </w:tc>
        <w:tc>
          <w:tcPr>
            <w:tcW w:w="1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7,707</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60" w:type="dxa"/>
            <w:vAlign w:val="bottom"/>
            <w:shd w:val="clear" w:color="auto" w:fill="CFF0FC"/>
          </w:tcPr>
          <w:p>
            <w:pPr>
              <w:spacing w:after="0"/>
              <w:rPr>
                <w:sz w:val="11"/>
                <w:szCs w:val="11"/>
                <w:color w:val="auto"/>
              </w:rPr>
            </w:pPr>
          </w:p>
        </w:tc>
        <w:tc>
          <w:tcPr>
            <w:tcW w:w="180" w:type="dxa"/>
            <w:vAlign w:val="bottom"/>
            <w:vMerge w:val="restart"/>
            <w:shd w:val="clear" w:color="auto" w:fill="CFF0FC"/>
          </w:tcPr>
          <w:p>
            <w:pPr>
              <w:spacing w:after="0"/>
              <w:rPr>
                <w:sz w:val="11"/>
                <w:szCs w:val="11"/>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7,049</w:t>
            </w:r>
          </w:p>
        </w:tc>
        <w:tc>
          <w:tcPr>
            <w:tcW w:w="1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3220" w:type="dxa"/>
            <w:vAlign w:val="bottom"/>
            <w:tcBorders>
              <w:bottom w:val="single" w:sz="8" w:color="CFF0FC"/>
            </w:tcBorders>
            <w:shd w:val="clear" w:color="auto" w:fill="CFF0FC"/>
          </w:tcPr>
          <w:p>
            <w:pPr>
              <w:ind w:left="480"/>
              <w:spacing w:after="0" w:line="125" w:lineRule="exact"/>
              <w:rPr>
                <w:sz w:val="20"/>
                <w:szCs w:val="20"/>
                <w:color w:val="auto"/>
              </w:rPr>
            </w:pPr>
            <w:r>
              <w:rPr>
                <w:rFonts w:ascii="Times New Roman" w:cs="Times New Roman" w:eastAsia="Times New Roman" w:hAnsi="Times New Roman"/>
                <w:sz w:val="14"/>
                <w:szCs w:val="14"/>
                <w:color w:val="auto"/>
              </w:rPr>
              <w:t>Credit Losses</w:t>
            </w:r>
          </w:p>
        </w:tc>
        <w:tc>
          <w:tcPr>
            <w:tcW w:w="100" w:type="dxa"/>
            <w:vAlign w:val="bottom"/>
            <w:tcBorders>
              <w:bottom w:val="single" w:sz="8" w:color="auto"/>
            </w:tcBorders>
            <w:vMerge w:val="continue"/>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auto"/>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auto"/>
            </w:tcBorders>
            <w:vMerge w:val="continue"/>
            <w:shd w:val="clear" w:color="auto" w:fill="CFF0FC"/>
          </w:tcPr>
          <w:p>
            <w:pPr>
              <w:spacing w:after="0"/>
              <w:rPr>
                <w:sz w:val="16"/>
                <w:szCs w:val="16"/>
                <w:color w:val="auto"/>
              </w:rPr>
            </w:pPr>
          </w:p>
        </w:tc>
        <w:tc>
          <w:tcPr>
            <w:tcW w:w="58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vMerge w:val="continue"/>
            <w:shd w:val="clear" w:color="auto" w:fill="CFF0FC"/>
          </w:tcPr>
          <w:p>
            <w:pPr>
              <w:spacing w:after="0"/>
              <w:rPr>
                <w:sz w:val="16"/>
                <w:szCs w:val="16"/>
                <w:color w:val="auto"/>
              </w:rPr>
            </w:pPr>
          </w:p>
        </w:tc>
        <w:tc>
          <w:tcPr>
            <w:tcW w:w="80" w:type="dxa"/>
            <w:vAlign w:val="bottom"/>
            <w:tcBorders>
              <w:bottom w:val="single" w:sz="8" w:color="auto"/>
            </w:tcBorders>
            <w:vMerge w:val="continue"/>
            <w:shd w:val="clear" w:color="auto" w:fill="CFF0FC"/>
          </w:tcPr>
          <w:p>
            <w:pPr>
              <w:spacing w:after="0"/>
              <w:rPr>
                <w:sz w:val="16"/>
                <w:szCs w:val="16"/>
                <w:color w:val="auto"/>
              </w:rPr>
            </w:pPr>
          </w:p>
        </w:tc>
        <w:tc>
          <w:tcPr>
            <w:tcW w:w="48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6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vMerge w:val="continue"/>
            <w:shd w:val="clear" w:color="auto" w:fill="CFF0FC"/>
          </w:tcPr>
          <w:p>
            <w:pPr>
              <w:spacing w:after="0"/>
              <w:rPr>
                <w:sz w:val="16"/>
                <w:szCs w:val="16"/>
                <w:color w:val="auto"/>
              </w:rPr>
            </w:pPr>
          </w:p>
        </w:tc>
        <w:tc>
          <w:tcPr>
            <w:tcW w:w="80" w:type="dxa"/>
            <w:vAlign w:val="bottom"/>
            <w:tcBorders>
              <w:bottom w:val="single" w:sz="8" w:color="auto"/>
            </w:tcBorders>
            <w:vMerge w:val="continue"/>
            <w:shd w:val="clear" w:color="auto" w:fill="CFF0FC"/>
          </w:tcPr>
          <w:p>
            <w:pPr>
              <w:spacing w:after="0"/>
              <w:rPr>
                <w:sz w:val="16"/>
                <w:szCs w:val="16"/>
                <w:color w:val="auto"/>
              </w:rPr>
            </w:pPr>
          </w:p>
        </w:tc>
        <w:tc>
          <w:tcPr>
            <w:tcW w:w="480" w:type="dxa"/>
            <w:vAlign w:val="bottom"/>
            <w:tcBorders>
              <w:bottom w:val="single" w:sz="8" w:color="auto"/>
            </w:tcBorders>
            <w:vMerge w:val="continue"/>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-25400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-8255</wp:posOffset>
            </wp:positionV>
            <wp:extent cx="768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-25400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-8255</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 of outstanding time certificates of deposits and other time deposits in amounts of $100,000 or more by maturity both in total and uninsured greater than $250,000 as of December 31, 2022 are as follows:</w:t>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4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(In Thousands)</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Over Three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Over Six</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8"/>
              </w:rPr>
              <w:t>Months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Months Less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rPr>
              <w:t>Over</w:t>
            </w:r>
          </w:p>
        </w:tc>
        <w:tc>
          <w:tcPr>
            <w:tcW w:w="100" w:type="dxa"/>
            <w:vAlign w:val="bottom"/>
          </w:tcPr>
          <w:p>
            <w:pPr>
              <w:spacing w:after="0"/>
              <w:rPr>
                <w:sz w:val="19"/>
                <w:szCs w:val="19"/>
                <w:color w:val="auto"/>
              </w:rPr>
            </w:pPr>
          </w:p>
        </w:tc>
      </w:tr>
      <w:tr>
        <w:trPr>
          <w:trHeight w:val="229"/>
        </w:trPr>
        <w:tc>
          <w:tcPr>
            <w:tcW w:w="4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Under</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Less than</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Than One</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center"/>
              <w:ind w:right="199"/>
              <w:spacing w:after="0"/>
              <w:rPr>
                <w:sz w:val="20"/>
                <w:szCs w:val="20"/>
                <w:color w:val="auto"/>
              </w:rPr>
            </w:pPr>
            <w:r>
              <w:rPr>
                <w:rFonts w:ascii="Times New Roman" w:cs="Times New Roman" w:eastAsia="Times New Roman" w:hAnsi="Times New Roman"/>
                <w:sz w:val="16"/>
                <w:szCs w:val="16"/>
                <w:color w:val="auto"/>
                <w:w w:val="97"/>
              </w:rPr>
              <w:t>One</w:t>
            </w:r>
          </w:p>
        </w:tc>
        <w:tc>
          <w:tcPr>
            <w:tcW w:w="100" w:type="dxa"/>
            <w:vAlign w:val="bottom"/>
          </w:tcPr>
          <w:p>
            <w:pPr>
              <w:spacing w:after="0"/>
              <w:rPr>
                <w:sz w:val="19"/>
                <w:szCs w:val="19"/>
                <w:color w:val="auto"/>
              </w:rPr>
            </w:pPr>
          </w:p>
        </w:tc>
      </w:tr>
      <w:tr>
        <w:trPr>
          <w:trHeight w:val="242"/>
        </w:trPr>
        <w:tc>
          <w:tcPr>
            <w:tcW w:w="4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Three Months</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rPr>
              <w:t>Six Months</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w w:val="89"/>
              </w:rPr>
              <w:t>Year</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color w:val="auto"/>
                <w:w w:val="96"/>
              </w:rPr>
              <w:t>Year</w:t>
            </w:r>
          </w:p>
        </w:tc>
        <w:tc>
          <w:tcPr>
            <w:tcW w:w="100" w:type="dxa"/>
            <w:vAlign w:val="bottom"/>
          </w:tcPr>
          <w:p>
            <w:pPr>
              <w:spacing w:after="0"/>
              <w:rPr>
                <w:sz w:val="21"/>
                <w:szCs w:val="21"/>
                <w:color w:val="auto"/>
              </w:rPr>
            </w:pPr>
          </w:p>
        </w:tc>
      </w:tr>
      <w:tr>
        <w:trPr>
          <w:trHeight w:val="263"/>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Time Deposits</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74,723</w:t>
            </w:r>
          </w:p>
        </w:tc>
        <w:tc>
          <w:tcPr>
            <w:tcW w:w="2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72,617</w:t>
            </w:r>
          </w:p>
        </w:tc>
        <w:tc>
          <w:tcPr>
            <w:tcW w:w="2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119,424</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87,219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Uninsured Time Deposits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16,283</w:t>
            </w:r>
          </w:p>
        </w:tc>
        <w:tc>
          <w:tcPr>
            <w:tcW w:w="500" w:type="dxa"/>
            <w:vAlign w:val="bottom"/>
            <w:gridSpan w:val="2"/>
          </w:tcPr>
          <w:p>
            <w:pPr>
              <w:jc w:val="right"/>
              <w:ind w:right="99"/>
              <w:spacing w:after="0" w:line="216"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perscript"/>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26,835</w:t>
            </w:r>
          </w:p>
        </w:tc>
        <w:tc>
          <w:tcPr>
            <w:tcW w:w="10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-196215</wp:posOffset>
            </wp:positionV>
            <wp:extent cx="2828925" cy="196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28925" cy="1968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following table presents the average amount of and average rate paid on each deposit category:</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1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96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14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Non-Interest</w:t>
            </w:r>
          </w:p>
        </w:tc>
        <w:tc>
          <w:tcPr>
            <w:tcW w:w="200" w:type="dxa"/>
            <w:vAlign w:val="bottom"/>
          </w:tcPr>
          <w:p>
            <w:pPr>
              <w:spacing w:after="0"/>
              <w:rPr>
                <w:sz w:val="20"/>
                <w:szCs w:val="20"/>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Savings</w:t>
            </w:r>
          </w:p>
        </w:tc>
        <w:tc>
          <w:tcPr>
            <w:tcW w:w="14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Time</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148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DDAs</w:t>
            </w:r>
          </w:p>
        </w:tc>
        <w:tc>
          <w:tcPr>
            <w:tcW w:w="200" w:type="dxa"/>
            <w:vAlign w:val="bottom"/>
          </w:tcPr>
          <w:p>
            <w:pPr>
              <w:spacing w:after="0"/>
              <w:rPr>
                <w:sz w:val="21"/>
                <w:szCs w:val="21"/>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DDAs</w:t>
            </w:r>
          </w:p>
        </w:tc>
        <w:tc>
          <w:tcPr>
            <w:tcW w:w="160" w:type="dxa"/>
            <w:vAlign w:val="bottom"/>
          </w:tcPr>
          <w:p>
            <w:pPr>
              <w:spacing w:after="0"/>
              <w:rPr>
                <w:sz w:val="21"/>
                <w:szCs w:val="21"/>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Accounts</w:t>
            </w:r>
          </w:p>
        </w:tc>
        <w:tc>
          <w:tcPr>
            <w:tcW w:w="140" w:type="dxa"/>
            <w:vAlign w:val="bottom"/>
          </w:tcPr>
          <w:p>
            <w:pPr>
              <w:spacing w:after="0"/>
              <w:rPr>
                <w:sz w:val="21"/>
                <w:szCs w:val="21"/>
                <w:color w:val="auto"/>
              </w:rPr>
            </w:pP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Accounts</w:t>
            </w:r>
          </w:p>
        </w:tc>
      </w:tr>
      <w:tr>
        <w:trPr>
          <w:trHeight w:val="223"/>
        </w:trPr>
        <w:tc>
          <w:tcPr>
            <w:tcW w:w="1480" w:type="dxa"/>
            <w:vAlign w:val="bottom"/>
            <w:tcBorders>
              <w:bottom w:val="single" w:sz="8" w:color="auto"/>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w w:val="99"/>
              </w:rPr>
              <w:t>December 31, 2022:</w:t>
            </w:r>
          </w:p>
        </w:tc>
        <w:tc>
          <w:tcPr>
            <w:tcW w:w="3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480,389</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688,908</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646,363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451,013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Average rate</w:t>
            </w:r>
          </w:p>
        </w:tc>
        <w:tc>
          <w:tcPr>
            <w:tcW w:w="1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c>
          <w:tcPr>
            <w:tcW w:w="2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0.71 %</w:t>
            </w: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0.21 %</w:t>
            </w:r>
          </w:p>
        </w:tc>
        <w:tc>
          <w:tcPr>
            <w:tcW w:w="1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1.29 %</w:t>
            </w:r>
          </w:p>
        </w:tc>
      </w:tr>
      <w:tr>
        <w:trPr>
          <w:trHeight w:val="203"/>
        </w:trPr>
        <w:tc>
          <w:tcPr>
            <w:tcW w:w="488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34"/>
        </w:trPr>
        <w:tc>
          <w:tcPr>
            <w:tcW w:w="1480" w:type="dxa"/>
            <w:vAlign w:val="bottom"/>
            <w:tcBorders>
              <w:top w:val="single" w:sz="8" w:color="auto"/>
            </w:tcBorders>
          </w:tcPr>
          <w:p>
            <w:pPr>
              <w:spacing w:after="0"/>
              <w:rPr>
                <w:sz w:val="2"/>
                <w:szCs w:val="2"/>
                <w:color w:val="auto"/>
              </w:rPr>
            </w:pPr>
          </w:p>
        </w:tc>
        <w:tc>
          <w:tcPr>
            <w:tcW w:w="3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43"/>
        </w:trPr>
        <w:tc>
          <w:tcPr>
            <w:tcW w:w="48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400,801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635,544</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510,092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306,600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Average rate</w:t>
            </w:r>
          </w:p>
        </w:tc>
        <w:tc>
          <w:tcPr>
            <w:tcW w:w="1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c>
          <w:tcPr>
            <w:tcW w:w="2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0.24 %</w:t>
            </w: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0.18 %</w:t>
            </w:r>
          </w:p>
        </w:tc>
        <w:tc>
          <w:tcPr>
            <w:tcW w:w="1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1.16 %</w:t>
            </w:r>
          </w:p>
        </w:tc>
      </w:tr>
      <w:tr>
        <w:trPr>
          <w:trHeight w:val="227"/>
        </w:trPr>
        <w:tc>
          <w:tcPr>
            <w:tcW w:w="1480" w:type="dxa"/>
            <w:vAlign w:val="bottom"/>
            <w:tcBorders>
              <w:bottom w:val="single" w:sz="8" w:color="auto"/>
            </w:tcBorders>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w w:val="99"/>
              </w:rPr>
              <w:t>December 31, 2020:</w:t>
            </w:r>
          </w:p>
        </w:tc>
        <w:tc>
          <w:tcPr>
            <w:tcW w:w="34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Average balance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304,276</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503,771</w:t>
            </w:r>
          </w:p>
        </w:tc>
        <w:tc>
          <w:tcPr>
            <w:tcW w:w="2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375,898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264,827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4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Average rate</w:t>
            </w:r>
          </w:p>
        </w:tc>
        <w:tc>
          <w:tcPr>
            <w:tcW w:w="1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c>
          <w:tcPr>
            <w:tcW w:w="2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0.66 %</w:t>
            </w:r>
          </w:p>
        </w:tc>
        <w:tc>
          <w:tcPr>
            <w:tcW w:w="16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0.26 %</w:t>
            </w:r>
          </w:p>
        </w:tc>
        <w:tc>
          <w:tcPr>
            <w:tcW w:w="14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-1071245</wp:posOffset>
            </wp:positionV>
            <wp:extent cx="641223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Uninsured deposits greater than $250,000 are presented by year in the table below:</w:t>
      </w:r>
    </w:p>
    <w:p>
      <w:pPr>
        <w:spacing w:after="0" w:line="252" w:lineRule="exact"/>
        <w:rPr>
          <w:sz w:val="20"/>
          <w:szCs w:val="20"/>
          <w:color w:val="auto"/>
        </w:rPr>
      </w:pPr>
    </w:p>
    <w:p>
      <w:pPr>
        <w:jc w:val="center"/>
        <w:ind w:left="5140"/>
        <w:spacing w:after="0"/>
        <w:rPr>
          <w:sz w:val="20"/>
          <w:szCs w:val="20"/>
          <w:color w:val="auto"/>
        </w:rPr>
      </w:pPr>
      <w:r>
        <w:rPr>
          <w:rFonts w:ascii="Times New Roman" w:cs="Times New Roman" w:eastAsia="Times New Roman" w:hAnsi="Times New Roman"/>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26035</wp:posOffset>
            </wp:positionV>
            <wp:extent cx="23317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0" w:lineRule="exact"/>
        <w:rPr>
          <w:sz w:val="20"/>
          <w:szCs w:val="20"/>
          <w:color w:val="auto"/>
        </w:rPr>
      </w:pPr>
    </w:p>
    <w:p>
      <w:pPr>
        <w:ind w:left="6720"/>
        <w:spacing w:after="0"/>
        <w:tabs>
          <w:tab w:leader="none" w:pos="8000" w:val="left"/>
          <w:tab w:leader="none" w:pos="930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2021</w:t>
      </w:r>
      <w:r>
        <w:rPr>
          <w:sz w:val="20"/>
          <w:szCs w:val="20"/>
          <w:color w:val="auto"/>
        </w:rPr>
        <w:tab/>
      </w:r>
      <w:r>
        <w:rPr>
          <w:rFonts w:ascii="Times New Roman" w:cs="Times New Roman" w:eastAsia="Times New Roman" w:hAnsi="Times New Roman"/>
          <w:sz w:val="18"/>
          <w:szCs w:val="18"/>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26035</wp:posOffset>
            </wp:positionV>
            <wp:extent cx="23317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30" w:lineRule="exact"/>
        <w:rPr>
          <w:sz w:val="20"/>
          <w:szCs w:val="20"/>
          <w:color w:val="auto"/>
        </w:rPr>
      </w:pPr>
    </w:p>
    <w:p>
      <w:pPr>
        <w:ind w:left="1140"/>
        <w:spacing w:after="0"/>
        <w:tabs>
          <w:tab w:leader="none" w:pos="6360" w:val="left"/>
          <w:tab w:leader="none" w:pos="6820" w:val="left"/>
          <w:tab w:leader="none" w:pos="7660" w:val="left"/>
          <w:tab w:leader="none" w:pos="8140" w:val="left"/>
          <w:tab w:leader="none" w:pos="8940" w:val="left"/>
          <w:tab w:leader="none" w:pos="9420" w:val="left"/>
        </w:tabs>
        <w:rPr>
          <w:sz w:val="20"/>
          <w:szCs w:val="20"/>
          <w:color w:val="auto"/>
        </w:rPr>
      </w:pPr>
      <w:r>
        <w:rPr>
          <w:rFonts w:ascii="Times New Roman" w:cs="Times New Roman" w:eastAsia="Times New Roman" w:hAnsi="Times New Roman"/>
          <w:sz w:val="18"/>
          <w:szCs w:val="18"/>
          <w:color w:val="auto"/>
        </w:rPr>
        <w:t>Uninsured Deposits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511,291</w:t>
        <w:tab/>
        <w:t>$</w:t>
      </w:r>
      <w:r>
        <w:rPr>
          <w:sz w:val="20"/>
          <w:szCs w:val="20"/>
          <w:color w:val="auto"/>
        </w:rPr>
        <w:tab/>
      </w:r>
      <w:r>
        <w:rPr>
          <w:rFonts w:ascii="Times New Roman" w:cs="Times New Roman" w:eastAsia="Times New Roman" w:hAnsi="Times New Roman"/>
          <w:sz w:val="18"/>
          <w:szCs w:val="18"/>
          <w:color w:val="auto"/>
        </w:rPr>
        <w:t>436,628</w:t>
        <w:tab/>
        <w:t>$</w:t>
      </w:r>
      <w:r>
        <w:rPr>
          <w:sz w:val="20"/>
          <w:szCs w:val="20"/>
          <w:color w:val="auto"/>
        </w:rPr>
        <w:tab/>
      </w:r>
      <w:r>
        <w:rPr>
          <w:rFonts w:ascii="Times New Roman" w:cs="Times New Roman" w:eastAsia="Times New Roman" w:hAnsi="Times New Roman"/>
          <w:sz w:val="17"/>
          <w:szCs w:val="17"/>
          <w:color w:val="auto"/>
        </w:rPr>
        <w:t>320,483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803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00395" cy="18034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remains adequate as the Bank has increased the investment portfolio in 2021 and 2022. The Bank has access to $73.0 million of unsecured borrowings through correspondent banks, $130.4 million through a Cash Management Advance with the Federal Home Loan Bank and $249.6 million of unpledged securities which may be sold or used as collateral. The amount of unpledged securities decreased almost $64.1 million as compared to 2021. For the Bank, an additional $2.3 million is also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available from the Federal Home Loan Bank based on current collateral pledging. At the present time, only 1-4 family and home equity portfolios are pledged. Additional borrowings would be available if additional portfolios (i.e. commercial real estate) were pledged.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Maintaining sufficient funds to meet depositor and borrower needs on a daily basis continues to be among management’s top priorities. This is accomplished not only by immediate liquid resources of cash, due from banks and federal funds sold, but also by the Bank’s available for sale securities portfolio. The average aggregate balance of these assets was $447.7 for 2022, $396.3 for 2021 and $244.0 million for 2020. This represented 16.1%, 17.8% and 13.8% of total average assets, respectively. Of the almost $382.1 million of debt securities in the Bank’s portfolio as of December 31, 2022, $19.8 million, or 5.2% of the portfolio, is expected to receive payments or mature in 2023. This liquidity provides the opportunity to fund loan growth by analysis of the lowest cost and source of funds whether by increasing deposits, sales or runoff of investments or utilizing debt.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Bank’s investment portfolio, the Company has $7.5 million held in the holding company’s investment portfolio. $3.0 million of those investments will mature or receive payments in the next twelve months. These funds provide liquidity to the Company. The Bank has been declaring additional dividends each quarter to provide this liquidity to the Company. The Captive has also up streamed dividends to the Company and is expected to continue annually as long as reserve levels are adequately provided for. This provides additional liquidity for Company activities.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Historically, the primary source of liquidity has been core deposits that include noninterest bearing and interest bearing demand deposits, savings, money market accounts and time deposits of individuals. Core deposit balances increased in all categories as of December 31, 2022 compared to same date 2021. Average total savings balances increased $189.6 million in 2022 as compared to 2021. Core deposit balances as of year-end 2021 increased in all categories as compared to 2020. The Bank did not purchase Federal Funds during 2021; however, did purchase Federal Funds at times during 2022 and 2020. The average balance for 2022 was $12.7 million and for 2020 $2.2 million. The Bank is comfortable accessing these funds on a regular basis.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Historically, the primary use of new funds is placing the funds back into the community through loans for the acquisition of new homes, consumer products and for business development. The use of new funds for loans is measured by the loan to deposit ratio. The Bank’s average loan to deposit ratio was 89.5% for 2022, 82.1% for 2021 and 90.7% for 2020. The Bank’s goal is for this ratio to be higher in the 80-90 percent range with loan growth being the driver. The Bank ended the year 2022 at an 94.1% loan to deposit ratio.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Short-term debt such as federal funds purchased, and securities sold under agreement to repurchase also provides the Company with liquidity. Short-term debt for both federal funds purchased, and securities sold under agreement to repurchase amounted to $54.2 million at December 31, 2022, $29.3 million at December 31, 2021 and $30.2 million at the end of 2020. These accounts are used to provide a sweep product to the Bank’s commercial customers and for some term deposits. The repurchase agreements are for term deposits only.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borrowings” are also a source of funds. Other borrowings consist of loans from the Federal Home Loan Bank of Cincinnati and Indianapolis and a correspondent bank. These funds are then used to provide loans in our community. During 2022, the Federal Home Loan Bank of Cincinnati loaned $140.0 million to the Bank. During 2022, 2021 and 2020, $37.4 million, $157.8 thousand and $7.5 million, respectively either matured and was paid off or was paid down. On October 1, 2022, the Bank acquired $964.6 thousand of borrowings from the Federal Home Loan Bank of Cincinnati due to the Peoples Savings and Loan acquisition.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Asset/Liability Management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functions of asset/liability management are to assure adequate liquidity and maintain an appropriate balance between interest earning assets and interest bearing liabilities. It involves the management of the balance sheet mix, maturities, re-pricing characteristics and pricing components to provide an adequate and stable net interest margin with an acceptable level of risk. Interest rate sensitivity management seeks to avoid fluctuating net interest margins and to enhance consistent growth of net interest income through periods of changing interest rates.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net income, other than those related to volume arise when interest rates on assets re-price in a time frame or interest rate environment that is different from that of the re-pricing period for liabilities. Changes in net interest income also arise from changes in the mix of interest-earning assets and interest-bearing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Historically, the Bank has maintained liquidity through cash flows generated in the normal course of business, loan repayments, maturing earning assets, the acquisition of new deposits, and borrowings. The Bank's asset and liability management program is designed to maximize net interest income over the long term while taking into consideration both credit and interest rate risk.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Interest rate sensitivity varies with different types of interest-earning assets and interest-bearing liabilities. Overnight federal funds on which rates change daily and loans that are tied to the market rate differ considerably from long-term investment securities and fixed rate loans. Similarly, time deposits over $100,000 and money market certificates are much more interest rate sensitive than passbook savings accounts. The Bank utilizes shock analysis to examine the amount of exposure an immediate rate change of 100, 200, 300 and 400 basis points in both increasing and decreasing directions would have on the financials. Acceptable ranges of earnings and equity at risk are established and decisions are made to maintain those levels based on the shock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 and Changing Prices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and notes thereto presented herein have been prepared in accordance with generally accepted accounting principles, which require the measurement of financial position and operating results in terms of historical dollars without considering the changes in the relative purchasing power of money over time due to inflation. The impact of inflation is reflected in the increased cost of the Company’s operations. Unlike most industrial companies, nearly all the assets and liabilities of the Company are monetary in nature. As a result, interest rates have a greater impact on the Company’s performance than do the effects of general levels of inflation. Interest rates do not necessarily move in the same direction or to the same extent as the prices of goods and service.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Contractual Obligations of the Company totaled $792.7 million as of December 31, 2022. Time deposits, contractual agreements for certificates of deposits held by its customers, were $558.0 million. Securities sold under agreement to repurchase were $31.6 million. Short term debt consisted of a line of credit secured for the acquisition of Peoples Federal Savings and Loan Bank of $10.0 million and federal funds purchased of $22.6 million. Long term debt was comprised of borrowings with the Federal Home Loan Bank of $127.5 million and subordinated notes of $35.0 million. Short term and long term debt is further defined in Note 9 of the Consolidated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equity was $298.1 million as of December 31, 2022 compared to $297.2 million at December 31, 2021. Dividends declared during 2022 were $0.8125 per share totaling $10.6 million and dividends declared during 2021 were $0.71 per share totaling $8.2 million. Throughout 2022, the Company awarded 56,496 shares of restricted stock awards to 109 employees. During 2021, the Company awarded 48,750 shares of restricted stock to 96 employees. For a summary of activity as it relates to the Company’s restricted stock awards, please refer to Note 11: Employee Benefit Plans in the consolidated financial statements. On December 31, 2022 the Company held 956,003 shares in Treasury Stock and 128,952 unvested shares of restricted stock. At year-end 2021, the Company held 997,766 shares in Treasury stock and 111,131 unvested shares of restricted stock. On January 24, 2023 the Company announced the authorization by its Board of Directors for the Company’s repurchase, either on the open market, or in privately negotiated transactions, of up to 650,000 shares of its outstanding common stock commencing January 24, 2023 and ending December 31, 2023. The Company has a history of approving a similar resolution to be in effect each year for at least the last five years.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continues to have a strong capital base and maintains regulatory capital ratios that are above the defined regulatory capital ratios. At December 31, 2022, the Bank had total risk-based capital ratio of 12.07%. Core capital to risk-based asset ratio of 11.15% for the Bank, is well in excess of regulatory guidelines. The Bank’s leverage ratio of 9.03% is also substantially in excess of regulatory guidelines. Under Basel III, the common equity Tier 1 Capital to risk-weighted assets ratio is also well above the required 4.50% and the 6.50% well capitalized levels with the Bank at 11.15%. As a result of the passage of the Economic Growth, Regulatory Relief and Consumer Protection Act (EGRRCPA) in 2018, the Company is no longer subject to regulatory capital ratio requirements as long as its total consolidating assets are less than $3.0 billion. For further discussion and analysis of regulatory capital requirements, refer to Note 15 of the Audited Financial Statements.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subsidiaries are restricted by regulations from making dividend distributions in excess of certain prescribed amounts. Upon prior regulatory approval, the Bank may be allowed to pay above the prescribed amount.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ind w:right="3980"/>
        <w:spacing w:after="0" w:line="377"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7a. QUANTITATIVE AND QUALITATIVE DISCLOSURES ABOUT MARKET RISK </w:t>
      </w:r>
      <w:r>
        <w:rPr>
          <w:rFonts w:ascii="Times New Roman" w:cs="Times New Roman" w:eastAsia="Times New Roman" w:hAnsi="Times New Roman"/>
          <w:sz w:val="18"/>
          <w:szCs w:val="18"/>
          <w:b w:val="1"/>
          <w:bCs w:val="1"/>
          <w:color w:val="auto"/>
        </w:rPr>
        <w:t>Market Risk</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exposure to loss resulting from changes in interest rates and equity prices. The primary market risk to which we are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rate risk is managed within an overall asset/liability framework. The principal objectives of asset/liability management are to manage sensitivity of net interest spreads and net income to potential changes in interest rates. Funding positions are kept within predetermined limits designed to ensure that risk-taking is not excessive and that liquidity is properly managed. In the event that our asset/liabilities management strategies are unsuccessful, our profitability may be adversely affected. The Company employs a sensitivity analysis utilizing interest rate shocks to help in this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2022, the shocks presented below assume an immediate change of rate in the percentages and directions shown: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Interest Rate Shock on</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Interest Rate Shock on</w:t>
            </w:r>
          </w:p>
        </w:tc>
      </w:tr>
      <w:tr>
        <w:trPr>
          <w:trHeight w:val="250"/>
        </w:trPr>
        <w:tc>
          <w:tcPr>
            <w:tcW w:w="3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Net Interest Margin</w:t>
            </w:r>
          </w:p>
        </w:tc>
        <w:tc>
          <w:tcPr>
            <w:tcW w:w="1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Net Interest Income</w:t>
            </w:r>
          </w:p>
        </w:tc>
      </w:tr>
      <w:tr>
        <w:trPr>
          <w:trHeight w:val="234"/>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Interest</w:t>
            </w:r>
          </w:p>
        </w:tc>
        <w:tc>
          <w:tcPr>
            <w:tcW w:w="22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1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160" w:type="dxa"/>
            <w:vAlign w:val="bottom"/>
          </w:tcPr>
          <w:p>
            <w:pPr>
              <w:spacing w:after="0"/>
              <w:rPr>
                <w:sz w:val="20"/>
                <w:szCs w:val="20"/>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Rate</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Cumulative</w:t>
            </w:r>
          </w:p>
        </w:tc>
        <w:tc>
          <w:tcPr>
            <w:tcW w:w="3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r>
      <w:tr>
        <w:trPr>
          <w:trHeight w:val="245"/>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Margin (Ratio)</w:t>
            </w:r>
          </w:p>
        </w:tc>
        <w:tc>
          <w:tcPr>
            <w:tcW w:w="22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Flat Rate</w:t>
            </w:r>
          </w:p>
        </w:tc>
        <w:tc>
          <w:tcPr>
            <w:tcW w:w="18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Direction</w:t>
            </w:r>
          </w:p>
        </w:tc>
        <w:tc>
          <w:tcPr>
            <w:tcW w:w="160" w:type="dxa"/>
            <w:vAlign w:val="bottom"/>
          </w:tcPr>
          <w:p>
            <w:pPr>
              <w:spacing w:after="0"/>
              <w:rPr>
                <w:sz w:val="21"/>
                <w:szCs w:val="21"/>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changes by</w:t>
            </w:r>
          </w:p>
        </w:tc>
        <w:tc>
          <w:tcPr>
            <w:tcW w:w="15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 ($000)</w:t>
            </w:r>
          </w:p>
        </w:tc>
        <w:tc>
          <w:tcPr>
            <w:tcW w:w="300" w:type="dxa"/>
            <w:vAlign w:val="bottom"/>
          </w:tcPr>
          <w:p>
            <w:pPr>
              <w:spacing w:after="0"/>
              <w:rPr>
                <w:sz w:val="21"/>
                <w:szCs w:val="21"/>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 Flat Rate</w:t>
            </w:r>
          </w:p>
        </w:tc>
      </w:tr>
      <w:tr>
        <w:trPr>
          <w:trHeight w:val="243"/>
        </w:trPr>
        <w:tc>
          <w:tcPr>
            <w:tcW w:w="1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shd w:val="clear" w:color="auto" w:fill="CFF0FC"/>
          </w:tcPr>
          <w:p>
            <w:pPr>
              <w:spacing w:after="0"/>
              <w:rPr>
                <w:sz w:val="21"/>
                <w:szCs w:val="21"/>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2.70%</w:t>
            </w:r>
          </w:p>
        </w:tc>
        <w:tc>
          <w:tcPr>
            <w:tcW w:w="180" w:type="dxa"/>
            <w:vAlign w:val="bottom"/>
            <w:shd w:val="clear" w:color="auto" w:fill="CFF0FC"/>
          </w:tcPr>
          <w:p>
            <w:pPr>
              <w:spacing w:after="0"/>
              <w:rPr>
                <w:sz w:val="21"/>
                <w:szCs w:val="21"/>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60" w:type="dxa"/>
            <w:vAlign w:val="bottom"/>
            <w:shd w:val="clear" w:color="auto" w:fill="CFF0FC"/>
          </w:tcPr>
          <w:p>
            <w:pPr>
              <w:spacing w:after="0"/>
              <w:rPr>
                <w:sz w:val="21"/>
                <w:szCs w:val="21"/>
                <w:color w:val="auto"/>
              </w:rPr>
            </w:pPr>
          </w:p>
        </w:tc>
        <w:tc>
          <w:tcPr>
            <w:tcW w:w="17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20" w:type="dxa"/>
            <w:vAlign w:val="bottom"/>
            <w:shd w:val="clear" w:color="auto" w:fill="CFF0FC"/>
          </w:tcPr>
          <w:p>
            <w:pPr>
              <w:spacing w:after="0"/>
              <w:rPr>
                <w:sz w:val="21"/>
                <w:szCs w:val="21"/>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108,158</w:t>
            </w:r>
          </w:p>
        </w:tc>
        <w:tc>
          <w:tcPr>
            <w:tcW w:w="300" w:type="dxa"/>
            <w:vAlign w:val="bottom"/>
            <w:shd w:val="clear" w:color="auto" w:fill="CFF0FC"/>
          </w:tcPr>
          <w:p>
            <w:pPr>
              <w:spacing w:after="0"/>
              <w:rPr>
                <w:sz w:val="21"/>
                <w:szCs w:val="21"/>
                <w:color w:val="auto"/>
              </w:rPr>
            </w:pPr>
          </w:p>
        </w:tc>
        <w:tc>
          <w:tcPr>
            <w:tcW w:w="17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2.85%</w:t>
            </w:r>
          </w:p>
        </w:tc>
      </w:tr>
      <w:tr>
        <w:trPr>
          <w:trHeight w:val="23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3.56%</w:t>
            </w:r>
          </w:p>
        </w:tc>
        <w:tc>
          <w:tcPr>
            <w:tcW w:w="1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3.04%</w:t>
            </w:r>
          </w:p>
        </w:tc>
        <w:tc>
          <w:tcPr>
            <w:tcW w:w="1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2.00%</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108,465</w:t>
            </w:r>
          </w:p>
        </w:tc>
        <w:tc>
          <w:tcPr>
            <w:tcW w:w="20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3.14%</w:t>
            </w:r>
          </w:p>
        </w:tc>
      </w:tr>
      <w:tr>
        <w:trPr>
          <w:trHeight w:val="247"/>
        </w:trPr>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3.56%</w:t>
            </w:r>
          </w:p>
        </w:tc>
        <w:tc>
          <w:tcPr>
            <w:tcW w:w="19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8"/>
              </w:rPr>
              <w:t>2.89%</w:t>
            </w: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Rising</w:t>
            </w:r>
          </w:p>
        </w:tc>
        <w:tc>
          <w:tcPr>
            <w:tcW w:w="19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1.00%</w:t>
            </w:r>
          </w:p>
        </w:tc>
        <w:tc>
          <w:tcPr>
            <w:tcW w:w="1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108,249</w:t>
            </w:r>
          </w:p>
        </w:tc>
        <w:tc>
          <w:tcPr>
            <w:tcW w:w="202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8"/>
              </w:rPr>
              <w:t>2.94%</w:t>
            </w:r>
          </w:p>
        </w:tc>
      </w:tr>
      <w:tr>
        <w:trPr>
          <w:trHeight w:val="23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3.46%</w:t>
            </w:r>
          </w:p>
        </w:tc>
        <w:tc>
          <w:tcPr>
            <w:tcW w:w="19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8"/>
              </w:rPr>
              <w:t>0.00%</w:t>
            </w:r>
          </w:p>
        </w:tc>
        <w:tc>
          <w:tcPr>
            <w:tcW w:w="1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Flat</w:t>
            </w:r>
          </w:p>
        </w:tc>
        <w:tc>
          <w:tcPr>
            <w:tcW w:w="1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105,163</w:t>
            </w:r>
          </w:p>
        </w:tc>
        <w:tc>
          <w:tcPr>
            <w:tcW w:w="2020" w:type="dxa"/>
            <w:vAlign w:val="bottom"/>
            <w:gridSpan w:val="2"/>
          </w:tcPr>
          <w:p>
            <w:pPr>
              <w:jc w:val="center"/>
              <w:ind w:left="19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7"/>
        </w:trPr>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3.24%</w:t>
            </w:r>
          </w:p>
        </w:tc>
        <w:tc>
          <w:tcPr>
            <w:tcW w:w="196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w w:val="98"/>
              </w:rPr>
              <w:t>-6.31%</w:t>
            </w: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9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98,500</w:t>
            </w:r>
          </w:p>
        </w:tc>
        <w:tc>
          <w:tcPr>
            <w:tcW w:w="2020" w:type="dxa"/>
            <w:vAlign w:val="bottom"/>
            <w:gridSpan w:val="2"/>
            <w:shd w:val="clear" w:color="auto" w:fill="CFF0FC"/>
          </w:tcPr>
          <w:p>
            <w:pPr>
              <w:jc w:val="center"/>
              <w:ind w:left="210"/>
              <w:spacing w:after="0"/>
              <w:rPr>
                <w:sz w:val="20"/>
                <w:szCs w:val="20"/>
                <w:color w:val="auto"/>
              </w:rPr>
            </w:pPr>
            <w:r>
              <w:rPr>
                <w:rFonts w:ascii="Times New Roman" w:cs="Times New Roman" w:eastAsia="Times New Roman" w:hAnsi="Times New Roman"/>
                <w:sz w:val="18"/>
                <w:szCs w:val="18"/>
                <w:color w:val="auto"/>
                <w:w w:val="98"/>
              </w:rPr>
              <w:t>-6.34%</w:t>
            </w:r>
          </w:p>
        </w:tc>
      </w:tr>
      <w:tr>
        <w:trPr>
          <w:trHeight w:val="23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3.07%</w:t>
            </w:r>
          </w:p>
        </w:tc>
        <w:tc>
          <w:tcPr>
            <w:tcW w:w="19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color w:val="auto"/>
                <w:w w:val="97"/>
              </w:rPr>
              <w:t>-11.07%</w:t>
            </w:r>
          </w:p>
        </w:tc>
        <w:tc>
          <w:tcPr>
            <w:tcW w:w="1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9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93,466</w:t>
            </w:r>
          </w:p>
        </w:tc>
        <w:tc>
          <w:tcPr>
            <w:tcW w:w="20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7"/>
              </w:rPr>
              <w:t>-11.12%</w:t>
            </w:r>
          </w:p>
        </w:tc>
      </w:tr>
      <w:tr>
        <w:trPr>
          <w:trHeight w:val="247"/>
        </w:trPr>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2.92%</w:t>
            </w:r>
          </w:p>
        </w:tc>
        <w:tc>
          <w:tcPr>
            <w:tcW w:w="196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rPr>
              <w:t>-15.42%</w:t>
            </w:r>
          </w:p>
        </w:tc>
        <w:tc>
          <w:tcPr>
            <w:tcW w:w="180" w:type="dxa"/>
            <w:vAlign w:val="bottom"/>
            <w:shd w:val="clear" w:color="auto" w:fill="CFF0FC"/>
          </w:tcPr>
          <w:p>
            <w:pPr>
              <w:spacing w:after="0"/>
              <w:rPr>
                <w:sz w:val="21"/>
                <w:szCs w:val="21"/>
                <w:color w:val="auto"/>
              </w:rPr>
            </w:pPr>
          </w:p>
        </w:tc>
        <w:tc>
          <w:tcPr>
            <w:tcW w:w="1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Falling</w:t>
            </w:r>
          </w:p>
        </w:tc>
        <w:tc>
          <w:tcPr>
            <w:tcW w:w="19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88,872</w:t>
            </w:r>
          </w:p>
        </w:tc>
        <w:tc>
          <w:tcPr>
            <w:tcW w:w="2020" w:type="dxa"/>
            <w:vAlign w:val="bottom"/>
            <w:gridSpan w:val="2"/>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rPr>
              <w:t>-15.49%</w:t>
            </w: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shock chart currently shows a widening in net interest margin over the next twelve months in an increasing rate environment and a tightening in a falling rate environment. The basis rising rates scenarios are predicted to expand the net interest margin and produce higher levels of net interest income. This would indicate that the assets yield is predicted to increase faster than the cost of funds will rise. In a rising 300 basis point increase, the model is indicating our deposit costs are rising more than asset yields. The Bank continues to enhance its use of the software model and performs additional stress tests whose results management and the director’s review. The Bank also monitors and adjusts the assumptions for decay rates and key rate ties on certain deposit accounts and continues to review and modify those rates as the index rates change. Both directional changes are well within risk exposure guidelines. The effect of the rate shocks may be mitigated to the extent that not all lines of business are directly tied to an external index and actual balance sheet composition may differ from prediction.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at December 31, 2022 and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Income for the years ended December 31, 2022, 2021 and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December 31, 2022, 2021 and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Consolidated Statements of Changes to Shareholders’ Equity for the years ended December 31, 2022, 2021 and 2020.</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2022, 2021 and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850900</wp:posOffset>
            </wp:positionH>
            <wp:positionV relativeFrom="page">
              <wp:posOffset>226060</wp:posOffset>
            </wp:positionV>
            <wp:extent cx="5812155" cy="8915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5812155" cy="891540"/>
                    </a:xfrm>
                    <a:prstGeom prst="rect">
                      <a:avLst/>
                    </a:prstGeom>
                    <a:noFill/>
                  </pic:spPr>
                </pic:pic>
              </a:graphicData>
            </a:graphic>
          </wp:anchor>
        </w:drawing>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Board of Directors, and Audit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Farmers &amp; Merchants Bancorp,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Archbold, Ohio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Consolidated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Farmers and Merchants Bancorp, Inc. (Company) as of December 31, 2022 and 2021, the related consolidated statements of income (loss), comprehensive income, changes to stockholders’ equity and cash flows for each of the years in the three-year period ended December 31, 2022, and the related notes (collectively referred to as the financial statements). In our opinion, the consolidated financial statements referred to above present fairly, in all material respects, the financial position of the Company as of December 31, 2022 and 2021, and the results of its operations and its cash flows for each of the years in the three-year period ended December 31, 2022, in conformity with accounting principles generally accepted in the United States of America.</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3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separate opinions on the critical audit matter or on the accounts or disclosures to which they relate.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described in Note 4 to the consolidated financial statements, the Company’s consolidated allowance for loan and lease losses (ALLL) was $20.31 million at December 31, 2022. The Company also describes in Note 1 of the consolidated financial statements the "Allowance for Loan Losses" accounting policy around this estimate. The allowance for loan losses is evaluated on a regular basis by management and is based on management’s periodic review of the collectability of loans in light of historical experiences, the nature and volume of the loan portfolio, adverse situations that may affect the borrower’s ability 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jc w:val="both"/>
        <w:spacing w:after="0" w:line="258" w:lineRule="auto"/>
        <w:rPr>
          <w:sz w:val="20"/>
          <w:szCs w:val="20"/>
          <w:color w:val="auto"/>
        </w:rPr>
      </w:pPr>
      <w:r>
        <w:rPr>
          <w:rFonts w:ascii="Times New Roman" w:cs="Times New Roman" w:eastAsia="Times New Roman" w:hAnsi="Times New Roman"/>
          <w:sz w:val="18"/>
          <w:szCs w:val="18"/>
          <w:color w:val="auto"/>
        </w:rPr>
        <w:t>repay, estimated value of any underlying collateral, and prevailing economic conditions. The allowance consists of specific, general and unallocated components. The specific component relates to loans that are classified as impaired and an allowance is established when the discounted cash flows (or collateral value) of the impaired loan is lower than the carrying value of that loan. The general component covers non-classified loans and is based on historical loss experience adjusted for qualitative factors. The unallocated component is maintained to cover uncertainties that could affect management’s estimate of probable losses.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reason for our determination that the allowance for loan losses is a critical audit matter is that it involved significant judgment and complex review as there is a high degree of subjectivity in evaluating management’s estimate, such as evaluating management's assessment of economic conditions and other environmental factors, evaluating the adequacy of specific allowances associated with impaired loans and assessing the appropriateness of loan grades.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estimated allowance for loan losses included:</w:t>
      </w:r>
    </w:p>
    <w:p>
      <w:pPr>
        <w:spacing w:after="0" w:line="333"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clerical/computational accuracy of the formulas within the Company’s ALLL calculation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completeness and accuracy of the underlying data utilized in the ALLL, including reports used in management review controls over the ALLL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the loan review function and the accuracy of loan grades determined. Specifically, utilizing internal loan review professionals to assist us in evaluating the appropriateness of loan grades and to assess the reasonableness of specific impairments on impaired loans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overall reasonableness of qualitative factor adjustments to historical loss and the appropriateness of their direction and magnitude and the Company’s support for the direction and magnitude compared to previous years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56970" cy="2311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56970"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(Formerly, BKD,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Wayne,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r>
      <w:tr>
        <w:trPr>
          <w:trHeight w:val="216"/>
        </w:trPr>
        <w:tc>
          <w:tcPr>
            <w:tcW w:w="8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 and 2021</w:t>
            </w:r>
          </w:p>
        </w:tc>
      </w:tr>
      <w:tr>
        <w:trPr>
          <w:trHeight w:val="238"/>
        </w:trPr>
        <w:tc>
          <w:tcPr>
            <w:tcW w:w="8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(000’s Omitted, Except Share Data)</w:t>
            </w:r>
          </w:p>
        </w:tc>
      </w:tr>
      <w:tr>
        <w:trPr>
          <w:trHeight w:val="453"/>
        </w:trPr>
        <w:tc>
          <w:tcPr>
            <w:tcW w:w="8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4"/>
                <w:szCs w:val="24"/>
                <w:color w:val="auto"/>
              </w:rPr>
            </w:pPr>
          </w:p>
        </w:tc>
      </w:tr>
      <w:tr>
        <w:trPr>
          <w:trHeight w:val="243"/>
        </w:trPr>
        <w:tc>
          <w:tcPr>
            <w:tcW w:w="8160" w:type="dxa"/>
            <w:vAlign w:val="bottom"/>
            <w:shd w:val="clear" w:color="auto" w:fill="CFF0FC"/>
          </w:tcPr>
          <w:p>
            <w:pPr>
              <w:ind w:left="3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due from banks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83,085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135,485</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sold</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45,338</w:t>
            </w:r>
          </w:p>
        </w:tc>
        <w:tc>
          <w:tcPr>
            <w:tcW w:w="100" w:type="dxa"/>
            <w:vAlign w:val="bottom"/>
          </w:tcPr>
          <w:p>
            <w:pPr>
              <w:spacing w:after="0"/>
              <w:rPr>
                <w:sz w:val="20"/>
                <w:szCs w:val="20"/>
                <w:color w:val="auto"/>
              </w:rPr>
            </w:pPr>
          </w:p>
        </w:tc>
      </w:tr>
      <w:tr>
        <w:trPr>
          <w:trHeight w:val="241"/>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84,409</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180,823</w:t>
            </w:r>
          </w:p>
        </w:tc>
        <w:tc>
          <w:tcPr>
            <w:tcW w:w="100" w:type="dxa"/>
            <w:vAlign w:val="bottom"/>
            <w:shd w:val="clear" w:color="auto" w:fill="CFF0FC"/>
          </w:tcPr>
          <w:p>
            <w:pPr>
              <w:spacing w:after="0"/>
              <w:rPr>
                <w:sz w:val="20"/>
                <w:szCs w:val="20"/>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390,789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429,931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8,162</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7,714</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2,336,074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1,841,177</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86,358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80,434</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real estate owned</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owned life insurance</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33,073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27,558</w:t>
            </w:r>
          </w:p>
        </w:tc>
        <w:tc>
          <w:tcPr>
            <w:tcW w:w="100" w:type="dxa"/>
            <w:vAlign w:val="bottom"/>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37,372</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3,015,351</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2,638,300</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160" w:type="dxa"/>
            <w:vAlign w:val="bottom"/>
            <w:shd w:val="clear" w:color="auto" w:fill="CFF0FC"/>
          </w:tcPr>
          <w:p>
            <w:pPr>
              <w:ind w:left="26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Noninterest-bearing</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532,794</w:t>
            </w:r>
          </w:p>
        </w:tc>
        <w:tc>
          <w:tcPr>
            <w:tcW w:w="2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473,689</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Interest-bearing</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NOW accounts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750,887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650,466</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Savings</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627,203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597,828</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Time</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557,980</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471,479</w:t>
            </w:r>
          </w:p>
        </w:tc>
        <w:tc>
          <w:tcPr>
            <w:tcW w:w="100" w:type="dxa"/>
            <w:vAlign w:val="bottom"/>
          </w:tcPr>
          <w:p>
            <w:pPr>
              <w:spacing w:after="0"/>
              <w:rPr>
                <w:sz w:val="20"/>
                <w:szCs w:val="20"/>
                <w:color w:val="auto"/>
              </w:rPr>
            </w:pPr>
          </w:p>
        </w:tc>
      </w:tr>
      <w:tr>
        <w:trPr>
          <w:trHeight w:val="241"/>
        </w:trPr>
        <w:tc>
          <w:tcPr>
            <w:tcW w:w="816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deposits</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2,468,864</w:t>
            </w: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2,193,462</w:t>
            </w:r>
          </w:p>
        </w:tc>
        <w:tc>
          <w:tcPr>
            <w:tcW w:w="100" w:type="dxa"/>
            <w:vAlign w:val="bottom"/>
            <w:shd w:val="clear" w:color="auto" w:fill="CFF0FC"/>
          </w:tcPr>
          <w:p>
            <w:pPr>
              <w:spacing w:after="0"/>
              <w:rPr>
                <w:sz w:val="20"/>
                <w:szCs w:val="20"/>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 to repurchase</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29,268</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127,485</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24,065</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borrowings</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0"/>
                <w:szCs w:val="20"/>
                <w:color w:val="auto"/>
              </w:rPr>
            </w:pP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payable</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20"/>
                <w:szCs w:val="20"/>
                <w:color w:val="auto"/>
              </w:rPr>
            </w:pPr>
          </w:p>
        </w:tc>
      </w:tr>
      <w:tr>
        <w:trPr>
          <w:trHeight w:val="243"/>
        </w:trPr>
        <w:tc>
          <w:tcPr>
            <w:tcW w:w="8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1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2,717,211</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2,341,133</w:t>
            </w:r>
          </w:p>
        </w:tc>
        <w:tc>
          <w:tcPr>
            <w:tcW w:w="100" w:type="dxa"/>
            <w:vAlign w:val="bottom"/>
          </w:tcPr>
          <w:p>
            <w:pPr>
              <w:spacing w:after="0"/>
              <w:rPr>
                <w:sz w:val="20"/>
                <w:szCs w:val="20"/>
                <w:color w:val="auto"/>
              </w:rPr>
            </w:pPr>
          </w:p>
        </w:tc>
      </w:tr>
      <w:tr>
        <w:trPr>
          <w:trHeight w:val="241"/>
        </w:trPr>
        <w:tc>
          <w:tcPr>
            <w:tcW w:w="8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 No par value 20,000,000 shares authorized; issued and</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81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outstanding 14,564,425 shares 12/31/22 and 14,063,999 shares 12/31/21</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135,497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122,674</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Treasury stock - 956,003 shares 12/31/22, 997,766 shares 12/31/21</w:t>
            </w:r>
          </w:p>
        </w:tc>
        <w:tc>
          <w:tcPr>
            <w:tcW w:w="2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(11,573 )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(11,724 )</w:t>
            </w:r>
          </w:p>
        </w:tc>
      </w:tr>
      <w:tr>
        <w:trPr>
          <w:trHeight w:val="247"/>
        </w:trPr>
        <w:tc>
          <w:tcPr>
            <w:tcW w:w="8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212,449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189,401</w:t>
            </w:r>
          </w:p>
        </w:tc>
        <w:tc>
          <w:tcPr>
            <w:tcW w:w="100" w:type="dxa"/>
            <w:vAlign w:val="bottom"/>
            <w:shd w:val="clear" w:color="auto" w:fill="CFF0FC"/>
          </w:tcPr>
          <w:p>
            <w:pPr>
              <w:spacing w:after="0"/>
              <w:rPr>
                <w:sz w:val="21"/>
                <w:szCs w:val="21"/>
                <w:color w:val="auto"/>
              </w:rPr>
            </w:pPr>
          </w:p>
        </w:tc>
      </w:tr>
      <w:tr>
        <w:trPr>
          <w:trHeight w:val="239"/>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(38,233 )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(3,184 )</w:t>
            </w:r>
          </w:p>
        </w:tc>
      </w:tr>
      <w:tr>
        <w:trPr>
          <w:trHeight w:val="236"/>
        </w:trPr>
        <w:tc>
          <w:tcPr>
            <w:tcW w:w="816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298,140</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3,015,351</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2,638,300</w:t>
            </w:r>
          </w:p>
        </w:tc>
        <w:tc>
          <w:tcPr>
            <w:tcW w:w="100" w:type="dxa"/>
            <w:vAlign w:val="bottom"/>
          </w:tcPr>
          <w:p>
            <w:pPr>
              <w:spacing w:after="0"/>
              <w:rPr>
                <w:sz w:val="20"/>
                <w:szCs w:val="20"/>
                <w:color w:val="auto"/>
              </w:rPr>
            </w:pPr>
          </w:p>
        </w:tc>
      </w:tr>
      <w:tr>
        <w:trPr>
          <w:trHeight w:val="20"/>
        </w:trPr>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-4405630</wp:posOffset>
            </wp:positionV>
            <wp:extent cx="68580"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-4405630</wp:posOffset>
            </wp:positionV>
            <wp:extent cx="6858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-1893570</wp:posOffset>
            </wp:positionV>
            <wp:extent cx="6858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1714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1885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r>
      <w:tr>
        <w:trPr>
          <w:trHeight w:val="216"/>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tc>
      </w:tr>
      <w:tr>
        <w:trPr>
          <w:trHeight w:val="238"/>
        </w:trPr>
        <w:tc>
          <w:tcPr>
            <w:tcW w:w="7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80" w:type="dxa"/>
            <w:vAlign w:val="bottom"/>
            <w:gridSpan w:val="9"/>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(000’s Omitted, Except Per Share Data)</w:t>
            </w:r>
          </w:p>
        </w:tc>
      </w:tr>
      <w:tr>
        <w:trPr>
          <w:trHeight w:val="453"/>
        </w:trPr>
        <w:tc>
          <w:tcPr>
            <w:tcW w:w="7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4"/>
                <w:szCs w:val="24"/>
                <w:color w:val="auto"/>
              </w:rPr>
            </w:pPr>
          </w:p>
        </w:tc>
      </w:tr>
      <w:tr>
        <w:trPr>
          <w:trHeight w:val="243"/>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Loans, including fees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94,264</w:t>
            </w:r>
          </w:p>
        </w:tc>
        <w:tc>
          <w:tcPr>
            <w:tcW w:w="140" w:type="dxa"/>
            <w:vAlign w:val="bottom"/>
          </w:tcPr>
          <w:p>
            <w:pPr>
              <w:spacing w:after="0"/>
              <w:rPr>
                <w:sz w:val="20"/>
                <w:szCs w:val="20"/>
                <w:color w:val="auto"/>
              </w:rPr>
            </w:pP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71,645</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65,317</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Debt securities: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Treasury and government agencies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Municipalities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Federal funds sold</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0"/>
                <w:szCs w:val="20"/>
                <w:color w:val="auto"/>
              </w:rPr>
            </w:pPr>
          </w:p>
        </w:tc>
      </w:tr>
      <w:tr>
        <w:trPr>
          <w:trHeight w:val="241"/>
        </w:trPr>
        <w:tc>
          <w:tcPr>
            <w:tcW w:w="71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interest income</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101,149</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76,840</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70,169</w:t>
            </w:r>
          </w:p>
        </w:tc>
        <w:tc>
          <w:tcPr>
            <w:tcW w:w="100" w:type="dxa"/>
            <w:vAlign w:val="bottom"/>
            <w:shd w:val="clear" w:color="auto" w:fill="CFF0FC"/>
          </w:tcPr>
          <w:p>
            <w:pPr>
              <w:spacing w:after="0"/>
              <w:rPr>
                <w:sz w:val="20"/>
                <w:szCs w:val="20"/>
                <w:color w:val="auto"/>
              </w:rPr>
            </w:pPr>
          </w:p>
        </w:tc>
      </w:tr>
      <w:tr>
        <w:trPr>
          <w:trHeight w:val="241"/>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shd w:val="clear" w:color="auto" w:fill="CFF0FC"/>
          </w:tcPr>
          <w:p>
            <w:pPr>
              <w:spacing w:after="0"/>
              <w:rPr>
                <w:sz w:val="21"/>
                <w:szCs w:val="21"/>
                <w:color w:val="auto"/>
              </w:rPr>
            </w:pPr>
          </w:p>
        </w:tc>
      </w:tr>
      <w:tr>
        <w:trPr>
          <w:trHeight w:val="211"/>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repurchase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Pr>
          <w:p>
            <w:pPr>
              <w:spacing w:after="0"/>
              <w:rPr>
                <w:sz w:val="20"/>
                <w:szCs w:val="20"/>
                <w:color w:val="auto"/>
              </w:rPr>
            </w:pPr>
          </w:p>
        </w:tc>
      </w:tr>
      <w:tr>
        <w:trPr>
          <w:trHeight w:val="250"/>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Borrowed funds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Subordinated notes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7"/>
        </w:trPr>
        <w:tc>
          <w:tcPr>
            <w:tcW w:w="71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interest expense</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 Before Provision for Loan Losses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69,498</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59,776</w:t>
            </w:r>
          </w:p>
        </w:tc>
        <w:tc>
          <w:tcPr>
            <w:tcW w:w="100" w:type="dxa"/>
            <w:vAlign w:val="bottom"/>
          </w:tcPr>
          <w:p>
            <w:pPr>
              <w:spacing w:after="0"/>
              <w:rPr>
                <w:sz w:val="20"/>
                <w:szCs w:val="20"/>
                <w:color w:val="auto"/>
              </w:rPr>
            </w:pPr>
          </w:p>
        </w:tc>
      </w:tr>
      <w:tr>
        <w:trPr>
          <w:trHeight w:val="243"/>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Loan Losses</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Loan Losses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82,187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66,054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52,795</w:t>
            </w:r>
          </w:p>
        </w:tc>
        <w:tc>
          <w:tcPr>
            <w:tcW w:w="100" w:type="dxa"/>
            <w:vAlign w:val="bottom"/>
          </w:tcPr>
          <w:p>
            <w:pPr>
              <w:spacing w:after="0"/>
              <w:rPr>
                <w:sz w:val="20"/>
                <w:szCs w:val="20"/>
                <w:color w:val="auto"/>
              </w:rPr>
            </w:pPr>
          </w:p>
        </w:tc>
      </w:tr>
      <w:tr>
        <w:trPr>
          <w:trHeight w:val="245"/>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Income</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service fees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3,748</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gain on sale of loans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tcPr>
          <w:p>
            <w:pPr>
              <w:spacing w:after="0"/>
              <w:rPr>
                <w:sz w:val="20"/>
                <w:szCs w:val="20"/>
                <w:color w:val="auto"/>
              </w:rPr>
            </w:pPr>
          </w:p>
        </w:tc>
      </w:tr>
      <w:tr>
        <w:trPr>
          <w:trHeight w:val="243"/>
        </w:trPr>
        <w:tc>
          <w:tcPr>
            <w:tcW w:w="71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gain on sale of available-for-sale securities</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1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noninterest income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17,609</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16,787</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Noninterest Expense</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Salaries and wages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18,488</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Employee benefits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5,601</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occupancy expense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Furniture and equipment</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Data processing</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Franchise taxes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ATM expense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Advertising</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(gain) loss on sale of other assets owned</w:t>
            </w:r>
          </w:p>
        </w:tc>
        <w:tc>
          <w:tcPr>
            <w:tcW w:w="2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(259 )</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FDIC assessment</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Mortgage servicing rights amortization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20"/>
                <w:szCs w:val="20"/>
                <w:color w:val="auto"/>
              </w:rPr>
            </w:pPr>
          </w:p>
        </w:tc>
      </w:tr>
      <w:tr>
        <w:trPr>
          <w:trHeight w:val="247"/>
        </w:trPr>
        <w:tc>
          <w:tcPr>
            <w:tcW w:w="7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Consulting fees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FF0FC"/>
          </w:tcPr>
          <w:p>
            <w:pPr>
              <w:spacing w:after="0"/>
              <w:rPr>
                <w:sz w:val="21"/>
                <w:szCs w:val="21"/>
                <w:color w:val="auto"/>
              </w:rPr>
            </w:pPr>
          </w:p>
        </w:tc>
      </w:tr>
      <w:tr>
        <w:trPr>
          <w:trHeight w:val="239"/>
        </w:trPr>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00" w:type="dxa"/>
            <w:vAlign w:val="bottom"/>
          </w:tcPr>
          <w:p>
            <w:pPr>
              <w:spacing w:after="0"/>
              <w:rPr>
                <w:sz w:val="20"/>
                <w:szCs w:val="20"/>
                <w:color w:val="auto"/>
              </w:rPr>
            </w:pPr>
          </w:p>
        </w:tc>
      </w:tr>
      <w:tr>
        <w:trPr>
          <w:trHeight w:val="236"/>
        </w:trPr>
        <w:tc>
          <w:tcPr>
            <w:tcW w:w="71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57,249</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54,166</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40,475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25,206</w:t>
            </w:r>
          </w:p>
        </w:tc>
        <w:tc>
          <w:tcPr>
            <w:tcW w:w="100" w:type="dxa"/>
            <w:vAlign w:val="bottom"/>
          </w:tcPr>
          <w:p>
            <w:pPr>
              <w:spacing w:after="0"/>
              <w:rPr>
                <w:sz w:val="20"/>
                <w:szCs w:val="20"/>
                <w:color w:val="auto"/>
              </w:rPr>
            </w:pPr>
          </w:p>
        </w:tc>
      </w:tr>
      <w:tr>
        <w:trPr>
          <w:trHeight w:val="243"/>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100" w:type="dxa"/>
            <w:vAlign w:val="bottom"/>
          </w:tcPr>
          <w:p>
            <w:pPr>
              <w:spacing w:after="0"/>
              <w:rPr>
                <w:sz w:val="20"/>
                <w:szCs w:val="20"/>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7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0"/>
                <w:szCs w:val="20"/>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Declared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0.8125</w:t>
            </w:r>
          </w:p>
        </w:tc>
        <w:tc>
          <w:tcPr>
            <w:tcW w:w="140" w:type="dxa"/>
            <w:vAlign w:val="bottom"/>
          </w:tcPr>
          <w:p>
            <w:pPr>
              <w:spacing w:after="0"/>
              <w:rPr>
                <w:sz w:val="19"/>
                <w:szCs w:val="19"/>
                <w:color w:val="auto"/>
              </w:rPr>
            </w:pP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5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-4937125</wp:posOffset>
            </wp:positionV>
            <wp:extent cx="76835"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-4937125</wp:posOffset>
            </wp:positionV>
            <wp:extent cx="6858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-4937125</wp:posOffset>
            </wp:positionV>
            <wp:extent cx="68580" cy="1631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-4619625</wp:posOffset>
            </wp:positionV>
            <wp:extent cx="76835"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-4619625</wp:posOffset>
            </wp:positionV>
            <wp:extent cx="68580" cy="1631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-4619625</wp:posOffset>
            </wp:positionV>
            <wp:extent cx="6858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-3685540</wp:posOffset>
            </wp:positionV>
            <wp:extent cx="76835" cy="1625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-3685540</wp:posOffset>
            </wp:positionV>
            <wp:extent cx="68580"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-1199515</wp:posOffset>
            </wp:positionV>
            <wp:extent cx="76835"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-1199515</wp:posOffset>
            </wp:positionV>
            <wp:extent cx="68580"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625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-882015</wp:posOffset>
            </wp:positionV>
            <wp:extent cx="76835" cy="18859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-882015</wp:posOffset>
            </wp:positionV>
            <wp:extent cx="68580" cy="1885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18859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-205105</wp:posOffset>
            </wp:positionV>
            <wp:extent cx="1877060" cy="2057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877060" cy="2057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8"/>
        </w:trPr>
        <w:tc>
          <w:tcPr>
            <w:tcW w:w="55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540" w:type="dxa"/>
            <w:vAlign w:val="bottom"/>
          </w:tcPr>
          <w:p>
            <w:pPr>
              <w:spacing w:after="0"/>
              <w:rPr>
                <w:sz w:val="24"/>
                <w:szCs w:val="24"/>
                <w:color w:val="auto"/>
              </w:rPr>
            </w:pPr>
          </w:p>
        </w:tc>
        <w:tc>
          <w:tcPr>
            <w:tcW w:w="572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90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(000’s Omitted)</w:t>
            </w:r>
          </w:p>
        </w:tc>
        <w:tc>
          <w:tcPr>
            <w:tcW w:w="0" w:type="dxa"/>
            <w:vAlign w:val="bottom"/>
          </w:tcPr>
          <w:p>
            <w:pPr>
              <w:spacing w:after="0"/>
              <w:rPr>
                <w:sz w:val="1"/>
                <w:szCs w:val="1"/>
                <w:color w:val="auto"/>
              </w:rPr>
            </w:pPr>
          </w:p>
        </w:tc>
      </w:tr>
      <w:tr>
        <w:trPr>
          <w:trHeight w:val="453"/>
        </w:trPr>
        <w:tc>
          <w:tcPr>
            <w:tcW w:w="5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5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2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available-for-sale securities</w:t>
            </w:r>
          </w:p>
        </w:tc>
        <w:tc>
          <w:tcPr>
            <w:tcW w:w="15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(44,366 )</w:t>
            </w: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(10,948 )</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Reclassification adjustment for realized gain on sale of</w:t>
            </w: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vMerge w:val="restart"/>
          </w:tcPr>
          <w:p>
            <w:pPr>
              <w:jc w:val="right"/>
              <w:ind w:right="121"/>
              <w:spacing w:after="0"/>
              <w:rPr>
                <w:sz w:val="20"/>
                <w:szCs w:val="20"/>
                <w:color w:val="auto"/>
              </w:rPr>
            </w:pPr>
            <w:r>
              <w:rPr>
                <w:rFonts w:ascii="Times New Roman" w:cs="Times New Roman" w:eastAsia="Times New Roman" w:hAnsi="Times New Roman"/>
                <w:sz w:val="18"/>
                <w:szCs w:val="18"/>
                <w:color w:val="auto"/>
              </w:rPr>
              <w:t>(293 )</w:t>
            </w:r>
          </w:p>
        </w:tc>
        <w:tc>
          <w:tcPr>
            <w:tcW w:w="260" w:type="dxa"/>
            <w:vAlign w:val="bottom"/>
          </w:tcPr>
          <w:p>
            <w:pPr>
              <w:spacing w:after="0"/>
              <w:rPr>
                <w:sz w:val="18"/>
                <w:szCs w:val="18"/>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(270 )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unrealized gain (loss) on available-for-sale securities</w:t>
            </w:r>
          </w:p>
        </w:tc>
        <w:tc>
          <w:tcPr>
            <w:tcW w:w="15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(44,366</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(11,241</w:t>
            </w:r>
          </w:p>
        </w:tc>
        <w:tc>
          <w:tcPr>
            <w:tcW w:w="260" w:type="dxa"/>
            <w:vAlign w:val="bottom"/>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expense (benefit)</w:t>
            </w: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(9,317 )</w:t>
            </w:r>
          </w:p>
        </w:tc>
        <w:tc>
          <w:tcPr>
            <w:tcW w:w="260" w:type="dxa"/>
            <w:vAlign w:val="bottom"/>
          </w:tcPr>
          <w:p>
            <w:pPr>
              <w:spacing w:after="0"/>
              <w:rPr>
                <w:sz w:val="20"/>
                <w:szCs w:val="20"/>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(2,360 )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5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(2,534 )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26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-1268095</wp:posOffset>
            </wp:positionV>
            <wp:extent cx="76835" cy="1631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-1268095</wp:posOffset>
            </wp:positionV>
            <wp:extent cx="68580" cy="1631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1631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-187960</wp:posOffset>
            </wp:positionV>
            <wp:extent cx="76835" cy="18859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-187960</wp:posOffset>
            </wp:positionV>
            <wp:extent cx="68580" cy="1885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Changes to Stockholders’ Equity</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 2022, 2021 and 2020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(000’s</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Omitted, Except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color w:val="auto"/>
              </w:rPr>
              <w:t>Accumulate</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5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9"/>
              </w:rPr>
              <w:t>d</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8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9"/>
              </w:rPr>
              <w:t>Shares of</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w w:val="98"/>
              </w:rPr>
              <w:t>Other</w:t>
            </w:r>
          </w:p>
        </w:tc>
        <w:tc>
          <w:tcPr>
            <w:tcW w:w="120" w:type="dxa"/>
            <w:vAlign w:val="bottom"/>
          </w:tcPr>
          <w:p>
            <w:pPr>
              <w:spacing w:after="0"/>
              <w:rPr>
                <w:sz w:val="19"/>
                <w:szCs w:val="19"/>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Total</w:t>
            </w:r>
          </w:p>
        </w:tc>
      </w:tr>
      <w:tr>
        <w:trPr>
          <w:trHeight w:val="222"/>
        </w:trPr>
        <w:tc>
          <w:tcPr>
            <w:tcW w:w="5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rPr>
              <w:t>Comprehen</w:t>
            </w: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rPr>
              <w:t>Stockholde</w:t>
            </w:r>
          </w:p>
        </w:tc>
      </w:tr>
      <w:tr>
        <w:trPr>
          <w:trHeight w:val="210"/>
        </w:trPr>
        <w:tc>
          <w:tcPr>
            <w:tcW w:w="538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Common</w:t>
            </w:r>
          </w:p>
        </w:tc>
        <w:tc>
          <w:tcPr>
            <w:tcW w:w="10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Common</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94"/>
              </w:rPr>
              <w:t>Treasury</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Retained</w:t>
            </w: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sive</w:t>
            </w:r>
          </w:p>
        </w:tc>
        <w:tc>
          <w:tcPr>
            <w:tcW w:w="120" w:type="dxa"/>
            <w:vAlign w:val="bottom"/>
          </w:tcPr>
          <w:p>
            <w:pPr>
              <w:spacing w:after="0"/>
              <w:rPr>
                <w:sz w:val="18"/>
                <w:szCs w:val="18"/>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6"/>
              </w:rPr>
              <w:t>rs'</w:t>
            </w:r>
          </w:p>
        </w:tc>
      </w:tr>
      <w:tr>
        <w:trPr>
          <w:trHeight w:val="222"/>
        </w:trPr>
        <w:tc>
          <w:tcPr>
            <w:tcW w:w="5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color w:val="auto"/>
                <w:w w:val="99"/>
              </w:rPr>
              <w:t>Income</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38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8"/>
              </w:rPr>
              <w:t>Stock</w:t>
            </w:r>
          </w:p>
        </w:tc>
        <w:tc>
          <w:tcPr>
            <w:tcW w:w="160" w:type="dxa"/>
            <w:vAlign w:val="bottom"/>
          </w:tcPr>
          <w:p>
            <w:pPr>
              <w:spacing w:after="0"/>
              <w:rPr>
                <w:sz w:val="19"/>
                <w:szCs w:val="19"/>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Stock</w:t>
            </w:r>
          </w:p>
        </w:tc>
        <w:tc>
          <w:tcPr>
            <w:tcW w:w="10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color w:val="auto"/>
              </w:rPr>
              <w:t>Stock</w:t>
            </w:r>
          </w:p>
        </w:tc>
        <w:tc>
          <w:tcPr>
            <w:tcW w:w="9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Earnings</w:t>
            </w:r>
          </w:p>
        </w:tc>
        <w:tc>
          <w:tcPr>
            <w:tcW w:w="12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(Loss)</w:t>
            </w:r>
          </w:p>
        </w:tc>
        <w:tc>
          <w:tcPr>
            <w:tcW w:w="120" w:type="dxa"/>
            <w:vAlign w:val="bottom"/>
          </w:tcPr>
          <w:p>
            <w:pPr>
              <w:spacing w:after="0"/>
              <w:rPr>
                <w:sz w:val="19"/>
                <w:szCs w:val="19"/>
                <w:color w:val="auto"/>
              </w:rPr>
            </w:pP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Equity</w:t>
            </w:r>
          </w:p>
        </w:tc>
      </w:tr>
      <w:tr>
        <w:trPr>
          <w:trHeight w:val="202"/>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January 1, 2020</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11,136,93</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81,535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(12,456 )</w:t>
            </w: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160,081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230,258</w:t>
            </w:r>
          </w:p>
        </w:tc>
        <w:tc>
          <w:tcPr>
            <w:tcW w:w="100" w:type="dxa"/>
            <w:vAlign w:val="bottom"/>
            <w:shd w:val="clear" w:color="auto" w:fill="CFF0FC"/>
          </w:tcPr>
          <w:p>
            <w:pPr>
              <w:spacing w:after="0"/>
              <w:rPr>
                <w:sz w:val="19"/>
                <w:szCs w:val="19"/>
                <w:color w:val="auto"/>
              </w:rPr>
            </w:pPr>
          </w:p>
        </w:tc>
      </w:tr>
      <w:tr>
        <w:trPr>
          <w:trHeight w:val="220"/>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20,095</w:t>
            </w:r>
          </w:p>
        </w:tc>
        <w:tc>
          <w:tcPr>
            <w:tcW w:w="100" w:type="dxa"/>
            <w:vAlign w:val="bottom"/>
          </w:tcPr>
          <w:p>
            <w:pPr>
              <w:spacing w:after="0"/>
              <w:rPr>
                <w:sz w:val="19"/>
                <w:szCs w:val="19"/>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100" w:type="dxa"/>
            <w:vAlign w:val="bottom"/>
            <w:shd w:val="clear" w:color="auto" w:fill="CFF0FC"/>
          </w:tcPr>
          <w:p>
            <w:pPr>
              <w:spacing w:after="0"/>
              <w:rPr>
                <w:sz w:val="20"/>
                <w:szCs w:val="20"/>
                <w:color w:val="auto"/>
              </w:rPr>
            </w:pPr>
          </w:p>
        </w:tc>
      </w:tr>
      <w:tr>
        <w:trPr>
          <w:trHeight w:val="220"/>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40,049 shares of common stock in acquisition</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40,049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9"/>
                <w:szCs w:val="19"/>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(16,779 )</w:t>
            </w: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(383 )</w:t>
            </w: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(383 )</w:t>
            </w:r>
          </w:p>
        </w:tc>
      </w:tr>
      <w:tr>
        <w:trPr>
          <w:trHeight w:val="202"/>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37,382 shares of restricted stock</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of forfeitures - 2,175)</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35,207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(755 )</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FF0FC"/>
          </w:tcPr>
          <w:p>
            <w:pPr>
              <w:spacing w:after="0"/>
              <w:rPr>
                <w:sz w:val="20"/>
                <w:szCs w:val="20"/>
                <w:color w:val="auto"/>
              </w:rPr>
            </w:pPr>
          </w:p>
        </w:tc>
      </w:tr>
      <w:tr>
        <w:trPr>
          <w:trHeight w:val="220"/>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 stock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r>
      <w:tr>
        <w:trPr>
          <w:trHeight w:val="233"/>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dividends declared - $0.66 per share</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(7,307 )</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(7,307 )</w:t>
            </w:r>
          </w:p>
        </w:tc>
      </w:tr>
      <w:tr>
        <w:trPr>
          <w:trHeight w:val="202"/>
        </w:trPr>
        <w:tc>
          <w:tcPr>
            <w:tcW w:w="5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2020</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11,197,54</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20"/>
        </w:trPr>
        <w:tc>
          <w:tcPr>
            <w:tcW w:w="5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81,804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(11,932 )</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173,591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249,160</w:t>
            </w:r>
          </w:p>
        </w:tc>
        <w:tc>
          <w:tcPr>
            <w:tcW w:w="100" w:type="dxa"/>
            <w:vAlign w:val="bottom"/>
          </w:tcPr>
          <w:p>
            <w:pPr>
              <w:spacing w:after="0"/>
              <w:rPr>
                <w:sz w:val="19"/>
                <w:szCs w:val="19"/>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23,495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23,495</w:t>
            </w:r>
          </w:p>
        </w:tc>
        <w:tc>
          <w:tcPr>
            <w:tcW w:w="100" w:type="dxa"/>
            <w:vAlign w:val="bottom"/>
            <w:shd w:val="clear" w:color="auto" w:fill="CFF0FC"/>
          </w:tcPr>
          <w:p>
            <w:pPr>
              <w:spacing w:after="0"/>
              <w:rPr>
                <w:sz w:val="20"/>
                <w:szCs w:val="20"/>
                <w:color w:val="auto"/>
              </w:rPr>
            </w:pPr>
          </w:p>
        </w:tc>
      </w:tr>
      <w:tr>
        <w:trPr>
          <w:trHeight w:val="220"/>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(8,881 )</w:t>
            </w: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(8,881 )</w:t>
            </w:r>
          </w:p>
        </w:tc>
      </w:tr>
      <w:tr>
        <w:trPr>
          <w:trHeight w:val="239"/>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1,833,845 shares of common stock in acquisition</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1,833,845</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41,078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41,078</w:t>
            </w:r>
          </w:p>
        </w:tc>
        <w:tc>
          <w:tcPr>
            <w:tcW w:w="100" w:type="dxa"/>
            <w:vAlign w:val="bottom"/>
            <w:shd w:val="clear" w:color="auto" w:fill="CFF0FC"/>
          </w:tcPr>
          <w:p>
            <w:pPr>
              <w:spacing w:after="0"/>
              <w:rPr>
                <w:sz w:val="20"/>
                <w:szCs w:val="20"/>
                <w:color w:val="auto"/>
              </w:rPr>
            </w:pPr>
          </w:p>
        </w:tc>
      </w:tr>
      <w:tr>
        <w:trPr>
          <w:trHeight w:val="220"/>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(14,611 )</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(338 )</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(338 )</w:t>
            </w:r>
          </w:p>
        </w:tc>
      </w:tr>
      <w:tr>
        <w:trPr>
          <w:trHeight w:val="212"/>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Issuance of 48,750 shares of restricted stock</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(Net of forfeitures - 2,575)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46,175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(1,030 )</w:t>
            </w: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r>
      <w:tr>
        <w:trPr>
          <w:trHeight w:val="220"/>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19"/>
                <w:szCs w:val="19"/>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Director stock awards</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FF0FC"/>
          </w:tcPr>
          <w:p>
            <w:pPr>
              <w:spacing w:after="0"/>
              <w:rPr>
                <w:sz w:val="20"/>
                <w:szCs w:val="20"/>
                <w:color w:val="auto"/>
              </w:rPr>
            </w:pPr>
          </w:p>
        </w:tc>
      </w:tr>
      <w:tr>
        <w:trPr>
          <w:trHeight w:val="223"/>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dividends declared - $0.71 per share</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(8,242 )</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(8,242 )</w:t>
            </w:r>
          </w:p>
        </w:tc>
      </w:tr>
      <w:tr>
        <w:trPr>
          <w:trHeight w:val="202"/>
        </w:trPr>
        <w:tc>
          <w:tcPr>
            <w:tcW w:w="5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2021</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13,066,23</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5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122,674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(11,724 )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189,401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(3,184 )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297,167</w:t>
            </w:r>
          </w:p>
        </w:tc>
        <w:tc>
          <w:tcPr>
            <w:tcW w:w="100" w:type="dxa"/>
            <w:vAlign w:val="bottom"/>
            <w:shd w:val="clear" w:color="auto" w:fill="CFF0FC"/>
          </w:tcPr>
          <w:p>
            <w:pPr>
              <w:spacing w:after="0"/>
              <w:rPr>
                <w:sz w:val="19"/>
                <w:szCs w:val="19"/>
                <w:color w:val="auto"/>
              </w:rPr>
            </w:pPr>
          </w:p>
        </w:tc>
      </w:tr>
      <w:tr>
        <w:trPr>
          <w:trHeight w:val="220"/>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32,515</w:t>
            </w:r>
          </w:p>
        </w:tc>
        <w:tc>
          <w:tcPr>
            <w:tcW w:w="100" w:type="dxa"/>
            <w:vAlign w:val="bottom"/>
          </w:tcPr>
          <w:p>
            <w:pPr>
              <w:spacing w:after="0"/>
              <w:rPr>
                <w:sz w:val="19"/>
                <w:szCs w:val="19"/>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(35,049 )</w:t>
            </w: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(35,049 )</w:t>
            </w:r>
          </w:p>
        </w:tc>
      </w:tr>
      <w:tr>
        <w:trPr>
          <w:trHeight w:val="202"/>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500,426 shares and purchase of 125 shares of common stock in</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acquisition</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500,301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(3 )</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13,443</w:t>
            </w:r>
          </w:p>
        </w:tc>
        <w:tc>
          <w:tcPr>
            <w:tcW w:w="100" w:type="dxa"/>
            <w:vAlign w:val="bottom"/>
          </w:tcPr>
          <w:p>
            <w:pPr>
              <w:spacing w:after="0"/>
              <w:rPr>
                <w:sz w:val="19"/>
                <w:szCs w:val="19"/>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(9,488 )</w:t>
            </w: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(308 )</w:t>
            </w: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(308 )</w:t>
            </w:r>
          </w:p>
        </w:tc>
      </w:tr>
      <w:tr>
        <w:trPr>
          <w:trHeight w:val="202"/>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Issuance of 56,496 shares of restricted stock</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53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of forfeitures - 8,000)</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(1,522 )</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FF0FC"/>
          </w:tcPr>
          <w:p>
            <w:pPr>
              <w:spacing w:after="0"/>
              <w:rPr>
                <w:sz w:val="20"/>
                <w:szCs w:val="20"/>
                <w:color w:val="auto"/>
              </w:rPr>
            </w:pPr>
          </w:p>
        </w:tc>
      </w:tr>
      <w:tr>
        <w:trPr>
          <w:trHeight w:val="220"/>
        </w:trPr>
        <w:tc>
          <w:tcPr>
            <w:tcW w:w="53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Director stock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9"/>
                <w:szCs w:val="19"/>
                <w:color w:val="auto"/>
              </w:rPr>
            </w:pPr>
          </w:p>
        </w:tc>
      </w:tr>
      <w:tr>
        <w:trPr>
          <w:trHeight w:val="233"/>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dividends declared - $0.8125 per share</w:t>
            </w: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(10,647 )</w:t>
            </w:r>
          </w:p>
        </w:tc>
        <w:tc>
          <w:tcPr>
            <w:tcW w:w="1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(10,647 )</w:t>
            </w:r>
          </w:p>
        </w:tc>
      </w:tr>
      <w:tr>
        <w:trPr>
          <w:trHeight w:val="202"/>
        </w:trPr>
        <w:tc>
          <w:tcPr>
            <w:tcW w:w="53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 December 31, 2022</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13,608,42</w:t>
            </w: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23"/>
        </w:trPr>
        <w:tc>
          <w:tcPr>
            <w:tcW w:w="5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135,497</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(11,573 )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212,449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(38,233 )</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298,140</w:t>
            </w:r>
          </w:p>
        </w:tc>
        <w:tc>
          <w:tcPr>
            <w:tcW w:w="10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-3590925</wp:posOffset>
            </wp:positionV>
            <wp:extent cx="76835" cy="283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28321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-3590925</wp:posOffset>
            </wp:positionV>
            <wp:extent cx="76835" cy="2832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28321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-3590925</wp:posOffset>
            </wp:positionV>
            <wp:extent cx="68580" cy="2832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-3590925</wp:posOffset>
            </wp:positionV>
            <wp:extent cx="68580" cy="2832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-3590925</wp:posOffset>
            </wp:positionV>
            <wp:extent cx="68580" cy="2832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-3590925</wp:posOffset>
            </wp:positionV>
            <wp:extent cx="68580" cy="2832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28321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-307975</wp:posOffset>
            </wp:positionV>
            <wp:extent cx="76835" cy="3086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-307975</wp:posOffset>
            </wp:positionV>
            <wp:extent cx="76835" cy="3086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30861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-307975</wp:posOffset>
            </wp:positionV>
            <wp:extent cx="68580" cy="3086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-307975</wp:posOffset>
            </wp:positionV>
            <wp:extent cx="68580" cy="3086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-307975</wp:posOffset>
            </wp:positionV>
            <wp:extent cx="68580" cy="3086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3086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3086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30861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25"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(000’s Omitted)</w:t>
            </w:r>
          </w:p>
        </w:tc>
      </w:tr>
      <w:tr>
        <w:trPr>
          <w:trHeight w:val="383"/>
        </w:trPr>
        <w:tc>
          <w:tcPr>
            <w:tcW w:w="6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2022</w:t>
            </w: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5"/>
                <w:szCs w:val="15"/>
                <w:color w:val="auto"/>
              </w:rPr>
              <w:t>2021</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5"/>
                <w:szCs w:val="15"/>
                <w:color w:val="auto"/>
              </w:rPr>
              <w:t>2020</w:t>
            </w:r>
          </w:p>
        </w:tc>
        <w:tc>
          <w:tcPr>
            <w:tcW w:w="100" w:type="dxa"/>
            <w:vAlign w:val="bottom"/>
          </w:tcPr>
          <w:p>
            <w:pPr>
              <w:spacing w:after="0"/>
              <w:rPr>
                <w:sz w:val="24"/>
                <w:szCs w:val="24"/>
                <w:color w:val="auto"/>
              </w:rPr>
            </w:pPr>
          </w:p>
        </w:tc>
      </w:tr>
      <w:tr>
        <w:trPr>
          <w:trHeight w:val="183"/>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Net income</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32,515</w:t>
            </w:r>
          </w:p>
        </w:tc>
        <w:tc>
          <w:tcPr>
            <w:tcW w:w="34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23,495</w:t>
            </w:r>
          </w:p>
        </w:tc>
        <w:tc>
          <w:tcPr>
            <w:tcW w:w="3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20,095</w:t>
            </w:r>
          </w:p>
        </w:tc>
        <w:tc>
          <w:tcPr>
            <w:tcW w:w="100" w:type="dxa"/>
            <w:vAlign w:val="bottom"/>
          </w:tcPr>
          <w:p>
            <w:pPr>
              <w:spacing w:after="0"/>
              <w:rPr>
                <w:sz w:val="16"/>
                <w:szCs w:val="16"/>
                <w:color w:val="auto"/>
              </w:rPr>
            </w:pPr>
          </w:p>
        </w:tc>
      </w:tr>
      <w:tr>
        <w:trPr>
          <w:trHeight w:val="158"/>
        </w:trPr>
        <w:tc>
          <w:tcPr>
            <w:tcW w:w="6760" w:type="dxa"/>
            <w:vAlign w:val="bottom"/>
            <w:gridSpan w:val="2"/>
            <w:shd w:val="clear" w:color="auto" w:fill="CFF0FC"/>
          </w:tcPr>
          <w:p>
            <w:pPr>
              <w:ind w:left="20"/>
              <w:spacing w:after="0" w:line="159" w:lineRule="exact"/>
              <w:rPr>
                <w:sz w:val="20"/>
                <w:szCs w:val="20"/>
                <w:color w:val="auto"/>
              </w:rPr>
            </w:pPr>
            <w:r>
              <w:rPr>
                <w:rFonts w:ascii="Times New Roman" w:cs="Times New Roman" w:eastAsia="Times New Roman" w:hAnsi="Times New Roman"/>
                <w:sz w:val="15"/>
                <w:szCs w:val="15"/>
                <w:color w:val="auto"/>
              </w:rPr>
              <w:t>Adjustments to reconcile net income to net cash</w:t>
            </w:r>
          </w:p>
        </w:tc>
        <w:tc>
          <w:tcPr>
            <w:tcW w:w="2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93"/>
        </w:trPr>
        <w:tc>
          <w:tcPr>
            <w:tcW w:w="67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5"/>
                <w:szCs w:val="15"/>
                <w:color w:val="auto"/>
              </w:rPr>
              <w:t>from operating activities: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Depreciation</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2,739</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2,531</w:t>
            </w:r>
          </w:p>
        </w:tc>
        <w:tc>
          <w:tcPr>
            <w:tcW w:w="100" w:type="dxa"/>
            <w:vAlign w:val="bottom"/>
          </w:tcPr>
          <w:p>
            <w:pPr>
              <w:spacing w:after="0"/>
              <w:rPr>
                <w:sz w:val="16"/>
                <w:szCs w:val="16"/>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Amortization of premiums on available-for-sale securities, net</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2,090</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2,203</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1,289</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Servicing rights amortization and impairment</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1,580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1,031</w:t>
            </w:r>
          </w:p>
        </w:tc>
        <w:tc>
          <w:tcPr>
            <w:tcW w:w="100" w:type="dxa"/>
            <w:vAlign w:val="bottom"/>
          </w:tcPr>
          <w:p>
            <w:pPr>
              <w:spacing w:after="0"/>
              <w:rPr>
                <w:sz w:val="16"/>
                <w:szCs w:val="16"/>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Amortization of core deposit intangible</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1,011</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677</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720</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Amortization of customer list intangible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6"/>
                <w:szCs w:val="16"/>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amortization (accretion) of fair value adjustments</w:t>
            </w:r>
          </w:p>
        </w:tc>
        <w:tc>
          <w:tcPr>
            <w:tcW w:w="2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(4,531 )</w:t>
            </w: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(1,231 )</w:t>
            </w: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455</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Amortization of subordinated note issuance costs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899</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822</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1,024</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Director stock awards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Pr>
          <w:p>
            <w:pPr>
              <w:spacing w:after="0"/>
              <w:rPr>
                <w:sz w:val="16"/>
                <w:szCs w:val="16"/>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(1,805 )</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(1,691 )</w:t>
            </w: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Provision for loan losses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4,600</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3,444</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6,981</w:t>
            </w:r>
          </w:p>
        </w:tc>
        <w:tc>
          <w:tcPr>
            <w:tcW w:w="100" w:type="dxa"/>
            <w:vAlign w:val="bottom"/>
          </w:tcPr>
          <w:p>
            <w:pPr>
              <w:spacing w:after="0"/>
              <w:rPr>
                <w:sz w:val="16"/>
                <w:szCs w:val="16"/>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Gain on sale of loans held for sale</w:t>
            </w:r>
          </w:p>
        </w:tc>
        <w:tc>
          <w:tcPr>
            <w:tcW w:w="2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(1,353 )</w:t>
            </w: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(3,897 )</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(4,022 )</w:t>
            </w: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Originations of loans held for sale</w:t>
            </w:r>
          </w:p>
        </w:tc>
        <w:tc>
          <w:tcPr>
            <w:tcW w:w="280" w:type="dxa"/>
            <w:vAlign w:val="bottom"/>
          </w:tcPr>
          <w:p>
            <w:pPr>
              <w:spacing w:after="0"/>
              <w:rPr>
                <w:sz w:val="16"/>
                <w:szCs w:val="16"/>
                <w:color w:val="auto"/>
              </w:rPr>
            </w:pPr>
          </w:p>
        </w:tc>
        <w:tc>
          <w:tcPr>
            <w:tcW w:w="13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(69,410 )</w:t>
            </w:r>
          </w:p>
        </w:tc>
        <w:tc>
          <w:tcPr>
            <w:tcW w:w="28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(121,172 )</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(210,029 )</w:t>
            </w: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sale of loans held for sale</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77,650</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125,095</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210,559</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(Gain) loss on sale of other assets owned</w:t>
            </w:r>
          </w:p>
        </w:tc>
        <w:tc>
          <w:tcPr>
            <w:tcW w:w="280" w:type="dxa"/>
            <w:vAlign w:val="bottom"/>
          </w:tcPr>
          <w:p>
            <w:pPr>
              <w:spacing w:after="0"/>
              <w:rPr>
                <w:sz w:val="16"/>
                <w:szCs w:val="16"/>
                <w:color w:val="auto"/>
              </w:rPr>
            </w:pPr>
          </w:p>
        </w:tc>
        <w:tc>
          <w:tcPr>
            <w:tcW w:w="13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(259 )</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Pr>
          <w:p>
            <w:pPr>
              <w:spacing w:after="0"/>
              <w:rPr>
                <w:sz w:val="16"/>
                <w:szCs w:val="16"/>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Gain on sales of available-for-sale securities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(293 )</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(270 )</w:t>
            </w: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Increase in cash surrender value of bank owned life insurance</w:t>
            </w:r>
          </w:p>
        </w:tc>
        <w:tc>
          <w:tcPr>
            <w:tcW w:w="280" w:type="dxa"/>
            <w:vAlign w:val="bottom"/>
          </w:tcPr>
          <w:p>
            <w:pPr>
              <w:spacing w:after="0"/>
              <w:rPr>
                <w:sz w:val="16"/>
                <w:szCs w:val="16"/>
                <w:color w:val="auto"/>
              </w:rPr>
            </w:pPr>
          </w:p>
        </w:tc>
        <w:tc>
          <w:tcPr>
            <w:tcW w:w="13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(691 )</w:t>
            </w:r>
          </w:p>
        </w:tc>
        <w:tc>
          <w:tcPr>
            <w:tcW w:w="28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(636 )</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(359 )</w:t>
            </w: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Gain on bank owned life insurance</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(430 )</w:t>
            </w: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Change in other assets and other liabilities, net</w:t>
            </w:r>
          </w:p>
        </w:tc>
        <w:tc>
          <w:tcPr>
            <w:tcW w:w="280" w:type="dxa"/>
            <w:vAlign w:val="bottom"/>
          </w:tcPr>
          <w:p>
            <w:pPr>
              <w:spacing w:after="0"/>
              <w:rPr>
                <w:sz w:val="16"/>
                <w:szCs w:val="16"/>
                <w:color w:val="auto"/>
              </w:rPr>
            </w:pPr>
          </w:p>
        </w:tc>
        <w:tc>
          <w:tcPr>
            <w:tcW w:w="13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(5,265 )</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3,169</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(573 )</w:t>
            </w:r>
          </w:p>
        </w:tc>
      </w:tr>
      <w:tr>
        <w:trPr>
          <w:trHeight w:val="183"/>
        </w:trPr>
        <w:tc>
          <w:tcPr>
            <w:tcW w:w="676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40,669</w:t>
            </w:r>
          </w:p>
        </w:tc>
        <w:tc>
          <w:tcPr>
            <w:tcW w:w="3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34,741</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27,382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Activity in available-for-sale securities: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Maturities, prepayments and calls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31,064</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56,310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91,003</w:t>
            </w:r>
          </w:p>
        </w:tc>
        <w:tc>
          <w:tcPr>
            <w:tcW w:w="100" w:type="dxa"/>
            <w:vAlign w:val="bottom"/>
          </w:tcPr>
          <w:p>
            <w:pPr>
              <w:spacing w:after="0"/>
              <w:rPr>
                <w:sz w:val="16"/>
                <w:szCs w:val="16"/>
                <w:color w:val="auto"/>
              </w:rPr>
            </w:pPr>
          </w:p>
        </w:tc>
      </w:tr>
      <w:tr>
        <w:trPr>
          <w:trHeight w:val="189"/>
        </w:trPr>
        <w:tc>
          <w:tcPr>
            <w:tcW w:w="67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Sales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9,292</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11,843</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Purchases</w:t>
            </w:r>
          </w:p>
        </w:tc>
        <w:tc>
          <w:tcPr>
            <w:tcW w:w="280" w:type="dxa"/>
            <w:vAlign w:val="bottom"/>
          </w:tcPr>
          <w:p>
            <w:pPr>
              <w:spacing w:after="0"/>
              <w:rPr>
                <w:sz w:val="16"/>
                <w:szCs w:val="16"/>
                <w:color w:val="auto"/>
              </w:rPr>
            </w:pPr>
          </w:p>
        </w:tc>
        <w:tc>
          <w:tcPr>
            <w:tcW w:w="13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(38,377 )</w:t>
            </w:r>
          </w:p>
        </w:tc>
        <w:tc>
          <w:tcPr>
            <w:tcW w:w="28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(170,629 )</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(183,563 )</w:t>
            </w: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Activity in other securities, at cost:</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0"/>
              <w:spacing w:after="0"/>
              <w:rPr>
                <w:sz w:val="20"/>
                <w:szCs w:val="20"/>
                <w:color w:val="auto"/>
              </w:rPr>
            </w:pPr>
            <w:r>
              <w:rPr>
                <w:rFonts w:ascii="Times New Roman" w:cs="Times New Roman" w:eastAsia="Times New Roman" w:hAnsi="Times New Roman"/>
                <w:sz w:val="15"/>
                <w:szCs w:val="15"/>
                <w:color w:val="auto"/>
              </w:rPr>
              <w:t>Purchases</w:t>
            </w:r>
          </w:p>
        </w:tc>
        <w:tc>
          <w:tcPr>
            <w:tcW w:w="280" w:type="dxa"/>
            <w:vAlign w:val="bottom"/>
          </w:tcPr>
          <w:p>
            <w:pPr>
              <w:spacing w:after="0"/>
              <w:rPr>
                <w:sz w:val="16"/>
                <w:szCs w:val="16"/>
                <w:color w:val="auto"/>
              </w:rPr>
            </w:pPr>
          </w:p>
        </w:tc>
        <w:tc>
          <w:tcPr>
            <w:tcW w:w="13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(1,615 )</w:t>
            </w:r>
          </w:p>
        </w:tc>
        <w:tc>
          <w:tcPr>
            <w:tcW w:w="28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(670 )</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(129 )</w:t>
            </w: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Purchase of bank owned life insurance</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(10,000 )</w:t>
            </w: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Proceeds from bank owned life insurance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816</w:t>
            </w:r>
          </w:p>
        </w:tc>
        <w:tc>
          <w:tcPr>
            <w:tcW w:w="100" w:type="dxa"/>
            <w:vAlign w:val="bottom"/>
          </w:tcPr>
          <w:p>
            <w:pPr>
              <w:spacing w:after="0"/>
              <w:rPr>
                <w:sz w:val="16"/>
                <w:szCs w:val="16"/>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Change in interest-bearing time deposits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6,471</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20,216</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(344 )</w:t>
            </w: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Proceeds from redemption of FHLB stock</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1,249</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sales of other assets owned</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440</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457</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226</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Additions to premises and equipment</w:t>
            </w:r>
          </w:p>
        </w:tc>
        <w:tc>
          <w:tcPr>
            <w:tcW w:w="280" w:type="dxa"/>
            <w:vAlign w:val="bottom"/>
          </w:tcPr>
          <w:p>
            <w:pPr>
              <w:spacing w:after="0"/>
              <w:rPr>
                <w:sz w:val="16"/>
                <w:szCs w:val="16"/>
                <w:color w:val="auto"/>
              </w:rPr>
            </w:pPr>
          </w:p>
        </w:tc>
        <w:tc>
          <w:tcPr>
            <w:tcW w:w="13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(2,600 )</w:t>
            </w:r>
          </w:p>
        </w:tc>
        <w:tc>
          <w:tcPr>
            <w:tcW w:w="28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(1,965 )</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(3,222 )</w:t>
            </w: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Loan originations and principal collections, net</w:t>
            </w:r>
          </w:p>
        </w:tc>
        <w:tc>
          <w:tcPr>
            <w:tcW w:w="2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(395,610 )</w:t>
            </w: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(167,867 )</w:t>
            </w:r>
          </w:p>
        </w:tc>
        <w:tc>
          <w:tcPr>
            <w:tcW w:w="10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(84,354 )</w:t>
            </w: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Acquisition of Ossian Financial Services, Inc., net of cash received</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228</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Acquisition of Perpetual Federal Savings Bank, net of cash received</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rPr>
              <w:t>(12,588 )</w:t>
            </w: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Acquisition of Peoples Federal Savings and Loan, net of cash received</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9,074</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183"/>
        </w:trPr>
        <w:tc>
          <w:tcPr>
            <w:tcW w:w="676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(389,904</w:t>
            </w:r>
          </w:p>
        </w:tc>
        <w:tc>
          <w:tcPr>
            <w:tcW w:w="340" w:type="dxa"/>
            <w:vAlign w:val="bottom"/>
            <w:tcBorders>
              <w:bottom w:val="single" w:sz="8" w:color="CFF0FC"/>
            </w:tcBorders>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(265,694</w:t>
            </w:r>
          </w:p>
        </w:tc>
        <w:tc>
          <w:tcPr>
            <w:tcW w:w="300" w:type="dxa"/>
            <w:vAlign w:val="bottom"/>
            <w:tcBorders>
              <w:bottom w:val="single" w:sz="8" w:color="CFF0FC"/>
            </w:tcBorders>
            <w:shd w:val="clear" w:color="auto" w:fill="CFF0FC"/>
          </w:tcPr>
          <w:p>
            <w:pPr>
              <w:jc w:val="right"/>
              <w:ind w:right="164"/>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(177,724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183"/>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Net change in deposits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165,861</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170,785</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307,648</w:t>
            </w:r>
          </w:p>
        </w:tc>
        <w:tc>
          <w:tcPr>
            <w:tcW w:w="100" w:type="dxa"/>
            <w:vAlign w:val="bottom"/>
            <w:shd w:val="clear" w:color="auto" w:fill="CFF0FC"/>
          </w:tcPr>
          <w:p>
            <w:pPr>
              <w:spacing w:after="0"/>
              <w:rPr>
                <w:sz w:val="16"/>
                <w:szCs w:val="16"/>
                <w:color w:val="auto"/>
              </w:rPr>
            </w:pPr>
          </w:p>
        </w:tc>
      </w:tr>
      <w:tr>
        <w:trPr>
          <w:trHeight w:val="158"/>
        </w:trPr>
        <w:tc>
          <w:tcPr>
            <w:tcW w:w="676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5"/>
                <w:szCs w:val="15"/>
                <w:color w:val="auto"/>
              </w:rPr>
              <w:t>Net change in federal funds purchased and</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3"/>
        </w:trPr>
        <w:tc>
          <w:tcPr>
            <w:tcW w:w="67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securities sold under agreements to repurchase</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24,938</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(971 )</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(17,834 )</w:t>
            </w: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of FHLB advances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140,000</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Repayment of FHLB advances</w:t>
            </w:r>
          </w:p>
        </w:tc>
        <w:tc>
          <w:tcPr>
            <w:tcW w:w="280" w:type="dxa"/>
            <w:vAlign w:val="bottom"/>
          </w:tcPr>
          <w:p>
            <w:pPr>
              <w:spacing w:after="0"/>
              <w:rPr>
                <w:sz w:val="16"/>
                <w:szCs w:val="16"/>
                <w:color w:val="auto"/>
              </w:rPr>
            </w:pPr>
          </w:p>
        </w:tc>
        <w:tc>
          <w:tcPr>
            <w:tcW w:w="13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(37,394 )</w:t>
            </w:r>
          </w:p>
        </w:tc>
        <w:tc>
          <w:tcPr>
            <w:tcW w:w="28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(157 )</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(7,493 )</w:t>
            </w:r>
          </w:p>
        </w:tc>
      </w:tr>
      <w:tr>
        <w:trPr>
          <w:trHeight w:val="189"/>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(Repayment) of other borrowings</w:t>
            </w:r>
          </w:p>
        </w:tc>
        <w:tc>
          <w:tcPr>
            <w:tcW w:w="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204"/>
              <w:spacing w:after="0"/>
              <w:rPr>
                <w:sz w:val="20"/>
                <w:szCs w:val="20"/>
                <w:color w:val="auto"/>
              </w:rPr>
            </w:pPr>
            <w:r>
              <w:rPr>
                <w:rFonts w:ascii="Times New Roman" w:cs="Times New Roman" w:eastAsia="Times New Roman" w:hAnsi="Times New Roman"/>
                <w:sz w:val="15"/>
                <w:szCs w:val="15"/>
                <w:color w:val="auto"/>
              </w:rPr>
              <w:t>(30,000 )</w:t>
            </w: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40,000</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r>
      <w:tr>
        <w:trPr>
          <w:trHeight w:val="189"/>
        </w:trPr>
        <w:tc>
          <w:tcPr>
            <w:tcW w:w="65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(308 )</w:t>
            </w:r>
          </w:p>
        </w:tc>
        <w:tc>
          <w:tcPr>
            <w:tcW w:w="28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(338 )</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(383 )</w:t>
            </w:r>
          </w:p>
        </w:tc>
      </w:tr>
      <w:tr>
        <w:trPr>
          <w:trHeight w:val="189"/>
        </w:trPr>
        <w:tc>
          <w:tcPr>
            <w:tcW w:w="67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Proceeds from issuance of subordinated notes</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34,421</w:t>
            </w: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FF0FC"/>
          </w:tcPr>
          <w:p>
            <w:pPr>
              <w:spacing w:after="0"/>
              <w:rPr>
                <w:sz w:val="16"/>
                <w:szCs w:val="16"/>
                <w:color w:val="auto"/>
              </w:rPr>
            </w:pPr>
          </w:p>
        </w:tc>
      </w:tr>
      <w:tr>
        <w:trPr>
          <w:trHeight w:val="189"/>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Cash dividends paid on common stock</w:t>
            </w:r>
          </w:p>
        </w:tc>
        <w:tc>
          <w:tcPr>
            <w:tcW w:w="280" w:type="dxa"/>
            <w:vAlign w:val="bottom"/>
          </w:tcPr>
          <w:p>
            <w:pPr>
              <w:spacing w:after="0"/>
              <w:rPr>
                <w:sz w:val="16"/>
                <w:szCs w:val="16"/>
                <w:color w:val="auto"/>
              </w:rPr>
            </w:pPr>
          </w:p>
        </w:tc>
        <w:tc>
          <w:tcPr>
            <w:tcW w:w="13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(10,276 )</w:t>
            </w:r>
          </w:p>
        </w:tc>
        <w:tc>
          <w:tcPr>
            <w:tcW w:w="280" w:type="dxa"/>
            <w:vAlign w:val="bottom"/>
          </w:tcPr>
          <w:p>
            <w:pPr>
              <w:spacing w:after="0"/>
              <w:rPr>
                <w:sz w:val="16"/>
                <w:szCs w:val="16"/>
                <w:color w:val="auto"/>
              </w:rPr>
            </w:pPr>
          </w:p>
        </w:tc>
        <w:tc>
          <w:tcPr>
            <w:tcW w:w="126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(7,670 )</w:t>
            </w:r>
          </w:p>
        </w:tc>
        <w:tc>
          <w:tcPr>
            <w:tcW w:w="100" w:type="dxa"/>
            <w:vAlign w:val="bottom"/>
          </w:tcPr>
          <w:p>
            <w:pPr>
              <w:spacing w:after="0"/>
              <w:rPr>
                <w:sz w:val="16"/>
                <w:szCs w:val="16"/>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(7,186 )</w:t>
            </w:r>
          </w:p>
        </w:tc>
      </w:tr>
      <w:tr>
        <w:trPr>
          <w:trHeight w:val="183"/>
        </w:trPr>
        <w:tc>
          <w:tcPr>
            <w:tcW w:w="676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252,821</w:t>
            </w:r>
          </w:p>
        </w:tc>
        <w:tc>
          <w:tcPr>
            <w:tcW w:w="3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spacing w:after="0"/>
              <w:rPr>
                <w:sz w:val="15"/>
                <w:szCs w:val="15"/>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236,070</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274,752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96"/>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Net Increase (Decrease) in Cash and Cash Equivalents</w:t>
            </w:r>
          </w:p>
        </w:tc>
        <w:tc>
          <w:tcPr>
            <w:tcW w:w="280" w:type="dxa"/>
            <w:vAlign w:val="bottom"/>
          </w:tcPr>
          <w:p>
            <w:pPr>
              <w:spacing w:after="0"/>
              <w:rPr>
                <w:sz w:val="17"/>
                <w:szCs w:val="17"/>
                <w:color w:val="auto"/>
              </w:rPr>
            </w:pPr>
          </w:p>
        </w:tc>
        <w:tc>
          <w:tcPr>
            <w:tcW w:w="1320" w:type="dxa"/>
            <w:vAlign w:val="bottom"/>
            <w:gridSpan w:val="2"/>
          </w:tcPr>
          <w:p>
            <w:pPr>
              <w:jc w:val="right"/>
              <w:ind w:right="204"/>
              <w:spacing w:after="0"/>
              <w:rPr>
                <w:sz w:val="20"/>
                <w:szCs w:val="20"/>
                <w:color w:val="auto"/>
              </w:rPr>
            </w:pPr>
            <w:r>
              <w:rPr>
                <w:rFonts w:ascii="Times New Roman" w:cs="Times New Roman" w:eastAsia="Times New Roman" w:hAnsi="Times New Roman"/>
                <w:sz w:val="15"/>
                <w:szCs w:val="15"/>
                <w:color w:val="auto"/>
              </w:rPr>
              <w:t>(96,414 )</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5,117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124,410</w:t>
            </w:r>
          </w:p>
        </w:tc>
        <w:tc>
          <w:tcPr>
            <w:tcW w:w="100" w:type="dxa"/>
            <w:vAlign w:val="bottom"/>
          </w:tcPr>
          <w:p>
            <w:pPr>
              <w:spacing w:after="0"/>
              <w:rPr>
                <w:sz w:val="17"/>
                <w:szCs w:val="17"/>
                <w:color w:val="auto"/>
              </w:rPr>
            </w:pPr>
          </w:p>
        </w:tc>
      </w:tr>
      <w:tr>
        <w:trPr>
          <w:trHeight w:val="176"/>
        </w:trPr>
        <w:tc>
          <w:tcPr>
            <w:tcW w:w="67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Beginning of Year</w:t>
            </w:r>
          </w:p>
        </w:tc>
        <w:tc>
          <w:tcPr>
            <w:tcW w:w="2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180,823</w:t>
            </w:r>
          </w:p>
        </w:tc>
        <w:tc>
          <w:tcPr>
            <w:tcW w:w="34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175,706</w:t>
            </w:r>
          </w:p>
        </w:tc>
        <w:tc>
          <w:tcPr>
            <w:tcW w:w="3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51,296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371"/>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End of Year</w:t>
            </w: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84,409</w:t>
            </w:r>
          </w:p>
        </w:tc>
        <w:tc>
          <w:tcPr>
            <w:tcW w:w="340" w:type="dxa"/>
            <w:vAlign w:val="bottom"/>
          </w:tcPr>
          <w:p>
            <w:pPr>
              <w:spacing w:after="0"/>
              <w:rPr>
                <w:sz w:val="24"/>
                <w:szCs w:val="24"/>
                <w:color w:val="auto"/>
              </w:rPr>
            </w:pPr>
          </w:p>
        </w:tc>
        <w:tc>
          <w:tcPr>
            <w:tcW w:w="2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180,823</w:t>
            </w:r>
          </w:p>
        </w:tc>
        <w:tc>
          <w:tcPr>
            <w:tcW w:w="3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175,706</w:t>
            </w:r>
          </w:p>
        </w:tc>
        <w:tc>
          <w:tcPr>
            <w:tcW w:w="100" w:type="dxa"/>
            <w:vAlign w:val="bottom"/>
          </w:tcPr>
          <w:p>
            <w:pPr>
              <w:spacing w:after="0"/>
              <w:rPr>
                <w:sz w:val="24"/>
                <w:szCs w:val="24"/>
                <w:color w:val="auto"/>
              </w:rPr>
            </w:pPr>
          </w:p>
        </w:tc>
      </w:tr>
      <w:tr>
        <w:trPr>
          <w:trHeight w:val="20"/>
        </w:trPr>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-4139565</wp:posOffset>
            </wp:positionV>
            <wp:extent cx="7683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-4139565</wp:posOffset>
            </wp:positionV>
            <wp:extent cx="68580"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-1962150</wp:posOffset>
            </wp:positionV>
            <wp:extent cx="7683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-1962150</wp:posOffset>
            </wp:positionV>
            <wp:extent cx="6858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-641985</wp:posOffset>
            </wp:positionV>
            <wp:extent cx="76835" cy="2482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24828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-641985</wp:posOffset>
            </wp:positionV>
            <wp:extent cx="68580" cy="2482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24828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-641985</wp:posOffset>
            </wp:positionV>
            <wp:extent cx="68580" cy="2482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24828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-273685</wp:posOffset>
            </wp:positionV>
            <wp:extent cx="76835" cy="274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-273685</wp:posOffset>
            </wp:positionV>
            <wp:extent cx="68580" cy="274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2743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2743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 2022, 2021 and 2020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(000’s Omitted)</w:t>
            </w:r>
          </w:p>
        </w:tc>
      </w:tr>
      <w:tr>
        <w:trPr>
          <w:trHeight w:val="417"/>
        </w:trPr>
        <w:tc>
          <w:tcPr>
            <w:tcW w:w="67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2022</w:t>
            </w:r>
          </w:p>
        </w:tc>
        <w:tc>
          <w:tcPr>
            <w:tcW w:w="3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2021</w:t>
            </w: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24"/>
                <w:szCs w:val="24"/>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Information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Supplemental cash flow information:</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paid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13,748</w:t>
            </w:r>
          </w:p>
        </w:tc>
        <w:tc>
          <w:tcPr>
            <w:tcW w:w="34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7,048</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10,093</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Income taxes paid</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7,702</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6,150</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6,473</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noncash disclosures: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Transfer of loans to other real estate owned</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dividends declared not paid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w:t>
            </w:r>
          </w:p>
        </w:tc>
        <w:tc>
          <w:tcPr>
            <w:tcW w:w="100" w:type="dxa"/>
            <w:vAlign w:val="bottom"/>
          </w:tcPr>
          <w:p>
            <w:pPr>
              <w:spacing w:after="0"/>
              <w:rPr>
                <w:sz w:val="19"/>
                <w:szCs w:val="19"/>
                <w:color w:val="auto"/>
              </w:rPr>
            </w:pPr>
          </w:p>
        </w:tc>
      </w:tr>
      <w:tr>
        <w:trPr>
          <w:trHeight w:val="212"/>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Company purchased the assets of Adams County Financial Resources by issuing 40,049 shares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of common stock on November 16, 2020.</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common stock issued</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shd w:val="clear" w:color="auto" w:fill="CFF0FC"/>
          </w:tcPr>
          <w:p>
            <w:pPr>
              <w:spacing w:after="0"/>
              <w:rPr>
                <w:sz w:val="20"/>
                <w:szCs w:val="20"/>
                <w:color w:val="auto"/>
              </w:rPr>
            </w:pPr>
          </w:p>
        </w:tc>
      </w:tr>
      <w:tr>
        <w:trPr>
          <w:trHeight w:val="223"/>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the capital stock</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6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8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Company purchased the assets of Ossian Financial Services, Inc. for $20,001 on April 30,</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 In conjunction with the acquisition, liabilities were assumed as follows: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137,058</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common stock issued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3"/>
        </w:trPr>
        <w:tc>
          <w:tcPr>
            <w:tcW w:w="6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Cash paid for the capital stock</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20,001</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117,057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The Company purchased all of the capital stock of Perpetual Federal Savings Bank for $100,312 on</w:t>
            </w: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0"/>
        </w:trPr>
        <w:tc>
          <w:tcPr>
            <w:tcW w:w="6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October 1, 2021. In conjunction with the acquisition, liabilities were assumed as follows:</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420,162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common stock issued</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41,078</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3"/>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the capital stock</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59,234</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6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319,850</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89"/>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Company purchased all of the capital stock of Peoples Federal Savings and Loan for</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$23,249 on October 1, 2022. In conjunction with the acquisition, liabilities were assumed as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6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follows: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Fair value of assets acquired</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141,818</w:t>
            </w: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0"/>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common stock issued</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13,446</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39"/>
        </w:trPr>
        <w:tc>
          <w:tcPr>
            <w:tcW w:w="67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Treasury stock repurchased</w:t>
            </w:r>
          </w:p>
        </w:tc>
        <w:tc>
          <w:tcPr>
            <w:tcW w:w="2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(3 )</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r>
      <w:tr>
        <w:trPr>
          <w:trHeight w:val="223"/>
        </w:trPr>
        <w:tc>
          <w:tcPr>
            <w:tcW w:w="6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paid for the capital stock</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9,806</w:t>
            </w:r>
          </w:p>
        </w:tc>
        <w:tc>
          <w:tcPr>
            <w:tcW w:w="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r>
      <w:tr>
        <w:trPr>
          <w:trHeight w:val="263"/>
        </w:trPr>
        <w:tc>
          <w:tcPr>
            <w:tcW w:w="67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Liabilities assumed</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118,569</w:t>
            </w:r>
          </w:p>
        </w:tc>
        <w:tc>
          <w:tcPr>
            <w:tcW w:w="3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-2973705</wp:posOffset>
            </wp:positionV>
            <wp:extent cx="2048510" cy="3003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048510" cy="3003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-2236470</wp:posOffset>
            </wp:positionV>
            <wp:extent cx="76835"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-2236470</wp:posOffset>
            </wp:positionV>
            <wp:extent cx="68580" cy="1797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1797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-1190625</wp:posOffset>
            </wp:positionV>
            <wp:extent cx="2048510" cy="4286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048510" cy="42862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-24765</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-7620</wp:posOffset>
            </wp:positionV>
            <wp:extent cx="768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Summary of Significant Accounting Policies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Nature of Operations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Farmers &amp; Merchants Bancorp, Inc. (the Company) through its bank subsidiary, The Farmers &amp; Merchants State Bank (the Bank) provides a variety of financial services to individuals and small businesses through its offices in Northwest Ohio and Northeast Indiana.</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Consolidation Policy</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Farmers &amp; Merchants Bancorp, Inc. and its wholly-owned subsidiaries, The Farmers &amp; Merchants State Bank (the Bank), a commercial banking institution and Farmers &amp; Merchants Risk Management, Inc. (the Captive), a Captive insurance company. All significant inter-company balances and transactions have been eliminated.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Material estimates that are particularly susceptible to significant change in the near term relate to the determination of the allowance for loan losses, the valuation of mortgage servicing rights and the valuation of goodwill. Actual results could differ from those estimates.</w:t>
      </w:r>
    </w:p>
    <w:p>
      <w:pPr>
        <w:spacing w:after="0" w:line="18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w:t>
      </w:r>
    </w:p>
    <w:p>
      <w:pPr>
        <w:spacing w:after="0" w:line="17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Bank’s loans are generally secured by specific items of collateral including real property, consumer assets, and business assets. Although the Bank has a diversified loan portfolio, a substantial portion of its debtors’ ability to honor their contracts is dependent on local economic conditions in the agricultural industry.</w:t>
      </w:r>
    </w:p>
    <w:p>
      <w:pPr>
        <w:spacing w:after="0" w:line="176"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While management uses available information to recognize losses on loans, further reductions in the carrying amounts of loans may be necessary based on changes in local economic conditions.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For purposes of the consolidated statement of cash flows, the Company considers all highly liquid debt instruments purchased with an original maturity of three months or less to be cash equivalents. This includes cash on hand, amounts due from banks, and federal funds sold. Generally, federal funds sold are outstanding for one day periods.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Restrictions on Cash and Amounts Due from Banks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Effective March 26, 2020, the Bank is no longer required to maintain average balances on hand with the Federal Reserve Bank. The Company and its subsidiaries maintain cash balances with high quality financial institutions. At times such balances may be in excess of the federally insured limits.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Debt securities are classified as available-for-sale. Securities available-for-sale are carried at fair value with unrealized gains and losses reported in other comprehensive income (loss). Net realized gains and losses on securities available for sale are included in noninterest income and, when applicable, are reported as a reclassification adjustment, net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3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tax, in other comprehensive income (loss). Gains and losses on sales of securities are determined on the specific-identification method.</w:t>
      </w:r>
    </w:p>
    <w:p>
      <w:pPr>
        <w:spacing w:after="0" w:line="225"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Declines in the fair value of securities below their cost that are deemed to be other than temporary are reflected in earnings as realized losses. In estimating other-than-temporary impairment losses, management considers (1) the length of time and the extent to which the fair value has been less than cost, (2) the financial condition and near-term prospects of the issuer, and (3) the intent and ability of the Company to retain its investment in the issuer for a period of time sufficient to allow for any anticipated recovery in fair value. The related write-downs are included in earnings as realized losses.</w:t>
      </w:r>
    </w:p>
    <w:p>
      <w:pPr>
        <w:spacing w:after="0" w:line="1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Other Securities</w:t>
      </w:r>
    </w:p>
    <w:p>
      <w:pPr>
        <w:spacing w:after="0" w:line="121"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Other Securities consist of stock in the Federal Home Loan Banks of Cincinnati and Indianapolis (the “FHLBs”), which is held to enable the Bank to conduct business with the entities. The FHLBs sell and purchase their stock at par. The FHLBs stock is carried at cost and held as collateral security for all indebtedness of the Bank to the Federal Home Loan Bank. The FHLBs stock is evaluated for impairment as conditions warrant. Other Securities also include the Bank’s capital contributions to four Ohio Equity Funds for Housing Limited Partnership.</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Loans</w:t>
      </w:r>
    </w:p>
    <w:p>
      <w:pPr>
        <w:spacing w:after="0" w:line="1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Loans that management has the intent and ability to hold for the foreseeable future or until maturity or pay-off are reported at the amount of unpaid principal, reduced by unearned discounts, unamortized premiums or discounts on purchased loans, and deferred loan fees and costs, as well as, by the allowance for loan losses. Interest income is accrued on a daily basis based on the principal outstanding.</w:t>
      </w:r>
    </w:p>
    <w:p>
      <w:pPr>
        <w:spacing w:after="0" w:line="176"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Generally, a loan is classified as nonaccrual and the accrual of interest income is generally discontinued when a loan becomes ninety days past due as to principal or interest and these loans are placed on a “cash basis” for purposes of income recognition. Management may elect to continue the accrual of interest when the estimated net realizable value of collateral is sufficient to cover the principal and accrued interest, and the loan is in the process of collection. When a loan is placed on nonaccrual status, all previously accrued and unpaid interest receivable is charged against income.</w:t>
      </w:r>
    </w:p>
    <w:p>
      <w:pPr>
        <w:spacing w:after="0" w:line="183" w:lineRule="exact"/>
        <w:rPr>
          <w:sz w:val="20"/>
          <w:szCs w:val="20"/>
          <w:color w:val="auto"/>
        </w:rPr>
      </w:pPr>
    </w:p>
    <w:p>
      <w:pPr>
        <w:jc w:val="both"/>
        <w:ind w:left="740" w:right="20"/>
        <w:spacing w:after="0" w:line="282" w:lineRule="auto"/>
        <w:rPr>
          <w:sz w:val="20"/>
          <w:szCs w:val="20"/>
          <w:color w:val="auto"/>
        </w:rPr>
      </w:pPr>
      <w:r>
        <w:rPr>
          <w:rFonts w:ascii="Times New Roman" w:cs="Times New Roman" w:eastAsia="Times New Roman" w:hAnsi="Times New Roman"/>
          <w:sz w:val="18"/>
          <w:szCs w:val="18"/>
          <w:color w:val="auto"/>
        </w:rPr>
        <w:t>Loan origination and commitment fees and certain direct loan origination costs are deferred and amortized as a net adjustment to the related loan’s yield. The Bank is generally amortizing these costs over the contractual life of such loans.</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Allowance for Loan Losses</w:t>
      </w:r>
    </w:p>
    <w:p>
      <w:pPr>
        <w:spacing w:after="0" w:line="1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allowance for loan losses is established through a provision for loan losses charged to income. Loans deemed to be uncollectable and changes in the allowance relating to loans are charged against the allowance for loan losses, and subsequent recoveries, if any, are credited to the allowance.</w:t>
      </w:r>
    </w:p>
    <w:p>
      <w:pPr>
        <w:spacing w:after="0" w:line="176"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allowance for loan losses is evaluated on a regular basis by management and is based on management’s periodic review of the collectability of the loans in light of historical experiences, the nature and volume of the loan portfolio, adverse situations that may affect the borrower’s ability to repay, estimated value of any underlying collateral, and prevailing economic conditions. This evaluation is inherently subjective, as it requires estimates that are subject to revision as more information becomes available.</w:t>
      </w:r>
    </w:p>
    <w:p>
      <w:pPr>
        <w:spacing w:after="0" w:line="180"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The allowance consists of specific, general and unallocated components. The specific component relates to loans that are classified as doubtful, substandard or special mention. For such loans that are also classified as impaired, an allowance is established when the discounted cash flows (or collateral value) of the impaired loan is lower than the carrying value of that loan. The general component covers non-classified loans and is based on historical loss experience adjusted for qualitative factors. The unallocated component is maintained to cover uncertainties that could affect management’s estimate of probable losses.</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A loan is considered impaired when, based on current information and events, it is probable that the Bank will be unable to collect the scheduled payments of principal or interest when due according to the contractual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length of the delay, the reasons for the delay, the borrower's prior payment record, and the amount of the shortfall in relation to the principal and interest owed. Impairment is measured on a loan by loan basis for commercial and agricultural loans by either the present value of expected future cash flows discounted at the loan's effective interest rate or the fair value of the collateral if the loan is collateral dependent.</w:t>
      </w:r>
    </w:p>
    <w:p>
      <w:pPr>
        <w:spacing w:after="0" w:line="188"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w:t>
      </w:r>
    </w:p>
    <w:p>
      <w:pPr>
        <w:spacing w:after="0" w:line="176"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83"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Large groups of homogeneous loans are collectively evaluated for impairment. Accordingly, the Bank does not separately identify individual consumer loans for impairment, unless such loans are the subject of a restructuring agreement due to financial difficulties of the borrower.</w:t>
      </w:r>
    </w:p>
    <w:p>
      <w:pPr>
        <w:spacing w:after="0" w:line="162"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For more information regarding the actual composition and classification of loans involved in the establishment of the allowance for loan loss, please see Note 4 provided here with the notes to consolidated financial statements.</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12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Loans originated and intended for sale in the secondary market are carried at the lower of cost or estimated fair value in the aggregate. Net unrealized losses, if any, are recognized in a valuation allowance by charges to income.</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color w:val="auto"/>
        </w:rPr>
        <w:t>ervicing Assets</w:t>
      </w:r>
    </w:p>
    <w:p>
      <w:pPr>
        <w:spacing w:after="0" w:line="121"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Servicing assets are recognized as separate assets when rights are acquired through purchase or sale of financial assets. Capitalized servicing rights are amortized into noninterest expense in proportion to, and over the period of, the estimated future net servicing income of the underlying financial assets. Servicing assets are evaluated for impairment based upon the fair value of the rights as compared to amortized cost. Impairment is determined by stratifying rights by predominant characteristics, such as interest rates and terms. Fair value is determined using prices for similar assets with similar characteristics, when available, or based upon discounted cash flows using market-based assumptions. Impairment is recognized through a valuation allowance for an individual stratum, to the extent that fair value is less than the capitalized amount for the stratum. Fees received for servicing loans owned by investors are based on a percentage of the outstanding monthly principal balance of such loans and are included in operating income as loan payments are received. Costs of servicing loans are charged to expense as incurred.</w:t>
      </w:r>
    </w:p>
    <w:p>
      <w:pPr>
        <w:spacing w:after="0" w:line="18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121"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Goodwill results from business acquisitions and represents the excess of the purchase price over the fair value of acquired tangible assets and liabilities and identifiable intangible assets. Goodwill is assessed for impairment at least annually. If possible impairment is likely, the Bank will utilize the assistance of an independent third party for an appraisal and any such impairment is recognized in the period identified. Periodically, the Bank will have an independent third party assess the possibility of impairment of Goodwill. The goodwill impairment analysis consisted</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351"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of a first step goodwill impairment test which was used to identify potential impairment by comparing the fair value of the relevant reporting entity with its carrying value, including goodwill. The analysis was performed under guidance of FASB ASC 350. In the quantitative testing completed as of November 30, 2022, the excess fair value of capital was $427.5 million or 137.2% over the carrying value and was over 4.9 times the value of goodwill being carried. Therefore, the Bank concluded it is unlikely impairment of goodwill has occurred from the goodwill established from the Bank’s acquisition of Knisely on December 31, 2007, the acquisition of Bank of Geneva on January 1, 2019, the acquisition of Ossian State Bank on April 30, 2021, the acquisition of Perpetual Federal Savings Bank on October 1, 2021 and the acquisition of Peoples Federal Savings and Loan on October 1, 2022.</w:t>
      </w:r>
    </w:p>
    <w:p>
      <w:pPr>
        <w:spacing w:after="0" w:line="189"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Other intangible assets consist of core deposit and customer list intangible assets arising from business acquisitions. They are initially measured at fair value and then are amortized on a straight line method over their estimated useful lives and evaluated for impairment. These assets are included in other assets on the consolidated balance sheets.</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Off Balance Sheet Instruments</w:t>
      </w:r>
    </w:p>
    <w:p>
      <w:pPr>
        <w:spacing w:after="0" w:line="12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Bank has entered into commitments to extend credit, including commitments under credit card arrangements, commercial letters of credit and standby letters of credit. Such financial instruments are recorded when they are funded.</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Foreclosed Real Estate</w:t>
      </w:r>
    </w:p>
    <w:p>
      <w:pPr>
        <w:spacing w:after="0" w:line="121" w:lineRule="exact"/>
        <w:rPr>
          <w:sz w:val="20"/>
          <w:szCs w:val="20"/>
          <w:color w:val="auto"/>
        </w:rPr>
      </w:pPr>
    </w:p>
    <w:p>
      <w:pPr>
        <w:jc w:val="both"/>
        <w:ind w:left="740"/>
        <w:spacing w:after="0" w:line="256" w:lineRule="auto"/>
        <w:rPr>
          <w:sz w:val="20"/>
          <w:szCs w:val="20"/>
          <w:color w:val="auto"/>
        </w:rPr>
      </w:pPr>
      <w:r>
        <w:rPr>
          <w:rFonts w:ascii="Times New Roman" w:cs="Times New Roman" w:eastAsia="Times New Roman" w:hAnsi="Times New Roman"/>
          <w:sz w:val="18"/>
          <w:szCs w:val="18"/>
          <w:color w:val="auto"/>
        </w:rPr>
        <w:t>Foreclosed real estate held for sale is carried at the lower of fair value minus estimated costs to sell, or cost. Costs of holding foreclosed real estate are charged to expense in the current period, except for significant property improvements, which are capitalized. Valuations are periodically performed by management and an allowance is established by a charge to noninterest expense if the carrying value exceeds the fair value minus the estimated costs to sell. Foreclosed real estate is classified as other real estate owned. The net loss from operations of foreclosed real estate held for sale is reported in noninterest expense. The Bank held no other real estate owned at December 31, 2022. At December 31, 2021 the Bank’s holding of other real estate owned totaled $159 thousand.</w:t>
      </w:r>
    </w:p>
    <w:p>
      <w:pPr>
        <w:spacing w:after="0" w:line="18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Bank Premises and Equipment</w:t>
      </w:r>
    </w:p>
    <w:p>
      <w:pPr>
        <w:spacing w:after="0" w:line="1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Land is carried at cost. Bank premises and equipment are stated at cost less accumulated depreciation. Depreciation is based on the estimated useful lives of the various properties and is computed using straight line and accelerated methods. Costs for maintenance and repairs are charged to operations as incurred. Gains and losses on dispositions are included in current operations.</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Bank Owned Life Insurance</w:t>
      </w:r>
    </w:p>
    <w:p>
      <w:pPr>
        <w:spacing w:after="0" w:line="12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Bank owned life insurance policies are carried at their cash surrender value. The Bank recognizes tax-free income from the periodic increases in the cash surrender value of these policies and from death benefits.</w:t>
      </w:r>
    </w:p>
    <w:p>
      <w:pPr>
        <w:spacing w:after="0" w:line="26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Accounting Standards Codification 606, “Revenue from Contracts with Customer” (ASC 606) provides that an entity should recognize revenue to depict the transfer of promised goods or services to customers in an amount that reflects the consideration to which the entity expects to be entitled in exchange for those goods or services. Revenue generated from financial instruments, including loans and investment securities, are not included within the scope of ASC 606. The adoption of ASC 606 did not result in a change to the accounting for any of the Company’s revenue streams that</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351" w:lineRule="exact"/>
        <w:rPr>
          <w:sz w:val="20"/>
          <w:szCs w:val="20"/>
          <w:color w:val="auto"/>
        </w:rPr>
      </w:pPr>
    </w:p>
    <w:p>
      <w:pPr>
        <w:jc w:val="both"/>
        <w:ind w:left="740" w:right="20"/>
        <w:spacing w:after="0" w:line="282" w:lineRule="auto"/>
        <w:rPr>
          <w:sz w:val="20"/>
          <w:szCs w:val="20"/>
          <w:color w:val="auto"/>
        </w:rPr>
      </w:pPr>
      <w:r>
        <w:rPr>
          <w:rFonts w:ascii="Times New Roman" w:cs="Times New Roman" w:eastAsia="Times New Roman" w:hAnsi="Times New Roman"/>
          <w:sz w:val="18"/>
          <w:szCs w:val="18"/>
          <w:color w:val="auto"/>
        </w:rPr>
        <w:t>are within scope of the amendments. Revenue-generating activities that are within the scope of ASC 606 that are presented as noninterest income in the Company’s consolidated statements of income include:</w:t>
      </w:r>
    </w:p>
    <w:p>
      <w:pPr>
        <w:spacing w:after="0" w:line="54" w:lineRule="exact"/>
        <w:rPr>
          <w:sz w:val="20"/>
          <w:szCs w:val="20"/>
          <w:color w:val="auto"/>
        </w:rPr>
      </w:pPr>
    </w:p>
    <w:p>
      <w:pPr>
        <w:jc w:val="both"/>
        <w:ind w:left="1480" w:right="20" w:hanging="369"/>
        <w:spacing w:after="0" w:line="266" w:lineRule="auto"/>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service fees – these include miscellaneous service fees and transaction-based fees charged for certain services, such as debit card or credit card. Revenue is recognized when the performance obligation is completed, which is generally after a transaction is completed or monthly for account maintenance services.</w:t>
      </w:r>
    </w:p>
    <w:p>
      <w:pPr>
        <w:spacing w:after="0" w:line="67" w:lineRule="exact"/>
        <w:rPr>
          <w:rFonts w:ascii="Times New Roman" w:cs="Times New Roman" w:eastAsia="Times New Roman" w:hAnsi="Times New Roman"/>
          <w:sz w:val="18"/>
          <w:szCs w:val="18"/>
          <w:color w:val="auto"/>
        </w:rPr>
      </w:pPr>
    </w:p>
    <w:p>
      <w:pPr>
        <w:jc w:val="both"/>
        <w:ind w:left="1480" w:hanging="369"/>
        <w:spacing w:after="0" w:line="261" w:lineRule="auto"/>
        <w:tabs>
          <w:tab w:leader="none" w:pos="1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service charges and fees – these include service fees charged for deposit account maintenance and activity along with transaction-based fees charged for certain services, such as overdraft activities, returned check charges and wire transfers. Revenue is recognized when the performance obligation is completed, which is generally after a transaction is completed or monthly for account maintenance services.</w:t>
      </w:r>
    </w:p>
    <w:p>
      <w:pPr>
        <w:spacing w:after="0" w:line="17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121"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The Company’s income tax expense consists of the following components for federal and state: current and deferred. Current income tax expense reflects taxes to be paid or refunded for the current period by applying the provisions of the enacted tax law to the taxable income or excess of deductions over revenues. The Company determines deferred income taxes using the liability (or balance sheet) method. Under this method, the net deferred tax asset or liability is based on the tax effects of the differences between the book and tax bases of assets and liabilities, and enacted changes in tax rates and laws are recognized in the period in which they occur.</w:t>
      </w:r>
    </w:p>
    <w:p>
      <w:pPr>
        <w:spacing w:after="0" w:line="183"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18"/>
          <w:szCs w:val="18"/>
          <w:color w:val="auto"/>
        </w:rPr>
        <w:t>Deferred income tax expense results from changes in deferred tax assets and liabilities between periods. Deferred tax assets are recognized if it is more likely than not, based on the technical merits, that the tax position will be realized or sustained upon examination. The term more likely than not means a likelihood of more than 50 percent; the terms examined and upon examination also include resolution of the related appeals or litigation processes, if any. A tax position that meets the more-likely-than-not recognition threshold is initially and subsequently measured as the largest amount of tax benefit that has a greater than 50 percent likelihood of being realized upon settlement with a taxing authority that has full knowledge of all relevant information. The determination of whether or not a tax position has met the more-likely-than-not recognition threshold considers the facts, circumstances, and information available at the reporting date and is subject to management’s judgment. Deferred tax assets are reduced by a valuation allowance if, based on the weight of evidence available, it is more likely than not that some portion or all of a deferred tax asset will not be realized.</w:t>
      </w:r>
    </w:p>
    <w:p>
      <w:pPr>
        <w:spacing w:after="0" w:line="188"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Company recognizes interest and penalties, if any, related to unrecognized tax benefits in tax expense. Based on management’s analysis, the Company did not have any uncertain tax positions as of December 31, 2022 and 2021. With a few exceptions, the Company is no longer subject to U.S. Federal, state or local examinations by tax authorities for years before 2019.</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Basic earnings per share represent income available to common stockholders divided by the weighted-average number of common shares outstanding during the period. See Note 12 for additional information.</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fair value of restricted common stock is their fair market value on the date of grant. The fair value of restricted stock is amortized as compensation expense on a straight-line basis over the vesting period of the grants. Compensation expense recognized is included in salaries and wages in the consolidated statements of income.</w:t>
      </w:r>
    </w:p>
    <w:p>
      <w:pPr>
        <w:spacing w:after="0" w:line="17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121"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surrendered. Control over transferred assets is deemed to be surrendered when (1) the assets have been isolated from the Corporation – put presumptively beyond the reach of the transferor and its creditors, even in bankruptcy or other receivership, (2) the transferee obtains the right (free of conditions that constrain it from taking advantage of that right) to pledge or exchange the transferred assets and (3) the Corporation does not maintain effective control over the transferred assets</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3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through an agreement to repurchase them before their maturity or the ability to unilaterally cause the holder to return specific assets.</w:t>
      </w:r>
    </w:p>
    <w:p>
      <w:pPr>
        <w:spacing w:after="0" w:line="2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12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Common stock shares repurchased are recorded at market value on date of purchase. Restricted shares when awarded are removed from treasury stock using the weighted average method.</w:t>
      </w:r>
    </w:p>
    <w:p>
      <w:pPr>
        <w:spacing w:after="0" w:line="15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p>
      <w:pPr>
        <w:spacing w:after="0" w:line="1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Accounting principles generally require that recognized revenue, expenses, gains and losses be included in net income. Certain changes in assets and liabilities, such as unrealized gains and losses on available-for-sale securities, are reported as a separate component of the equity section of the balance sheet. Such items, along with net income, are components of other comprehensive income (loss).</w:t>
      </w:r>
    </w:p>
    <w:p>
      <w:pPr>
        <w:spacing w:after="0" w:line="6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components of other comprehensive income (loss) and related tax effects are as follows:</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2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 (loss) on</w:t>
            </w:r>
          </w:p>
        </w:tc>
        <w:tc>
          <w:tcPr>
            <w:tcW w:w="2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7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(44,366 )</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(10,948 )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Reclassification adjustment for gain on sale of</w:t>
            </w:r>
          </w:p>
        </w:tc>
        <w:tc>
          <w:tcPr>
            <w:tcW w:w="26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8"/>
                <w:szCs w:val="18"/>
                <w:color w:val="auto"/>
              </w:rPr>
              <w:t>(293 )</w:t>
            </w:r>
          </w:p>
        </w:tc>
        <w:tc>
          <w:tcPr>
            <w:tcW w:w="260" w:type="dxa"/>
            <w:vAlign w:val="bottom"/>
          </w:tcPr>
          <w:p>
            <w:pPr>
              <w:spacing w:after="0"/>
              <w:rPr>
                <w:sz w:val="18"/>
                <w:szCs w:val="18"/>
                <w:color w:val="auto"/>
              </w:rPr>
            </w:pP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34"/>
        </w:trPr>
        <w:tc>
          <w:tcPr>
            <w:tcW w:w="2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16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unrealized gain (loss) on</w:t>
            </w:r>
          </w:p>
        </w:tc>
        <w:tc>
          <w:tcPr>
            <w:tcW w:w="27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color w:val="auto"/>
              </w:rPr>
              <w:t>available-for-sale</w:t>
            </w:r>
          </w:p>
        </w:tc>
        <w:tc>
          <w:tcPr>
            <w:tcW w:w="2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securities</w:t>
            </w:r>
          </w:p>
        </w:tc>
        <w:tc>
          <w:tcPr>
            <w:tcW w:w="27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(44,366 )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(11,241 )</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Tax expense (benefit)</w:t>
            </w:r>
          </w:p>
        </w:tc>
        <w:tc>
          <w:tcPr>
            <w:tcW w:w="2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(9,317 )</w:t>
            </w:r>
          </w:p>
        </w:tc>
        <w:tc>
          <w:tcPr>
            <w:tcW w:w="240" w:type="dxa"/>
            <w:vAlign w:val="bottom"/>
          </w:tcPr>
          <w:p>
            <w:pPr>
              <w:spacing w:after="0"/>
              <w:rPr>
                <w:sz w:val="20"/>
                <w:szCs w:val="20"/>
                <w:color w:val="auto"/>
              </w:rPr>
            </w:pPr>
          </w:p>
        </w:tc>
        <w:tc>
          <w:tcPr>
            <w:tcW w:w="11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(2,360 )</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9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(8,881</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4595495</wp:posOffset>
            </wp:positionH>
            <wp:positionV relativeFrom="paragraph">
              <wp:posOffset>-24765</wp:posOffset>
            </wp:positionV>
            <wp:extent cx="5969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-7620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-24765</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5495925</wp:posOffset>
            </wp:positionH>
            <wp:positionV relativeFrom="paragraph">
              <wp:posOffset>-7620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-24765</wp:posOffset>
            </wp:positionV>
            <wp:extent cx="51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-7620</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 – Credit Losses (Topic 326): Measurement of Credit Losses on Financial Instruments.” This ASU requires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84"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The ASU was effective for SEC filers for fiscal years, and interim periods within those fiscal years, beginning after December 15, 2019 (i.e., January 1, 2020, for calendar year entities). FASB subsequently approved a delay in adoption for Smaller Reporting Companies. The Company has completed an analysis to determine that it qualifies as a Smaller Reporting Company. As such, adoption can be postponed until periods beginning after December 15, 2022 (i.e., January 1, 2023, for calendar year entities). Early application will be permitted for all organizations for fiscal years, and interim periods within those fiscal years, beginning after December 15, 2018.</w:t>
      </w:r>
    </w:p>
    <w:p>
      <w:pPr>
        <w:spacing w:after="0" w:line="75"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Current Expected Credit Losses (“CECL”) methodology applies to loans held for investment, held to maturity debt securities, and off balance-sheet credit exposures. The ASU allows for several different methods of computing the ALLL: closed pool, vintage, average charge-off, migration, probability of default / loss given default, discounted cash flow, and regression. Based on its analysis of observable data, the Company concluded the average charge-off</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35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method to be the most appropriate and statistically relevant. A 20-year lookback will be utilized as the historical loss period due to its inclusion of several economic cycles and relevance to real estate secured assets.</w:t>
      </w:r>
    </w:p>
    <w:p>
      <w:pPr>
        <w:spacing w:after="0" w:line="54"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Company began working with its third-party service provider to review parallel reports in June 2019. At the end of first quarter 2022, the Company evaluated and refined its methodology and produced a parallel report for the calculation of the ALLL under the ASU guidance. The Company has contracted with a third party to begin an independent validation of its processes and methodology. This validation will be performed on an annual basis.</w:t>
      </w:r>
    </w:p>
    <w:p>
      <w:pPr>
        <w:spacing w:after="0" w:line="72"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The ALLL has been computed through 2022 by applying historical loss rates, adjusted for qualitative factors, to pools of loans. Upon implementation of the ASU, the expected loss estimate will be made up of a historical lookback of actual losses applied over the life of the loan portfolio and adjusted for qualitative factors and forecasted losses based on economic and forward-looking data applied over a reasonable and supportable forecast period.</w:t>
      </w:r>
    </w:p>
    <w:p>
      <w:pPr>
        <w:spacing w:after="0" w:line="72"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impact of the adoption of the ASU is estimated to be a one-time cumulative-effect adjustment to our reserves for loans and unfunded commitments in a range between $3 million and $7 million. This estimate may change as the Company continues to improve its processes and methodology.</w:t>
      </w:r>
    </w:p>
    <w:p>
      <w:pPr>
        <w:spacing w:after="0" w:line="68"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The qualitative impact of the new accounting standard will still be directed by many of the same factors that impacted the previous methodology for computing the ALLL including, but not limited to, quality and experience of staff, changes in the value of collateral, concentrations of credit in loan types or industries and changes to lending policies. In addition to this, the Company will also use reasonable and supportable forecasts. Examples of this are regression analyses of data from the Federal Open Market Committee quarterly economic projections for change in real GDP and of national unemployment.</w:t>
      </w:r>
    </w:p>
    <w:p>
      <w:pPr>
        <w:spacing w:after="0" w:line="75"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The Company does not anticipate any material changes to its business practices as a result of implementing the ASU. The Company adopted ASU 2016-13 on January 1, 2023.</w:t>
      </w:r>
    </w:p>
    <w:p>
      <w:pPr>
        <w:spacing w:after="0" w:line="162"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In March 2022, the FASB issued ASU 2022-02 "Financial Instruments - Credit Losses (Topic 326): Troubled Debt Restructurings and Vintage Disclosures." This ASU eliminates the accounting guidance on troubled debt restructurings for creditors in ASC 310-40 and requires entities to evaluate all receivable modifications under ASC 310-20 to determine whether a modification made to a borrower results in a new loan or a continuation of the existing loan. The amended guidance adds enhanced disclosures for creditors with respect to loan refinancings and restructurings for borrowers experiencing financial difficulty. The amended guidance also requires disclosure of current period gross charge-offs by year of origination within the vintage disclosures required by ASC 326. The amended guidance is effective for the Company on January 1, 2023, with early adoption permitted. The Company adopted ASU 2022-02 on January 1, 2023.</w:t>
      </w:r>
    </w:p>
    <w:p>
      <w:pPr>
        <w:spacing w:after="0" w:line="19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Note 2 – Business Combination &amp; Asset Purchase</w:t>
      </w:r>
    </w:p>
    <w:p>
      <w:pPr>
        <w:spacing w:after="0" w:line="121"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On October 1, 2022, the Company acquired Peoples-Sidney Financial Corporation (PPSF), the bank holding company for Peoples Federal Savings and Loan Bank, a community bank with three full-service offices in Sidney, Anna and Jackson Center, Ohio in addition to a separate drive-thru location in Sidney, Ohio. PPSF shareholders had the opportunity to elect to receive either 0.6597 shares of FMAO stock or $24.00 per share in cash for each PPSF share owned, subject to a requirement under the Merger Agreement that the minimum number of PPSF shares exchanged for Farmers &amp; Merchants Bancorp, Inc. (FMAO) shares in the merger was no less than 758,566. Fractional shares of FMAO common stock were not issued in respect of fractional interests arising from the merger but were paid in cash pursuant to the merger agreement. PPSF had 1,167,025 shares outstanding on October 1, 2022. The share price of FMAO stock on October 1, 2022 was $26.87. Total consideration for the acquisition was approximately $23.2 million consisting of which $9.8 million was in cash and $13.4 million in stock. As a result of the acquisition, the Company will have an opportunity to increase its deposit base in Sidney and the greater Shelby County and reduce transaction costs. The Company also expects to reduce costs through economies of scale.</w:t>
      </w:r>
    </w:p>
    <w:p>
      <w:pPr>
        <w:spacing w:after="0" w:line="194"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 2022, the Company has incurred additional third-party acquisition-related costs of $2.4 million. These expenses are comprised primarily of data processing costs of $1.1 million, consulting fees of $542.9 thousand, employee benefits of $126.5 thousand and other general and administrative expense of $501.0 thousand in the Company’s consolidated statement of income for the year ended December 31, 2022.</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$23.2 million, $6.0 million has been allocated to core deposit intangible included in other assets and is being amortized over seven years on a straight line basis. Goodwill of $5.9 million, resulting from the acquisition consists largely of the synergies and economies of scale expected from combining the operations of the Company and Peoples Federal Savings and Loan Bank. Of that total amount, none of the purchase price is deductible for tax purposes. The following table summarizes the consideration paid for Peoples Federal Savings and Loan Bank and the amounts of the assets acquired and liabilities assumed recognized at the acquisition date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(500,426 shares)</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stock repurchased (125 shares)</w:t>
            </w:r>
          </w:p>
        </w:tc>
        <w:tc>
          <w:tcPr>
            <w:tcW w:w="260" w:type="dxa"/>
            <w:vAlign w:val="bottom"/>
            <w:shd w:val="clear" w:color="auto" w:fill="CFF0FC"/>
          </w:tcPr>
          <w:p>
            <w:pPr>
              <w:spacing w:after="0"/>
              <w:rPr>
                <w:sz w:val="21"/>
                <w:szCs w:val="21"/>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1"/>
        </w:trPr>
        <w:tc>
          <w:tcPr>
            <w:tcW w:w="922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9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Noninterest bearing</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bearing</w:t>
            </w:r>
          </w:p>
        </w:tc>
        <w:tc>
          <w:tcPr>
            <w:tcW w:w="2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104,719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2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9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118,569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6515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1885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631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of the assets acquired includes loans with a fair value of $101.8 million. The gross principal and contractual interest due under the contracts is $116.1 million of which none is expected to be uncollectible. The loans have a weighted average life of 44.4 months.</w:t>
      </w:r>
    </w:p>
    <w:p>
      <w:pPr>
        <w:spacing w:after="0" w:line="162"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of building and land included in premises and equipment was written up $581 thousand with $597 thousand attributable to the buildings and is being amortized over the remaining life of each building. The combined average remaining life was 12.8 years.</w:t>
      </w:r>
    </w:p>
    <w:p>
      <w:pPr>
        <w:spacing w:after="0" w:line="16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fair value for certificates of deposit incorporates a valuation amount of $662 thousand which is being amortized over 1.1 years. The fair value of Federal Home Loan Bank (FHLB) advances included a valuation amount of $69 thousand which is being amortized over 5.2 years.</w:t>
      </w:r>
    </w:p>
    <w:p>
      <w:pPr>
        <w:spacing w:after="0" w:line="162"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Company acquired no loans in the acquisition that had evidence of deterioration of credit quality since origination and it was probable, at acquisition, that all contractually required payments would be collected.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8"/>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tc>
        <w:tc>
          <w:tcPr>
            <w:tcW w:w="1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86"/>
        </w:trPr>
        <w:tc>
          <w:tcPr>
            <w:tcW w:w="16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168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tc>
      </w:tr>
      <w:tr>
        <w:trPr>
          <w:trHeight w:val="466"/>
        </w:trPr>
        <w:tc>
          <w:tcPr>
            <w:tcW w:w="16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9"/>
        </w:trPr>
        <w:tc>
          <w:tcPr>
            <w:tcW w:w="16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1"/>
        </w:trPr>
        <w:tc>
          <w:tcPr>
            <w:tcW w:w="168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60" w:type="dxa"/>
            <w:vAlign w:val="bottom"/>
          </w:tcPr>
          <w:p>
            <w:pPr>
              <w:spacing w:after="0"/>
              <w:rPr>
                <w:sz w:val="20"/>
                <w:szCs w:val="20"/>
                <w:color w:val="auto"/>
              </w:rPr>
            </w:pPr>
          </w:p>
        </w:tc>
      </w:tr>
      <w:tr>
        <w:trPr>
          <w:trHeight w:val="234"/>
        </w:trPr>
        <w:tc>
          <w:tcPr>
            <w:tcW w:w="1680" w:type="dxa"/>
            <w:vAlign w:val="bottom"/>
          </w:tcPr>
          <w:p>
            <w:pPr>
              <w:spacing w:after="0"/>
              <w:rPr>
                <w:sz w:val="20"/>
                <w:szCs w:val="20"/>
                <w:color w:val="auto"/>
              </w:rPr>
            </w:pPr>
          </w:p>
        </w:tc>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2"/>
        </w:trPr>
        <w:tc>
          <w:tcPr>
            <w:tcW w:w="1680" w:type="dxa"/>
            <w:vAlign w:val="bottom"/>
          </w:tcPr>
          <w:p>
            <w:pPr>
              <w:spacing w:after="0"/>
              <w:rPr>
                <w:sz w:val="21"/>
                <w:szCs w:val="21"/>
                <w:color w:val="auto"/>
              </w:rPr>
            </w:pPr>
          </w:p>
        </w:tc>
        <w:tc>
          <w:tcPr>
            <w:tcW w:w="5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8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660" w:type="dxa"/>
            <w:vAlign w:val="bottom"/>
          </w:tcPr>
          <w:p>
            <w:pPr>
              <w:spacing w:after="0"/>
              <w:rPr>
                <w:sz w:val="21"/>
                <w:szCs w:val="21"/>
                <w:color w:val="auto"/>
              </w:rPr>
            </w:pPr>
          </w:p>
        </w:tc>
      </w:tr>
      <w:tr>
        <w:trPr>
          <w:trHeight w:val="239"/>
        </w:trPr>
        <w:tc>
          <w:tcPr>
            <w:tcW w:w="1680" w:type="dxa"/>
            <w:vAlign w:val="bottom"/>
          </w:tcPr>
          <w:p>
            <w:pPr>
              <w:spacing w:after="0"/>
              <w:rPr>
                <w:sz w:val="20"/>
                <w:szCs w:val="20"/>
                <w:color w:val="auto"/>
              </w:rPr>
            </w:pPr>
          </w:p>
        </w:tc>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3"/>
        </w:trPr>
        <w:tc>
          <w:tcPr>
            <w:tcW w:w="1680" w:type="dxa"/>
            <w:vAlign w:val="bottom"/>
          </w:tcPr>
          <w:p>
            <w:pPr>
              <w:spacing w:after="0"/>
              <w:rPr>
                <w:sz w:val="21"/>
                <w:szCs w:val="21"/>
                <w:color w:val="auto"/>
              </w:rPr>
            </w:pPr>
          </w:p>
        </w:tc>
        <w:tc>
          <w:tcPr>
            <w:tcW w:w="5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8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660" w:type="dxa"/>
            <w:vAlign w:val="bottom"/>
          </w:tcPr>
          <w:p>
            <w:pPr>
              <w:spacing w:after="0"/>
              <w:rPr>
                <w:sz w:val="21"/>
                <w:szCs w:val="21"/>
                <w:color w:val="auto"/>
              </w:rPr>
            </w:pPr>
          </w:p>
        </w:tc>
      </w:tr>
      <w:tr>
        <w:trPr>
          <w:trHeight w:val="241"/>
        </w:trPr>
        <w:tc>
          <w:tcPr>
            <w:tcW w:w="168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0"/>
        </w:trPr>
        <w:tc>
          <w:tcPr>
            <w:tcW w:w="16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6010275</wp:posOffset>
            </wp:positionH>
            <wp:positionV relativeFrom="paragraph">
              <wp:posOffset>-187960</wp:posOffset>
            </wp:positionV>
            <wp:extent cx="43180" cy="1885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394" w:lineRule="exact"/>
        <w:rPr>
          <w:sz w:val="20"/>
          <w:szCs w:val="20"/>
          <w:color w:val="auto"/>
        </w:rPr>
      </w:pPr>
    </w:p>
    <w:p>
      <w:pPr>
        <w:jc w:val="both"/>
        <w:ind w:left="740"/>
        <w:spacing w:after="0" w:line="260" w:lineRule="auto"/>
        <w:rPr>
          <w:sz w:val="20"/>
          <w:szCs w:val="20"/>
          <w:color w:val="auto"/>
        </w:rPr>
      </w:pPr>
      <w:r>
        <w:rPr>
          <w:rFonts w:ascii="Times New Roman" w:cs="Times New Roman" w:eastAsia="Times New Roman" w:hAnsi="Times New Roman"/>
          <w:sz w:val="18"/>
          <w:szCs w:val="18"/>
          <w:color w:val="auto"/>
        </w:rPr>
        <w:t>On October 1, 2021, the Company acquired Perpetual Federal Savings Bank, (PFSB), a community bank with one full-service office in Urbana, Ohio. Shareholders of PFSB elected to receive either 1.7766 shares of FMAO stock or $41.20 per share in cash for each PFSB share owned, subject to adjustment based upon 1,833,999 shares of FMAO to be issued in the merger</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PFSB had 2,470,032 shares outstanding on October 1, 2021. The share price of Farmers &amp; Merchants Bancorp, Inc. (FMAO) stock on October 1, 2021 was $22.40. Total consideration for the acquisition was approximately $100.3 million consisting of $59.2 million in cash and $41.1 million in stock. As a result of the acquisition, the Company increased its deposit base and reduced transaction costs. The Company also reduced costs through economies of scale.</w:t>
      </w:r>
    </w:p>
    <w:p>
      <w:pPr>
        <w:spacing w:after="0" w:line="183"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 2021, the Company incurred additional third-party acquisition-related costs of $1.7 million. These expenses are comprised of employee benefits of $131.5 thousand, data processing costs of $444.9 thousand, consulting fees of $636.8 thousand and other general and administrative expense of $488.3 thousand in the Company’s consolidated statement of income for the year ended December 31, 2021.</w:t>
      </w:r>
    </w:p>
    <w:p>
      <w:pPr>
        <w:spacing w:after="0" w:line="176"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 2022, the Company has incurred additional third-party acquisition-related costs of $148.5 thousand. These expenses are comprised of employee benefits of $90.8 thousand and other general and administrative expense of $57.7 thousand in the Company’s consolidated statement of income for the year ended December 31, 2022.</w:t>
      </w:r>
    </w:p>
    <w:p>
      <w:pPr>
        <w:spacing w:after="0" w:line="176" w:lineRule="exact"/>
        <w:rPr>
          <w:sz w:val="20"/>
          <w:szCs w:val="20"/>
          <w:color w:val="auto"/>
        </w:rPr>
      </w:pPr>
    </w:p>
    <w:p>
      <w:pPr>
        <w:jc w:val="both"/>
        <w:ind w:left="740"/>
        <w:spacing w:after="0" w:line="255"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$100.3 million, $668 thousand has been allocated to core deposit intangible included in other assets and is being amortized over seven years on a straight line basis. Goodwill of $25.2 million, resulting from the acquisition consists largely of the synergies and economies of scale expected from combining the operations of the Company and Perpetual Federal Savings Bank. Of that total amount, none of the purchase price is deductible for tax purposes. The following table summarizes the consideration paid for Perpetual Federal Savings Bank and the amounts of the assets acquired and liabilities assumed recognized at the acquisition date.</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6800" w:type="dxa"/>
            <w:vAlign w:val="bottom"/>
          </w:tcPr>
          <w:p>
            <w:pPr>
              <w:spacing w:after="0"/>
              <w:rPr>
                <w:sz w:val="24"/>
                <w:szCs w:val="24"/>
                <w:color w:val="auto"/>
              </w:rPr>
            </w:pPr>
          </w:p>
        </w:tc>
        <w:tc>
          <w:tcPr>
            <w:tcW w:w="4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6800" w:type="dxa"/>
            <w:vAlign w:val="bottom"/>
          </w:tcPr>
          <w:p>
            <w:pPr>
              <w:spacing w:after="0"/>
              <w:rPr>
                <w:sz w:val="21"/>
                <w:szCs w:val="21"/>
                <w:color w:val="auto"/>
              </w:rPr>
            </w:pPr>
          </w:p>
        </w:tc>
        <w:tc>
          <w:tcPr>
            <w:tcW w:w="4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tc>
      </w:tr>
      <w:tr>
        <w:trPr>
          <w:trHeight w:val="45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43"/>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59,234</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(1,833,845 shares)</w:t>
            </w:r>
          </w:p>
        </w:tc>
        <w:tc>
          <w:tcPr>
            <w:tcW w:w="2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41,078</w:t>
            </w:r>
          </w:p>
        </w:tc>
        <w:tc>
          <w:tcPr>
            <w:tcW w:w="100" w:type="dxa"/>
            <w:vAlign w:val="bottom"/>
          </w:tcPr>
          <w:p>
            <w:pPr>
              <w:spacing w:after="0"/>
              <w:rPr>
                <w:sz w:val="20"/>
                <w:szCs w:val="20"/>
                <w:color w:val="auto"/>
              </w:rPr>
            </w:pPr>
          </w:p>
        </w:tc>
      </w:tr>
      <w:tr>
        <w:trPr>
          <w:trHeight w:val="281"/>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100,312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5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6"/>
        </w:trPr>
        <w:tc>
          <w:tcPr>
            <w:tcW w:w="6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44,975</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funds sold</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334,661</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25,220</w:t>
            </w:r>
          </w:p>
        </w:tc>
        <w:tc>
          <w:tcPr>
            <w:tcW w:w="100" w:type="dxa"/>
            <w:vAlign w:val="bottom"/>
          </w:tcPr>
          <w:p>
            <w:pPr>
              <w:spacing w:after="0"/>
              <w:rPr>
                <w:sz w:val="20"/>
                <w:szCs w:val="20"/>
                <w:color w:val="auto"/>
              </w:rPr>
            </w:pPr>
          </w:p>
        </w:tc>
      </w:tr>
      <w:tr>
        <w:trPr>
          <w:trHeight w:val="243"/>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2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420,162</w:t>
            </w:r>
          </w:p>
        </w:tc>
        <w:tc>
          <w:tcPr>
            <w:tcW w:w="100" w:type="dxa"/>
            <w:vAlign w:val="bottom"/>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8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Noninterest bearing</w:t>
            </w:r>
          </w:p>
        </w:tc>
        <w:tc>
          <w:tcPr>
            <w:tcW w:w="2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20"/>
                <w:szCs w:val="20"/>
                <w:color w:val="auto"/>
              </w:rPr>
            </w:pPr>
          </w:p>
        </w:tc>
      </w:tr>
      <w:tr>
        <w:trPr>
          <w:trHeight w:val="243"/>
        </w:trPr>
        <w:tc>
          <w:tcPr>
            <w:tcW w:w="6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bearing</w:t>
            </w:r>
          </w:p>
        </w:tc>
        <w:tc>
          <w:tcPr>
            <w:tcW w:w="24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309,090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deposits</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311,108</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 Home Loan Bank (FHLB) advances</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shd w:val="clear" w:color="auto" w:fill="CFF0FC"/>
          </w:tcPr>
          <w:p>
            <w:pPr>
              <w:spacing w:after="0"/>
              <w:rPr>
                <w:sz w:val="21"/>
                <w:szCs w:val="2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20"/>
                <w:szCs w:val="20"/>
                <w:color w:val="auto"/>
              </w:rPr>
            </w:pPr>
          </w:p>
        </w:tc>
      </w:tr>
      <w:tr>
        <w:trPr>
          <w:trHeight w:val="281"/>
        </w:trPr>
        <w:tc>
          <w:tcPr>
            <w:tcW w:w="6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4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319,850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-3496945</wp:posOffset>
            </wp:positionV>
            <wp:extent cx="68580" cy="4883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4883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1885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163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of the assets acquired includes loans with a fair value of $334.7 million. The gross principal and contractual interest due under the contracts is $403.3 million, of which $5.6 million is expected to be uncollectible. The loans have a weighted average life of 52 months.</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fair value of building and land included in premises and equipment was written down by $4 thousand with $297 thousand attributable to the buildings and is being amortized over the useful life of 16.2 years.</w:t>
      </w:r>
    </w:p>
    <w:p>
      <w:pPr>
        <w:spacing w:after="0" w:line="162"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fair value for certificates of deposit incorporates a valuation amount of $3.9 million which is being accreted over 1.6 years. The fair value of Federal Home Loan Bank (FHLB) advances included a valuation amount of $218 thousand which is being accreted over 2.6 years.</w:t>
      </w:r>
    </w:p>
    <w:p>
      <w:pPr>
        <w:spacing w:after="0" w:line="162"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6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Loans purchased with evidence of credit deterioration since origination and for which it was probable that all contractually required payments would not be collected were considered to be credit impaired. Evidence of credit quality deterioration as of the purchase date included information such as past-due and nonaccrual status, borrower credit scores and recent loan to value percentages. Purchased credit-impaired loans were accounted for under the accounting guidance for loans and debt securities acquired with deteriorated credit quality (ASC 310-30) and initially measured at fair value, which included estimated future credit losses expected to be incurred over the life of the loan. Accordingly, an allowance for credit losses related to these loans was not carried over and recorded at the acquisition date. Management estimated the cash flows expected to be collected at acquisition using our internal risk models, which incorporated the estimate of current key assumptions, such as default rates, severity and prepayment speeds.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carrying amount of those loans is included in loans, net on the balance sheet at December 31, 2021. The amounts of loans at October 1, 2021, December 31, 2021 and December 31, 2022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0"/>
                <w:szCs w:val="20"/>
                <w:color w:val="auto"/>
              </w:rPr>
            </w:pPr>
          </w:p>
        </w:tc>
      </w:tr>
      <w:tr>
        <w:trPr>
          <w:trHeight w:val="250"/>
        </w:trPr>
        <w:tc>
          <w:tcPr>
            <w:tcW w:w="85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r>
      <w:tr>
        <w:trPr>
          <w:trHeight w:val="24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October 1, 2021</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4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p>
        </w:tc>
      </w:tr>
      <w:tr>
        <w:trPr>
          <w:trHeight w:val="243"/>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42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Carrying amount, net of fair value adjustment of $237</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December 31, 2021</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4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43"/>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42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Carrying amount, net of fair value adjustment of $190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8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4"/>
                <w:szCs w:val="24"/>
                <w:color w:val="auto"/>
              </w:rPr>
            </w:pPr>
          </w:p>
        </w:tc>
      </w:tr>
      <w:tr>
        <w:trPr>
          <w:trHeight w:val="250"/>
        </w:trPr>
        <w:tc>
          <w:tcPr>
            <w:tcW w:w="85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r>
      <w:tr>
        <w:trPr>
          <w:trHeight w:val="24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4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42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Carrying amount, net of fair value adjustment of $128</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3429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6515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760" w:right="520"/>
        <w:spacing w:after="0" w:line="282" w:lineRule="auto"/>
        <w:rPr>
          <w:sz w:val="20"/>
          <w:szCs w:val="20"/>
          <w:color w:val="auto"/>
        </w:rPr>
      </w:pPr>
      <w:r>
        <w:rPr>
          <w:rFonts w:ascii="Times New Roman" w:cs="Times New Roman" w:eastAsia="Times New Roman" w:hAnsi="Times New Roman"/>
          <w:sz w:val="18"/>
          <w:szCs w:val="18"/>
          <w:color w:val="auto"/>
        </w:rPr>
        <w:t>Loans acquired during 2021 for which it was probable at acquisition that all contractually required payments would not be collected are as follows: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7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243"/>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Contractually required payments receivable at acquisition</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20"/>
                <w:szCs w:val="20"/>
                <w:color w:val="auto"/>
              </w:rPr>
            </w:pPr>
          </w:p>
        </w:tc>
      </w:tr>
      <w:tr>
        <w:trPr>
          <w:trHeight w:val="247"/>
        </w:trPr>
        <w:tc>
          <w:tcPr>
            <w:tcW w:w="73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FF0FC"/>
          </w:tcPr>
          <w:p>
            <w:pPr>
              <w:spacing w:after="0"/>
              <w:rPr>
                <w:sz w:val="21"/>
                <w:szCs w:val="21"/>
                <w:color w:val="auto"/>
              </w:rPr>
            </w:pPr>
          </w:p>
        </w:tc>
      </w:tr>
      <w:tr>
        <w:trPr>
          <w:trHeight w:val="239"/>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20"/>
                <w:szCs w:val="20"/>
                <w:color w:val="auto"/>
              </w:rPr>
            </w:pPr>
          </w:p>
        </w:tc>
      </w:tr>
      <w:tr>
        <w:trPr>
          <w:trHeight w:val="243"/>
        </w:trPr>
        <w:tc>
          <w:tcPr>
            <w:tcW w:w="73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73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required payments receivable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Pr>
          <w:p>
            <w:pPr>
              <w:spacing w:after="0"/>
              <w:rPr>
                <w:sz w:val="20"/>
                <w:szCs w:val="20"/>
                <w:color w:val="auto"/>
              </w:rPr>
            </w:pPr>
          </w:p>
        </w:tc>
      </w:tr>
      <w:tr>
        <w:trPr>
          <w:trHeight w:val="20"/>
        </w:trPr>
        <w:tc>
          <w:tcPr>
            <w:tcW w:w="7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73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Cash flows expected to be collected at acquisition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tcPr>
          <w:p>
            <w:pPr>
              <w:spacing w:after="0"/>
              <w:rPr>
                <w:sz w:val="20"/>
                <w:szCs w:val="20"/>
                <w:color w:val="auto"/>
              </w:rPr>
            </w:pPr>
          </w:p>
        </w:tc>
      </w:tr>
      <w:tr>
        <w:trPr>
          <w:trHeight w:val="247"/>
        </w:trPr>
        <w:tc>
          <w:tcPr>
            <w:tcW w:w="7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Basis in acquired loans at acquisition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6374130</wp:posOffset>
            </wp:positionH>
            <wp:positionV relativeFrom="paragraph">
              <wp:posOffset>-799465</wp:posOffset>
            </wp:positionV>
            <wp:extent cx="51435" cy="188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20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During 2022, five consumer real estate purchased credit impaired loans were paid off in full. The associated discount originally recognized at acquisition of $62.1 thousand was included in the loan interest income in the Company’s consolidated statement of income for the year ended December 31, 2022.</w:t>
      </w:r>
    </w:p>
    <w:p>
      <w:pPr>
        <w:spacing w:after="0" w:line="12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During the fourth quarter 2021, two commercial real estate and one consumer purchased credit impaired loans were paid off in full. The associated discount originally recognized at acquisition of $47.4 thousand was included in the loan interest income in the Company’s consolidated statement of income for the year ended December 31, 2021. The balance of the fair value adjustment for loans acquired and accounted for under this guidance (ASC 310-30) was $127.7 thousand at December 31, 2022, $189.8 thousand at December 31, 2021 and $237.2 thousand at October 1, 2021.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52" w:lineRule="exact"/>
        <w:rPr>
          <w:sz w:val="20"/>
          <w:szCs w:val="20"/>
          <w:color w:val="auto"/>
        </w:rPr>
      </w:pPr>
    </w:p>
    <w:tbl>
      <w:tblPr>
        <w:tblLayout w:type="fixed"/>
        <w:tblInd w:w="140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39"/>
        </w:trPr>
        <w:tc>
          <w:tcPr>
            <w:tcW w:w="4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241"/>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r>
      <w:tr>
        <w:trPr>
          <w:trHeight w:val="23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w:t>
            </w:r>
          </w:p>
        </w:tc>
        <w:tc>
          <w:tcPr>
            <w:tcW w:w="80" w:type="dxa"/>
            <w:vAlign w:val="bottom"/>
          </w:tcPr>
          <w:p>
            <w:pPr>
              <w:spacing w:after="0"/>
              <w:rPr>
                <w:sz w:val="20"/>
                <w:szCs w:val="20"/>
                <w:color w:val="auto"/>
              </w:rPr>
            </w:pPr>
          </w:p>
        </w:tc>
      </w:tr>
      <w:tr>
        <w:trPr>
          <w:trHeight w:val="247"/>
        </w:trPr>
        <w:tc>
          <w:tcPr>
            <w:tcW w:w="4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(1,318 )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(330 )</w:t>
            </w:r>
          </w:p>
        </w:tc>
      </w:tr>
      <w:tr>
        <w:trPr>
          <w:trHeight w:val="23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3"/>
        </w:trPr>
        <w:tc>
          <w:tcPr>
            <w:tcW w:w="4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41"/>
        </w:trPr>
        <w:tc>
          <w:tcPr>
            <w:tcW w:w="49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80" w:type="dxa"/>
            <w:vAlign w:val="bottom"/>
            <w:tcBorders>
              <w:top w:val="single" w:sz="8" w:color="CFF0FC"/>
            </w:tcBorders>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5041265</wp:posOffset>
            </wp:positionH>
            <wp:positionV relativeFrom="paragraph">
              <wp:posOffset>-187960</wp:posOffset>
            </wp:positionV>
            <wp:extent cx="51435" cy="188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6181725</wp:posOffset>
            </wp:positionH>
            <wp:positionV relativeFrom="paragraph">
              <wp:posOffset>-187960</wp:posOffset>
            </wp:positionV>
            <wp:extent cx="51435"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8"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On April 30, 2021, the Company acquired Ossian Financial Services, Inc., (OSFI), the bank holding company for Ossian State Bank, a community bank based in Ossian, Indiana. Ossian State Bank operated two full-service offices in the northeast Indiana communities of Ossian and Bluffton. Shareholders of OSFI received $67.71 in cash for each share. OSFI had 295,388 shares outstanding on April 30, 2021. Total consideration for the acquisition was approximately $20.0 million in cash. As a result of the acquisition, the Company will have an opportunity to increase its deposit base and reduce transaction costs. The Company also expects to reduce costs through economies of scale.</w:t>
      </w:r>
    </w:p>
    <w:p>
      <w:pPr>
        <w:spacing w:after="0" w:line="183"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 2020, the Company incurred $42.5 thousand of third-party acquisition-related costs. The expenses recognized in 2020 related to other general and administration expenses of $30.0 thousand and consulting fees of $12.5 thousand. These acquisition expenses were included in the Company’s 2020 consolidated statement of income.</w:t>
      </w:r>
    </w:p>
    <w:p>
      <w:pPr>
        <w:spacing w:after="0" w:line="176" w:lineRule="exact"/>
        <w:rPr>
          <w:sz w:val="20"/>
          <w:szCs w:val="20"/>
          <w:color w:val="auto"/>
        </w:rPr>
      </w:pPr>
    </w:p>
    <w:p>
      <w:pPr>
        <w:jc w:val="both"/>
        <w:ind w:left="740" w:right="20"/>
        <w:spacing w:after="0" w:line="261" w:lineRule="auto"/>
        <w:rPr>
          <w:sz w:val="20"/>
          <w:szCs w:val="20"/>
          <w:color w:val="auto"/>
        </w:rPr>
      </w:pPr>
      <w:r>
        <w:rPr>
          <w:rFonts w:ascii="Times New Roman" w:cs="Times New Roman" w:eastAsia="Times New Roman" w:hAnsi="Times New Roman"/>
          <w:sz w:val="18"/>
          <w:szCs w:val="18"/>
          <w:color w:val="auto"/>
        </w:rPr>
        <w:t>In 2021, the Company incurred additional third-party acquisition-related costs of $2.2 million. These expenses are comprised of employee benefits of $694.1 thousand, data processing costs of $938.9 thousand, consulting fees of $255.2 thousand, ATM expense of $13.8 thousand and other general and administrative expense of $255.0 thousand in the Company’s consolidated statement of income for the year ended December 31, 2021.</w:t>
      </w:r>
    </w:p>
    <w:p>
      <w:pPr>
        <w:spacing w:after="0" w:line="180"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In 2022, the Company has incurred additional third-party acquisition-related costs of $31.6 thousand. These expenses are included in other general and administrative expense in the Company’s consolidated statement of income for the year ended December 31, 2022.</w:t>
      </w:r>
    </w:p>
    <w:p>
      <w:pPr>
        <w:spacing w:after="0" w:line="162" w:lineRule="exact"/>
        <w:rPr>
          <w:sz w:val="20"/>
          <w:szCs w:val="20"/>
          <w:color w:val="auto"/>
        </w:rPr>
      </w:pPr>
    </w:p>
    <w:p>
      <w:pPr>
        <w:jc w:val="both"/>
        <w:ind w:left="740"/>
        <w:spacing w:after="0" w:line="256" w:lineRule="auto"/>
        <w:rPr>
          <w:sz w:val="20"/>
          <w:szCs w:val="20"/>
          <w:color w:val="auto"/>
        </w:rPr>
      </w:pPr>
      <w:r>
        <w:rPr>
          <w:rFonts w:ascii="Times New Roman" w:cs="Times New Roman" w:eastAsia="Times New Roman" w:hAnsi="Times New Roman"/>
          <w:sz w:val="18"/>
          <w:szCs w:val="18"/>
          <w:color w:val="auto"/>
        </w:rPr>
        <w:t>Under the acquisition method of accounting, the total purchase was allocated to net tangible and intangible assets based on their current estimated fair values on the date of acquisition. Of the total purchase price of $20.0 million, $980.2 thousand has been allocated to core deposit intangible included in other assets and is being amortized over seven years on a straight line basis. Goodwill of $7.9 million which resulted from the acquisition consists largely of the synergies and economies of scale expected from combining the operations of the Company and Ossian State Bank and is deductible for tax purposes over 15 years. The following table summarizes the consideration paid for Ossian State Bank and the amounts of the assets acquired and liabilities assumed recognized at the acquisition date.</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4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43"/>
        </w:trPr>
        <w:tc>
          <w:tcPr>
            <w:tcW w:w="6800" w:type="dxa"/>
            <w:vAlign w:val="bottom"/>
          </w:tcPr>
          <w:p>
            <w:pPr>
              <w:spacing w:after="0"/>
              <w:rPr>
                <w:sz w:val="21"/>
                <w:szCs w:val="21"/>
                <w:color w:val="auto"/>
              </w:rPr>
            </w:pPr>
          </w:p>
        </w:tc>
        <w:tc>
          <w:tcPr>
            <w:tcW w:w="4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tc>
        <w:tc>
          <w:tcPr>
            <w:tcW w:w="0" w:type="dxa"/>
            <w:vAlign w:val="bottom"/>
          </w:tcPr>
          <w:p>
            <w:pPr>
              <w:spacing w:after="0"/>
              <w:rPr>
                <w:sz w:val="1"/>
                <w:szCs w:val="1"/>
                <w:color w:val="auto"/>
              </w:rPr>
            </w:pPr>
          </w:p>
        </w:tc>
      </w:tr>
      <w:tr>
        <w:trPr>
          <w:trHeight w:val="675"/>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39"/>
        </w:trPr>
        <w:tc>
          <w:tcPr>
            <w:tcW w:w="6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2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0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Securities - available-for-sale</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securities, at cost</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net</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24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2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shd w:val="clear" w:color="auto" w:fill="CFF0FC"/>
          </w:tcPr>
          <w:p>
            <w:pPr>
              <w:spacing w:after="0"/>
              <w:rPr>
                <w:sz w:val="19"/>
                <w:szCs w:val="19"/>
                <w:color w:val="auto"/>
              </w:rPr>
            </w:pPr>
          </w:p>
        </w:tc>
        <w:tc>
          <w:tcPr>
            <w:tcW w:w="2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Noninterest bearing</w:t>
            </w:r>
          </w:p>
        </w:tc>
        <w:tc>
          <w:tcPr>
            <w:tcW w:w="2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bearing</w:t>
            </w:r>
          </w:p>
        </w:tc>
        <w:tc>
          <w:tcPr>
            <w:tcW w:w="24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81,535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deposits</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4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-3505200</wp:posOffset>
            </wp:positionV>
            <wp:extent cx="68580" cy="6515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1885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1625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fair value of the assets acquired includes loans with a fair value of $52.4 million. The gross principal and contractual interest due under the contracts is $63.7 million, of which $1.1 million is expected to be uncollectible. The loans have a weighted average life of 52 months.</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fair value of building and land included in premises and equipment was written down by $596 thousand with $244 thousand attributable to the buildings and is being accreted over the useful life of 39 years.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fair value for certificates of deposit incorporates a valuation amount of $59 thousand which is being accreted over 1.4 years.</w:t>
      </w:r>
    </w:p>
    <w:p>
      <w:pPr>
        <w:spacing w:after="0" w:line="22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Company acquired loans in the acquisition that had evidence of deterioration of credit quality since origination and it was probable, at acquisition, that all contractually required payments would not be collected.</w:t>
      </w:r>
    </w:p>
    <w:p>
      <w:pPr>
        <w:spacing w:after="0" w:line="162"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Loans purchased with evidence of credit deterioration since origination and for which it was probable that all contractually required payments would not be collected were considered to be credit impaired. Evidence of credit quality deterioration as of the purchase date included information such as past-due and nonaccrual status, borrower credit scores and recent loan to value percentages. Purchased credit-impaired loans were accounted for under the accounting guidance for loans and debt securities acquired with deteriorated credit quality (ASC 310-30) and initially measured at fair value, which included estimated future credit losses expected to be incurred over the life of the loan. Accordingly, an allowance for credit losses related to these loans was not carried over and recorded at the acquisition date. Management estimated the cash flows expected to be collected at acquisition using our internal risk models, which incorporated the estimate of current key assumptions, such as default rates, severity and prepayment speeds.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5" w:name="page66"/>
    <w:bookmarkEnd w:id="65"/>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carrying amount of those loans is included in loans, net on the balance sheet at December 31, 2021. The amounts of loans at April 30, 2021,</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December 31, 2021 and December 31, 2022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Pr>
          <w:p>
            <w:pPr>
              <w:spacing w:after="0"/>
              <w:rPr>
                <w:sz w:val="20"/>
                <w:szCs w:val="20"/>
                <w:color w:val="auto"/>
              </w:rPr>
            </w:pPr>
          </w:p>
        </w:tc>
      </w:tr>
      <w:tr>
        <w:trPr>
          <w:trHeight w:val="250"/>
        </w:trPr>
        <w:tc>
          <w:tcPr>
            <w:tcW w:w="85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r>
      <w:tr>
        <w:trPr>
          <w:trHeight w:val="24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April 30, 2021</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4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0"/>
                <w:szCs w:val="20"/>
                <w:color w:val="auto"/>
              </w:rPr>
            </w:pPr>
          </w:p>
        </w:tc>
      </w:tr>
      <w:tr>
        <w:trPr>
          <w:trHeight w:val="243"/>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2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Carrying amount, net of fair value adjustment of $325</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December 31, 2021</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4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r>
      <w:tr>
        <w:trPr>
          <w:trHeight w:val="243"/>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2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Carrying amount, net of fair value adjustment of $321</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6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Pr>
          <w:p>
            <w:pPr>
              <w:spacing w:after="0"/>
              <w:rPr>
                <w:sz w:val="24"/>
                <w:szCs w:val="24"/>
                <w:color w:val="auto"/>
              </w:rPr>
            </w:pPr>
          </w:p>
        </w:tc>
      </w:tr>
      <w:tr>
        <w:trPr>
          <w:trHeight w:val="250"/>
        </w:trPr>
        <w:tc>
          <w:tcPr>
            <w:tcW w:w="85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r>
      <w:tr>
        <w:trPr>
          <w:trHeight w:val="24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420" w:type="dxa"/>
            <w:vAlign w:val="bottom"/>
            <w:shd w:val="clear" w:color="auto" w:fill="CFF0FC"/>
          </w:tcPr>
          <w:p>
            <w:pPr>
              <w:spacing w:after="0"/>
              <w:rPr>
                <w:sz w:val="21"/>
                <w:szCs w:val="21"/>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4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420" w:type="dxa"/>
            <w:vAlign w:val="bottom"/>
            <w:tcBorders>
              <w:bottom w:val="single" w:sz="8" w:color="auto"/>
            </w:tcBorders>
            <w:shd w:val="clear" w:color="auto" w:fill="CFF0FC"/>
          </w:tcPr>
          <w:p>
            <w:pPr>
              <w:spacing w:after="0"/>
              <w:rPr>
                <w:sz w:val="21"/>
                <w:szCs w:val="21"/>
                <w:color w:val="auto"/>
              </w:rPr>
            </w:pPr>
          </w:p>
        </w:tc>
        <w:tc>
          <w:tcPr>
            <w:tcW w:w="2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Carrying amount, net of fair value adjustment of $10</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-2733675</wp:posOffset>
            </wp:positionV>
            <wp:extent cx="68580" cy="3429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660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6604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78" w:lineRule="exact"/>
        <w:rPr>
          <w:sz w:val="20"/>
          <w:szCs w:val="20"/>
          <w:color w:val="auto"/>
        </w:rPr>
      </w:pPr>
    </w:p>
    <w:p>
      <w:pPr>
        <w:ind w:left="760" w:right="520"/>
        <w:spacing w:after="0" w:line="282" w:lineRule="auto"/>
        <w:rPr>
          <w:sz w:val="20"/>
          <w:szCs w:val="20"/>
          <w:color w:val="auto"/>
        </w:rPr>
      </w:pPr>
      <w:r>
        <w:rPr>
          <w:rFonts w:ascii="Times New Roman" w:cs="Times New Roman" w:eastAsia="Times New Roman" w:hAnsi="Times New Roman"/>
          <w:sz w:val="18"/>
          <w:szCs w:val="18"/>
          <w:color w:val="auto"/>
        </w:rPr>
        <w:t>Loans acquired during 2021 for which it was probable at acquisition that all contractually required payments would not be collected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r>
      <w:tr>
        <w:trPr>
          <w:trHeight w:val="243"/>
        </w:trPr>
        <w:tc>
          <w:tcPr>
            <w:tcW w:w="9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Contractually required payments receivable at acquisition</w:t>
            </w: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FF0FC"/>
          </w:tcPr>
          <w:p>
            <w:pPr>
              <w:spacing w:after="0"/>
              <w:rPr>
                <w:sz w:val="21"/>
                <w:szCs w:val="21"/>
                <w:color w:val="auto"/>
              </w:rPr>
            </w:pPr>
          </w:p>
        </w:tc>
      </w:tr>
      <w:tr>
        <w:trPr>
          <w:trHeight w:val="239"/>
        </w:trPr>
        <w:tc>
          <w:tcPr>
            <w:tcW w:w="9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0"/>
                <w:szCs w:val="20"/>
                <w:color w:val="auto"/>
              </w:rPr>
            </w:pPr>
          </w:p>
        </w:tc>
      </w:tr>
      <w:tr>
        <w:trPr>
          <w:trHeight w:val="243"/>
        </w:trPr>
        <w:tc>
          <w:tcPr>
            <w:tcW w:w="9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9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required payments receivable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20"/>
                <w:szCs w:val="20"/>
                <w:color w:val="auto"/>
              </w:rPr>
            </w:pPr>
          </w:p>
        </w:tc>
      </w:tr>
      <w:tr>
        <w:trPr>
          <w:trHeight w:val="20"/>
        </w:trPr>
        <w:tc>
          <w:tcPr>
            <w:tcW w:w="9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9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expected to be collected at acquisition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Pr>
          <w:p>
            <w:pPr>
              <w:spacing w:after="0"/>
              <w:rPr>
                <w:sz w:val="20"/>
                <w:szCs w:val="20"/>
                <w:color w:val="auto"/>
              </w:rPr>
            </w:pPr>
          </w:p>
        </w:tc>
      </w:tr>
      <w:tr>
        <w:trPr>
          <w:trHeight w:val="247"/>
        </w:trPr>
        <w:tc>
          <w:tcPr>
            <w:tcW w:w="9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Basis in acquired loans at acquisition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-799465</wp:posOffset>
            </wp:positionV>
            <wp:extent cx="68580"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During the third quarter 2022, the associated discount of $311 thousand for six purchased credit impaired loans between two relationships was included in the loan interest income in the Company's consolidated statement of income for the year ended December 31, 2022.</w:t>
      </w:r>
    </w:p>
    <w:p>
      <w:pPr>
        <w:spacing w:after="0" w:line="162"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8"/>
          <w:szCs w:val="18"/>
          <w:color w:val="auto"/>
        </w:rPr>
        <w:t>During the third quarter 2021, two agricultural real estate purchased credit impaired loans were paid off in full. The associated discount originally recognized at acquisition of $4.2 thousand was included in the loan interest income in the Company’s consolidated statement of income for the year ended December 31, 2021. The balance of the fair value adjustment for loans acquired and accounted for under this guidance (ASC 310-30) was $10.1 thousand at December 31, 2022, $320.6 thousand at December 31, 2021 and $324.8 thousand at April 30, 2021.</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6" w:name="page67"/>
    <w:bookmarkEnd w:id="66"/>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are as follows:</w:t>
      </w:r>
    </w:p>
    <w:p>
      <w:pPr>
        <w:spacing w:after="0" w:line="252"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39"/>
        </w:trPr>
        <w:tc>
          <w:tcPr>
            <w:tcW w:w="4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241"/>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r>
      <w:tr>
        <w:trPr>
          <w:trHeight w:val="23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20"/>
                <w:szCs w:val="20"/>
                <w:color w:val="auto"/>
              </w:rPr>
            </w:pPr>
          </w:p>
        </w:tc>
      </w:tr>
      <w:tr>
        <w:trPr>
          <w:trHeight w:val="247"/>
        </w:trPr>
        <w:tc>
          <w:tcPr>
            <w:tcW w:w="49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(176 )</w:t>
            </w:r>
          </w:p>
        </w:tc>
        <w:tc>
          <w:tcPr>
            <w:tcW w:w="1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(117 )</w:t>
            </w:r>
          </w:p>
        </w:tc>
      </w:tr>
      <w:tr>
        <w:trPr>
          <w:trHeight w:val="239"/>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3"/>
        </w:trPr>
        <w:tc>
          <w:tcPr>
            <w:tcW w:w="49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41"/>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20"/>
                <w:szCs w:val="20"/>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-187960</wp:posOffset>
            </wp:positionV>
            <wp:extent cx="51435"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51435" cy="18859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Changes in accretable yield, or income expected to be collected, for the acquisition of Bank of Geneva completed in 2019, are as follows:</w:t>
      </w:r>
    </w:p>
    <w:p>
      <w:pPr>
        <w:spacing w:after="0" w:line="239"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5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39"/>
        </w:trPr>
        <w:tc>
          <w:tcPr>
            <w:tcW w:w="5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241"/>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80" w:type="dxa"/>
            <w:vAlign w:val="bottom"/>
            <w:shd w:val="clear" w:color="auto" w:fill="CFF0FC"/>
          </w:tcPr>
          <w:p>
            <w:pPr>
              <w:spacing w:after="0"/>
              <w:rPr>
                <w:sz w:val="20"/>
                <w:szCs w:val="20"/>
                <w:color w:val="auto"/>
              </w:rPr>
            </w:pPr>
          </w:p>
        </w:tc>
      </w:tr>
      <w:tr>
        <w:trPr>
          <w:trHeight w:val="23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0"/>
                <w:szCs w:val="20"/>
                <w:color w:val="auto"/>
              </w:rPr>
            </w:pPr>
          </w:p>
        </w:tc>
      </w:tr>
      <w:tr>
        <w:trPr>
          <w:trHeight w:val="247"/>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(426 )</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(431 )</w:t>
            </w:r>
          </w:p>
        </w:tc>
      </w:tr>
      <w:tr>
        <w:trPr>
          <w:trHeight w:val="23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Reclassification from nonaccretable difference</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3"/>
        </w:trPr>
        <w:tc>
          <w:tcPr>
            <w:tcW w:w="50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Disposals</w:t>
            </w:r>
          </w:p>
        </w:tc>
        <w:tc>
          <w:tcPr>
            <w:tcW w:w="18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(41 )</w:t>
            </w:r>
          </w:p>
        </w:tc>
      </w:tr>
      <w:tr>
        <w:trPr>
          <w:trHeight w:val="241"/>
        </w:trPr>
        <w:tc>
          <w:tcPr>
            <w:tcW w:w="5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w:t>
            </w:r>
          </w:p>
        </w:tc>
        <w:tc>
          <w:tcPr>
            <w:tcW w:w="80" w:type="dxa"/>
            <w:vAlign w:val="bottom"/>
            <w:tcBorders>
              <w:top w:val="single" w:sz="8" w:color="CFF0FC"/>
            </w:tcBorders>
          </w:tcPr>
          <w:p>
            <w:pPr>
              <w:spacing w:after="0"/>
              <w:rPr>
                <w:sz w:val="20"/>
                <w:szCs w:val="20"/>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-187960</wp:posOffset>
            </wp:positionV>
            <wp:extent cx="51435"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51435"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78"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results of operations of Ossian State Bank, Perpetual Federal Savings Bank and Peoples Federal Savings and Loan Bank have been included in the Company’s consolidated financial statements since the acquisition dates of April 30, 2021, October 1, 2021 and October 1, 2022, respectively. The following schedule includes pro-forma results for the years ended December 31, 2022, 2021 and 2020 as if all three acquisitions had occurred as of the beginning of the comparable prior reporting periods.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r>
      <w:tr>
        <w:trPr>
          <w:trHeight w:val="243"/>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Summary of Operations</w:t>
            </w:r>
          </w:p>
        </w:tc>
        <w:tc>
          <w:tcPr>
            <w:tcW w:w="102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20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 Before Provision for Loan Losses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90,290</w:t>
            </w:r>
          </w:p>
        </w:tc>
        <w:tc>
          <w:tcPr>
            <w:tcW w:w="12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84,362</w:t>
            </w:r>
          </w:p>
        </w:tc>
        <w:tc>
          <w:tcPr>
            <w:tcW w:w="6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81,636</w:t>
            </w:r>
          </w:p>
        </w:tc>
        <w:tc>
          <w:tcPr>
            <w:tcW w:w="100" w:type="dxa"/>
            <w:vAlign w:val="bottom"/>
          </w:tcPr>
          <w:p>
            <w:pPr>
              <w:spacing w:after="0"/>
              <w:rPr>
                <w:sz w:val="20"/>
                <w:szCs w:val="20"/>
                <w:color w:val="auto"/>
              </w:rPr>
            </w:pPr>
          </w:p>
        </w:tc>
      </w:tr>
      <w:tr>
        <w:trPr>
          <w:trHeight w:val="243"/>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02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Loan Losses</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85,777</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74,735</w:t>
            </w:r>
          </w:p>
        </w:tc>
        <w:tc>
          <w:tcPr>
            <w:tcW w:w="100" w:type="dxa"/>
            <w:vAlign w:val="bottom"/>
          </w:tcPr>
          <w:p>
            <w:pPr>
              <w:spacing w:after="0"/>
              <w:rPr>
                <w:sz w:val="20"/>
                <w:szCs w:val="20"/>
                <w:color w:val="auto"/>
              </w:rPr>
            </w:pPr>
          </w:p>
        </w:tc>
      </w:tr>
      <w:tr>
        <w:trPr>
          <w:trHeight w:val="247"/>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17,668</w:t>
            </w:r>
          </w:p>
        </w:tc>
        <w:tc>
          <w:tcPr>
            <w:tcW w:w="100" w:type="dxa"/>
            <w:vAlign w:val="bottom"/>
            <w:shd w:val="clear" w:color="auto" w:fill="CFF0FC"/>
          </w:tcPr>
          <w:p>
            <w:pPr>
              <w:spacing w:after="0"/>
              <w:rPr>
                <w:sz w:val="21"/>
                <w:szCs w:val="21"/>
                <w:color w:val="auto"/>
              </w:rPr>
            </w:pPr>
          </w:p>
        </w:tc>
      </w:tr>
      <w:tr>
        <w:trPr>
          <w:trHeight w:val="23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57,426</w:t>
            </w:r>
          </w:p>
        </w:tc>
        <w:tc>
          <w:tcPr>
            <w:tcW w:w="2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55,765</w:t>
            </w:r>
          </w:p>
        </w:tc>
        <w:tc>
          <w:tcPr>
            <w:tcW w:w="100" w:type="dxa"/>
            <w:vAlign w:val="bottom"/>
          </w:tcPr>
          <w:p>
            <w:pPr>
              <w:spacing w:after="0"/>
              <w:rPr>
                <w:sz w:val="20"/>
                <w:szCs w:val="20"/>
                <w:color w:val="auto"/>
              </w:rPr>
            </w:pPr>
          </w:p>
        </w:tc>
      </w:tr>
      <w:tr>
        <w:trPr>
          <w:trHeight w:val="241"/>
        </w:trPr>
        <w:tc>
          <w:tcPr>
            <w:tcW w:w="5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2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42,450</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42,226</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36,638</w:t>
            </w:r>
          </w:p>
        </w:tc>
        <w:tc>
          <w:tcPr>
            <w:tcW w:w="100" w:type="dxa"/>
            <w:vAlign w:val="bottom"/>
            <w:shd w:val="clear" w:color="auto" w:fill="CFF0FC"/>
          </w:tcPr>
          <w:p>
            <w:pPr>
              <w:spacing w:after="0"/>
              <w:rPr>
                <w:sz w:val="20"/>
                <w:szCs w:val="20"/>
                <w:color w:val="auto"/>
              </w:rPr>
            </w:pPr>
          </w:p>
        </w:tc>
      </w:tr>
      <w:tr>
        <w:trPr>
          <w:trHeight w:val="23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0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2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7,242</w:t>
            </w:r>
          </w:p>
        </w:tc>
        <w:tc>
          <w:tcPr>
            <w:tcW w:w="100" w:type="dxa"/>
            <w:vAlign w:val="bottom"/>
          </w:tcPr>
          <w:p>
            <w:pPr>
              <w:spacing w:after="0"/>
              <w:rPr>
                <w:sz w:val="20"/>
                <w:szCs w:val="20"/>
                <w:color w:val="auto"/>
              </w:rPr>
            </w:pPr>
          </w:p>
        </w:tc>
      </w:tr>
      <w:tr>
        <w:trPr>
          <w:trHeight w:val="277"/>
        </w:trPr>
        <w:tc>
          <w:tcPr>
            <w:tcW w:w="5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34,265</w:t>
            </w:r>
          </w:p>
        </w:tc>
        <w:tc>
          <w:tcPr>
            <w:tcW w:w="26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33,768</w:t>
            </w:r>
          </w:p>
        </w:tc>
        <w:tc>
          <w:tcPr>
            <w:tcW w:w="26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4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6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-1156335</wp:posOffset>
            </wp:positionV>
            <wp:extent cx="77470" cy="1625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-1156335</wp:posOffset>
            </wp:positionV>
            <wp:extent cx="68580" cy="162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1625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-205105</wp:posOffset>
            </wp:positionV>
            <wp:extent cx="2339975" cy="2057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339975" cy="205740"/>
                    </a:xfrm>
                    <a:prstGeom prst="rect">
                      <a:avLst/>
                    </a:prstGeom>
                    <a:noFill/>
                  </pic:spPr>
                </pic:pic>
              </a:graphicData>
            </a:graphic>
          </wp:anchor>
        </w:drawing>
      </w:r>
    </w:p>
    <w:p>
      <w:pPr>
        <w:spacing w:after="0" w:line="178"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pro-forma information includes adjustments for interest income on loans, amortization of intangibles arising from the transaction, interest expense on deposits acquired, premises expense for the branches acquired and the related income tax effects.</w:t>
      </w:r>
    </w:p>
    <w:p>
      <w:pPr>
        <w:spacing w:after="0" w:line="162"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The pro-forma financial information is presented for informational purposes only and is not indicative of the results of operations that actually would have been achieved had the acquisition been consummated as of that time, nor is it intended to be a projection of future results.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As mentioned previously, the acquisition of Bank of Geneva resulted in the recognition of $3.9 million in core deposit intangible assets, the acquisition of Ossian State Bank resulted in the recognition of $980.2 thousand in core deposits assets, the acquisition of Perpetual Federal Savings Bank resulted in the recognition of $668 thousand in core deposits and the acquisition of Peoples Federal Savings and Loan resulted in the recognition of $6.0 million in core deposits which are all being amortized over its remaining economic useful life of 7 years on a straight line basis. Core deposit intangible is included in other assets on the consolidated balance sheets.</w:t>
      </w:r>
    </w:p>
    <w:p>
      <w:pPr>
        <w:spacing w:after="0" w:line="183"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amortization expense for the years ended December 31, 2022, 2021 and 2020 was $1.0 million, $677 thousand, and $720 thousand, respectively. Included in the 2020 amortization expense was $160 thousand related to the purchase of the Custar office on December 13, 2013.</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Future amortization expense of core deposit intangible assets is as follows: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Geneva</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Ossian</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Perpetual</w:t>
            </w:r>
          </w:p>
        </w:tc>
        <w:tc>
          <w:tcPr>
            <w:tcW w:w="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Peoples</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r>
      <w:tr>
        <w:trPr>
          <w:trHeight w:val="239"/>
        </w:trPr>
        <w:tc>
          <w:tcPr>
            <w:tcW w:w="2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3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80" w:type="dxa"/>
            <w:vAlign w:val="bottom"/>
            <w:gridSpan w:val="2"/>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shd w:val="clear" w:color="auto" w:fill="CFF0FC"/>
          </w:tcPr>
          <w:p>
            <w:pPr>
              <w:spacing w:after="0"/>
              <w:rPr>
                <w:sz w:val="21"/>
                <w:szCs w:val="21"/>
                <w:color w:val="auto"/>
              </w:rPr>
            </w:pPr>
          </w:p>
        </w:tc>
      </w:tr>
      <w:tr>
        <w:trPr>
          <w:trHeight w:val="23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tcPr>
          <w:p>
            <w:pPr>
              <w:spacing w:after="0"/>
              <w:rPr>
                <w:sz w:val="20"/>
                <w:szCs w:val="20"/>
                <w:color w:val="auto"/>
              </w:rPr>
            </w:pPr>
          </w:p>
        </w:tc>
      </w:tr>
      <w:tr>
        <w:trPr>
          <w:trHeight w:val="247"/>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shd w:val="clear" w:color="auto" w:fill="CFF0FC"/>
          </w:tcPr>
          <w:p>
            <w:pPr>
              <w:spacing w:after="0"/>
              <w:rPr>
                <w:sz w:val="21"/>
                <w:szCs w:val="21"/>
                <w:color w:val="auto"/>
              </w:rPr>
            </w:pPr>
          </w:p>
        </w:tc>
      </w:tr>
      <w:tr>
        <w:trPr>
          <w:trHeight w:val="23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tcPr>
          <w:p>
            <w:pPr>
              <w:spacing w:after="0"/>
              <w:rPr>
                <w:sz w:val="20"/>
                <w:szCs w:val="20"/>
                <w:color w:val="auto"/>
              </w:rPr>
            </w:pPr>
          </w:p>
        </w:tc>
      </w:tr>
      <w:tr>
        <w:trPr>
          <w:trHeight w:val="247"/>
        </w:trPr>
        <w:tc>
          <w:tcPr>
            <w:tcW w:w="2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80" w:type="dxa"/>
            <w:vAlign w:val="bottom"/>
            <w:shd w:val="clear" w:color="auto" w:fill="CFF0FC"/>
          </w:tcPr>
          <w:p>
            <w:pPr>
              <w:spacing w:after="0"/>
              <w:rPr>
                <w:sz w:val="21"/>
                <w:szCs w:val="21"/>
                <w:color w:val="auto"/>
              </w:rPr>
            </w:pPr>
          </w:p>
        </w:tc>
      </w:tr>
      <w:tr>
        <w:trPr>
          <w:trHeight w:val="239"/>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80" w:type="dxa"/>
            <w:vAlign w:val="bottom"/>
          </w:tcPr>
          <w:p>
            <w:pPr>
              <w:spacing w:after="0"/>
              <w:rPr>
                <w:sz w:val="20"/>
                <w:szCs w:val="20"/>
                <w:color w:val="auto"/>
              </w:rPr>
            </w:pPr>
          </w:p>
        </w:tc>
      </w:tr>
      <w:tr>
        <w:trPr>
          <w:trHeight w:val="277"/>
        </w:trPr>
        <w:tc>
          <w:tcPr>
            <w:tcW w:w="2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549</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-24765</wp:posOffset>
            </wp:positionV>
            <wp:extent cx="603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603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603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603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51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-24765</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-7620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On November 16, 2020, FM Investment Services, a division of the Bank, purchased the assets and clients of Adams County Financial Resources (ACFR), a full-service registered investment advisory firm located in Geneva, Indiana.</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ACFR was founded in 1994 by R. Lee Flueckiger and provides clients and their families with financial confidence through personalized investment planning and services. As of November 30, 2020, ACFR had approximately $83 million of assets under management and over 450 clients.</w:t>
      </w:r>
    </w:p>
    <w:p>
      <w:pPr>
        <w:spacing w:after="0" w:line="176"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Total consideration for the purchase was $825 thousand which consisted of 40,049 shares of stock. Under the acquisition method of accounting, the total purchase is allocated to net tangible and intangible assets based on their current estimated fair values on the date of acquisition. Of the total purchase price of $825 thousand, $800 thousand has been allocated to customer list intangible, included in other assets, to be amortized over 6.5 years on a straight line basis.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consideration paid for ACFR and the amounts of the assets acquired:</w:t>
            </w: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Shares (40,049 shares)</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Recognized amounts of identifiable assets acquired and liabilities assumed</w:t>
            </w:r>
          </w:p>
        </w:tc>
        <w:tc>
          <w:tcPr>
            <w:tcW w:w="3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Premises and equipment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Customer list intangible</w:t>
            </w:r>
          </w:p>
        </w:tc>
        <w:tc>
          <w:tcPr>
            <w:tcW w:w="360" w:type="dxa"/>
            <w:vAlign w:val="bottom"/>
            <w:tcBorders>
              <w:bottom w:val="single" w:sz="8" w:color="auto"/>
            </w:tcBorders>
            <w:shd w:val="clear" w:color="auto" w:fill="CFF0FC"/>
          </w:tcPr>
          <w:p>
            <w:pPr>
              <w:spacing w:after="0"/>
              <w:rPr>
                <w:sz w:val="21"/>
                <w:szCs w:val="21"/>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Purchased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68</w:t>
            </w:r>
          </w:p>
        </w:tc>
        <w:tc>
          <w:tcPr>
            <w:tcW w:w="3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6515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65151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8" w:name="page69"/>
    <w:bookmarkEnd w:id="68"/>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4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customer list intangible amortization expense for the years ended December 31, 2022, 2021 and 2020 was $123, $123 and $16 thousand, respectively. Future amortization expense of customer list intangible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(In thousands)</w:t>
            </w:r>
          </w:p>
        </w:tc>
        <w:tc>
          <w:tcPr>
            <w:tcW w:w="3380" w:type="dxa"/>
            <w:vAlign w:val="bottom"/>
          </w:tcPr>
          <w:p>
            <w:pPr>
              <w:spacing w:after="0"/>
              <w:rPr>
                <w:sz w:val="20"/>
                <w:szCs w:val="20"/>
                <w:color w:val="auto"/>
              </w:rPr>
            </w:pPr>
          </w:p>
        </w:tc>
      </w:tr>
      <w:tr>
        <w:trPr>
          <w:trHeight w:val="250"/>
        </w:trPr>
        <w:tc>
          <w:tcPr>
            <w:tcW w:w="3380" w:type="dxa"/>
            <w:vAlign w:val="bottom"/>
          </w:tcPr>
          <w:p>
            <w:pPr>
              <w:spacing w:after="0"/>
              <w:rPr>
                <w:sz w:val="21"/>
                <w:szCs w:val="21"/>
                <w:color w:val="auto"/>
              </w:rPr>
            </w:pP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380" w:type="dxa"/>
            <w:vAlign w:val="bottom"/>
          </w:tcPr>
          <w:p>
            <w:pPr>
              <w:spacing w:after="0"/>
              <w:rPr>
                <w:sz w:val="21"/>
                <w:szCs w:val="21"/>
                <w:color w:val="auto"/>
              </w:rPr>
            </w:pPr>
          </w:p>
        </w:tc>
      </w:tr>
      <w:tr>
        <w:trPr>
          <w:trHeight w:val="239"/>
        </w:trPr>
        <w:tc>
          <w:tcPr>
            <w:tcW w:w="338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380" w:type="dxa"/>
            <w:vAlign w:val="bottom"/>
          </w:tcPr>
          <w:p>
            <w:pPr>
              <w:spacing w:after="0"/>
              <w:rPr>
                <w:sz w:val="20"/>
                <w:szCs w:val="20"/>
                <w:color w:val="auto"/>
              </w:rPr>
            </w:pPr>
          </w:p>
        </w:tc>
      </w:tr>
      <w:tr>
        <w:trPr>
          <w:trHeight w:val="247"/>
        </w:trPr>
        <w:tc>
          <w:tcPr>
            <w:tcW w:w="3380" w:type="dxa"/>
            <w:vAlign w:val="bottom"/>
          </w:tcPr>
          <w:p>
            <w:pPr>
              <w:spacing w:after="0"/>
              <w:rPr>
                <w:sz w:val="21"/>
                <w:szCs w:val="21"/>
                <w:color w:val="auto"/>
              </w:rPr>
            </w:pP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380" w:type="dxa"/>
            <w:vAlign w:val="bottom"/>
          </w:tcPr>
          <w:p>
            <w:pPr>
              <w:spacing w:after="0"/>
              <w:rPr>
                <w:sz w:val="21"/>
                <w:szCs w:val="21"/>
                <w:color w:val="auto"/>
              </w:rPr>
            </w:pPr>
          </w:p>
        </w:tc>
      </w:tr>
      <w:tr>
        <w:trPr>
          <w:trHeight w:val="239"/>
        </w:trPr>
        <w:tc>
          <w:tcPr>
            <w:tcW w:w="338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380" w:type="dxa"/>
            <w:vAlign w:val="bottom"/>
          </w:tcPr>
          <w:p>
            <w:pPr>
              <w:spacing w:after="0"/>
              <w:rPr>
                <w:sz w:val="20"/>
                <w:szCs w:val="20"/>
                <w:color w:val="auto"/>
              </w:rPr>
            </w:pPr>
          </w:p>
        </w:tc>
      </w:tr>
      <w:tr>
        <w:trPr>
          <w:trHeight w:val="247"/>
        </w:trPr>
        <w:tc>
          <w:tcPr>
            <w:tcW w:w="3380" w:type="dxa"/>
            <w:vAlign w:val="bottom"/>
          </w:tcPr>
          <w:p>
            <w:pPr>
              <w:spacing w:after="0"/>
              <w:rPr>
                <w:sz w:val="21"/>
                <w:szCs w:val="21"/>
                <w:color w:val="auto"/>
              </w:rPr>
            </w:pPr>
          </w:p>
        </w:tc>
        <w:tc>
          <w:tcPr>
            <w:tcW w:w="1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380" w:type="dxa"/>
            <w:vAlign w:val="bottom"/>
          </w:tcPr>
          <w:p>
            <w:pPr>
              <w:spacing w:after="0"/>
              <w:rPr>
                <w:sz w:val="21"/>
                <w:szCs w:val="21"/>
                <w:color w:val="auto"/>
              </w:rPr>
            </w:pPr>
          </w:p>
        </w:tc>
      </w:tr>
      <w:tr>
        <w:trPr>
          <w:trHeight w:val="239"/>
        </w:trPr>
        <w:tc>
          <w:tcPr>
            <w:tcW w:w="338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80" w:type="dxa"/>
            <w:vAlign w:val="bottom"/>
          </w:tcPr>
          <w:p>
            <w:pPr>
              <w:spacing w:after="0"/>
              <w:rPr>
                <w:sz w:val="20"/>
                <w:szCs w:val="20"/>
                <w:color w:val="auto"/>
              </w:rPr>
            </w:pPr>
          </w:p>
        </w:tc>
      </w:tr>
      <w:tr>
        <w:trPr>
          <w:trHeight w:val="277"/>
        </w:trPr>
        <w:tc>
          <w:tcPr>
            <w:tcW w:w="3380" w:type="dxa"/>
            <w:vAlign w:val="bottom"/>
          </w:tcPr>
          <w:p>
            <w:pPr>
              <w:spacing w:after="0"/>
              <w:rPr>
                <w:sz w:val="24"/>
                <w:szCs w:val="24"/>
                <w:color w:val="auto"/>
              </w:rPr>
            </w:pPr>
          </w:p>
        </w:tc>
        <w:tc>
          <w:tcPr>
            <w:tcW w:w="1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380" w:type="dxa"/>
            <w:vAlign w:val="bottom"/>
          </w:tcPr>
          <w:p>
            <w:pPr>
              <w:spacing w:after="0"/>
              <w:rPr>
                <w:sz w:val="24"/>
                <w:szCs w:val="24"/>
                <w:color w:val="auto"/>
              </w:rPr>
            </w:pPr>
          </w:p>
        </w:tc>
      </w:tr>
      <w:tr>
        <w:trPr>
          <w:trHeight w:val="633"/>
        </w:trPr>
        <w:tc>
          <w:tcPr>
            <w:tcW w:w="3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-521970</wp:posOffset>
            </wp:positionV>
            <wp:extent cx="260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-504825</wp:posOffset>
            </wp:positionV>
            <wp:extent cx="260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9" w:name="page70"/>
    <w:bookmarkEnd w:id="69"/>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securities, with gross unrealized gains and losses,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5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2022</w:t>
            </w: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20"/>
                <w:szCs w:val="20"/>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20"/>
                <w:szCs w:val="20"/>
                <w:color w:val="auto"/>
              </w:rPr>
            </w:pPr>
          </w:p>
        </w:tc>
      </w:tr>
      <w:tr>
        <w:trPr>
          <w:trHeight w:val="238"/>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20"/>
                <w:szCs w:val="20"/>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Market</w:t>
            </w:r>
          </w:p>
        </w:tc>
        <w:tc>
          <w:tcPr>
            <w:tcW w:w="100" w:type="dxa"/>
            <w:vAlign w:val="bottom"/>
          </w:tcPr>
          <w:p>
            <w:pPr>
              <w:spacing w:after="0"/>
              <w:rPr>
                <w:sz w:val="20"/>
                <w:szCs w:val="20"/>
                <w:color w:val="auto"/>
              </w:rPr>
            </w:pPr>
          </w:p>
        </w:tc>
      </w:tr>
      <w:tr>
        <w:trPr>
          <w:trHeight w:val="250"/>
        </w:trPr>
        <w:tc>
          <w:tcPr>
            <w:tcW w:w="5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Gains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tcPr>
          <w:p>
            <w:pPr>
              <w:spacing w:after="0"/>
              <w:rPr>
                <w:sz w:val="21"/>
                <w:szCs w:val="21"/>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1"/>
                <w:szCs w:val="21"/>
                <w:color w:val="auto"/>
              </w:rPr>
            </w:pPr>
          </w:p>
        </w:tc>
      </w:tr>
      <w:tr>
        <w:trPr>
          <w:trHeight w:val="24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(9,829 )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94,678</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156,817</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(17,050 )</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139,767</w:t>
            </w:r>
          </w:p>
        </w:tc>
        <w:tc>
          <w:tcPr>
            <w:tcW w:w="100" w:type="dxa"/>
            <w:vAlign w:val="bottom"/>
            <w:shd w:val="clear" w:color="auto" w:fill="CFF0FC"/>
          </w:tcPr>
          <w:p>
            <w:pPr>
              <w:spacing w:after="0"/>
              <w:rPr>
                <w:sz w:val="21"/>
                <w:szCs w:val="2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101,068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(14,141 )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86,927</w:t>
            </w:r>
          </w:p>
        </w:tc>
        <w:tc>
          <w:tcPr>
            <w:tcW w:w="100" w:type="dxa"/>
            <w:vAlign w:val="bottom"/>
          </w:tcPr>
          <w:p>
            <w:pPr>
              <w:spacing w:after="0"/>
              <w:rPr>
                <w:sz w:val="20"/>
                <w:szCs w:val="20"/>
                <w:color w:val="auto"/>
              </w:rPr>
            </w:pPr>
          </w:p>
        </w:tc>
      </w:tr>
      <w:tr>
        <w:trPr>
          <w:trHeight w:val="243"/>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76,794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(7,446 )</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69,417</w:t>
            </w:r>
          </w:p>
        </w:tc>
        <w:tc>
          <w:tcPr>
            <w:tcW w:w="100" w:type="dxa"/>
            <w:vAlign w:val="bottom"/>
            <w:shd w:val="clear" w:color="auto" w:fill="CFF0FC"/>
          </w:tcPr>
          <w:p>
            <w:pPr>
              <w:spacing w:after="0"/>
              <w:rPr>
                <w:sz w:val="21"/>
                <w:szCs w:val="2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439,186</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(48,466 )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390,789</w:t>
            </w:r>
          </w:p>
        </w:tc>
        <w:tc>
          <w:tcPr>
            <w:tcW w:w="10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3"/>
        </w:trPr>
        <w:tc>
          <w:tcPr>
            <w:tcW w:w="5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9"/>
              </w:rPr>
              <w:t>2021</w:t>
            </w: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Gross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20"/>
                <w:szCs w:val="20"/>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20"/>
                <w:szCs w:val="20"/>
                <w:color w:val="auto"/>
              </w:rPr>
            </w:pPr>
          </w:p>
        </w:tc>
      </w:tr>
      <w:tr>
        <w:trPr>
          <w:trHeight w:val="238"/>
        </w:trPr>
        <w:tc>
          <w:tcPr>
            <w:tcW w:w="5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Unrealized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Unrealized</w:t>
            </w:r>
          </w:p>
        </w:tc>
        <w:tc>
          <w:tcPr>
            <w:tcW w:w="180" w:type="dxa"/>
            <w:vAlign w:val="bottom"/>
          </w:tcPr>
          <w:p>
            <w:pPr>
              <w:spacing w:after="0"/>
              <w:rPr>
                <w:sz w:val="20"/>
                <w:szCs w:val="20"/>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Market</w:t>
            </w:r>
          </w:p>
        </w:tc>
        <w:tc>
          <w:tcPr>
            <w:tcW w:w="100" w:type="dxa"/>
            <w:vAlign w:val="bottom"/>
          </w:tcPr>
          <w:p>
            <w:pPr>
              <w:spacing w:after="0"/>
              <w:rPr>
                <w:sz w:val="20"/>
                <w:szCs w:val="20"/>
                <w:color w:val="auto"/>
              </w:rPr>
            </w:pPr>
          </w:p>
        </w:tc>
      </w:tr>
      <w:tr>
        <w:trPr>
          <w:trHeight w:val="250"/>
        </w:trPr>
        <w:tc>
          <w:tcPr>
            <w:tcW w:w="5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Gains</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Losses</w:t>
            </w:r>
          </w:p>
        </w:tc>
        <w:tc>
          <w:tcPr>
            <w:tcW w:w="180" w:type="dxa"/>
            <w:vAlign w:val="bottom"/>
          </w:tcPr>
          <w:p>
            <w:pPr>
              <w:spacing w:after="0"/>
              <w:rPr>
                <w:sz w:val="21"/>
                <w:szCs w:val="21"/>
                <w:color w:val="auto"/>
              </w:rPr>
            </w:pPr>
          </w:p>
        </w:tc>
        <w:tc>
          <w:tcPr>
            <w:tcW w:w="8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1"/>
                <w:szCs w:val="21"/>
                <w:color w:val="auto"/>
              </w:rPr>
            </w:pPr>
          </w:p>
        </w:tc>
      </w:tr>
      <w:tr>
        <w:trPr>
          <w:trHeight w:val="243"/>
        </w:trPr>
        <w:tc>
          <w:tcPr>
            <w:tcW w:w="5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Available-for-Sale:</w:t>
            </w:r>
          </w:p>
        </w:tc>
        <w:tc>
          <w:tcPr>
            <w:tcW w:w="1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90,775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(1,598 )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89,177</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agencies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159,673</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(3,482 )</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156,886</w:t>
            </w:r>
          </w:p>
        </w:tc>
        <w:tc>
          <w:tcPr>
            <w:tcW w:w="100" w:type="dxa"/>
            <w:vAlign w:val="bottom"/>
            <w:shd w:val="clear" w:color="auto" w:fill="CFF0FC"/>
          </w:tcPr>
          <w:p>
            <w:pPr>
              <w:spacing w:after="0"/>
              <w:rPr>
                <w:sz w:val="21"/>
                <w:szCs w:val="21"/>
                <w:color w:val="auto"/>
              </w:rPr>
            </w:pPr>
          </w:p>
        </w:tc>
      </w:tr>
      <w:tr>
        <w:trPr>
          <w:trHeight w:val="239"/>
        </w:trPr>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118,550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(1,462 )</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117,927</w:t>
            </w:r>
          </w:p>
        </w:tc>
        <w:tc>
          <w:tcPr>
            <w:tcW w:w="100" w:type="dxa"/>
            <w:vAlign w:val="bottom"/>
          </w:tcPr>
          <w:p>
            <w:pPr>
              <w:spacing w:after="0"/>
              <w:rPr>
                <w:sz w:val="20"/>
                <w:szCs w:val="20"/>
                <w:color w:val="auto"/>
              </w:rPr>
            </w:pPr>
          </w:p>
        </w:tc>
      </w:tr>
      <w:tr>
        <w:trPr>
          <w:trHeight w:val="243"/>
        </w:trPr>
        <w:tc>
          <w:tcPr>
            <w:tcW w:w="52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2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64,964</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(521 )</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65,941</w:t>
            </w:r>
          </w:p>
        </w:tc>
        <w:tc>
          <w:tcPr>
            <w:tcW w:w="100" w:type="dxa"/>
            <w:vAlign w:val="bottom"/>
            <w:shd w:val="clear" w:color="auto" w:fill="CFF0FC"/>
          </w:tcPr>
          <w:p>
            <w:pPr>
              <w:spacing w:after="0"/>
              <w:rPr>
                <w:sz w:val="21"/>
                <w:szCs w:val="2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1"/>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433,962</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(7,063 )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429,931</w:t>
            </w:r>
          </w:p>
        </w:tc>
        <w:tc>
          <w:tcPr>
            <w:tcW w:w="100" w:type="dxa"/>
            <w:vAlign w:val="bottom"/>
          </w:tcPr>
          <w:p>
            <w:pPr>
              <w:spacing w:after="0"/>
              <w:rPr>
                <w:sz w:val="20"/>
                <w:szCs w:val="20"/>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-2082165</wp:posOffset>
            </wp:positionV>
            <wp:extent cx="68580" cy="1885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-2082165</wp:posOffset>
            </wp:positionV>
            <wp:extent cx="60325" cy="1885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-2082165</wp:posOffset>
            </wp:positionV>
            <wp:extent cx="60325" cy="1885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-2082165</wp:posOffset>
            </wp:positionV>
            <wp:extent cx="60325" cy="1885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-187960</wp:posOffset>
            </wp:positionV>
            <wp:extent cx="68580" cy="1885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-187960</wp:posOffset>
            </wp:positionV>
            <wp:extent cx="60325" cy="1885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-187960</wp:posOffset>
            </wp:positionV>
            <wp:extent cx="60325" cy="1885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178" w:lineRule="exact"/>
        <w:rPr>
          <w:sz w:val="20"/>
          <w:szCs w:val="20"/>
          <w:color w:val="auto"/>
        </w:rPr>
      </w:pPr>
    </w:p>
    <w:p>
      <w:pPr>
        <w:ind w:left="760"/>
        <w:spacing w:after="0" w:line="312" w:lineRule="auto"/>
        <w:rPr>
          <w:sz w:val="20"/>
          <w:szCs w:val="20"/>
          <w:color w:val="auto"/>
        </w:rPr>
      </w:pPr>
      <w:r>
        <w:rPr>
          <w:rFonts w:ascii="Times New Roman" w:cs="Times New Roman" w:eastAsia="Times New Roman" w:hAnsi="Times New Roman"/>
          <w:sz w:val="17"/>
          <w:szCs w:val="17"/>
          <w:color w:val="auto"/>
        </w:rPr>
        <w:t>Investment securities will at times depreciate to an unrealized loss position. The Bank utilizes the following criteria to assess whether impairment is other than temporary. No one item by itself will necessarily signal that a security should be recognized as other than temporarily impaired.</w:t>
      </w:r>
    </w:p>
    <w:p>
      <w:pPr>
        <w:spacing w:after="0" w:line="32" w:lineRule="exact"/>
        <w:rPr>
          <w:sz w:val="20"/>
          <w:szCs w:val="20"/>
          <w:color w:val="auto"/>
        </w:rPr>
      </w:pPr>
    </w:p>
    <w:p>
      <w:pPr>
        <w:ind w:left="1640" w:hanging="509"/>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security has significantly declined from book value.</w:t>
      </w:r>
    </w:p>
    <w:p>
      <w:pPr>
        <w:spacing w:after="0" w:line="117" w:lineRule="exact"/>
        <w:rPr>
          <w:rFonts w:ascii="Times New Roman" w:cs="Times New Roman" w:eastAsia="Times New Roman" w:hAnsi="Times New Roman"/>
          <w:sz w:val="18"/>
          <w:szCs w:val="18"/>
          <w:color w:val="auto"/>
        </w:rPr>
      </w:pPr>
    </w:p>
    <w:p>
      <w:pPr>
        <w:ind w:left="1640" w:hanging="509"/>
        <w:spacing w:after="0" w:line="282" w:lineRule="auto"/>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has occurred that lowered the credit rating to below investment grade (below Baa3 by Moody and BBB – by Standard and Poors.)</w:t>
      </w:r>
    </w:p>
    <w:p>
      <w:pPr>
        <w:spacing w:after="0" w:line="53" w:lineRule="exact"/>
        <w:rPr>
          <w:rFonts w:ascii="Times New Roman" w:cs="Times New Roman" w:eastAsia="Times New Roman" w:hAnsi="Times New Roman"/>
          <w:sz w:val="18"/>
          <w:szCs w:val="18"/>
          <w:color w:val="auto"/>
        </w:rPr>
      </w:pPr>
    </w:p>
    <w:p>
      <w:pPr>
        <w:ind w:left="1640" w:hanging="509"/>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have been reduced or eliminated or scheduled interest payments have not been made.</w:t>
      </w:r>
    </w:p>
    <w:p>
      <w:pPr>
        <w:spacing w:after="0" w:line="117" w:lineRule="exact"/>
        <w:rPr>
          <w:rFonts w:ascii="Times New Roman" w:cs="Times New Roman" w:eastAsia="Times New Roman" w:hAnsi="Times New Roman"/>
          <w:sz w:val="18"/>
          <w:szCs w:val="18"/>
          <w:color w:val="auto"/>
        </w:rPr>
      </w:pPr>
    </w:p>
    <w:p>
      <w:pPr>
        <w:ind w:left="1640" w:hanging="509"/>
        <w:spacing w:after="0"/>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underwater security has longer than 10 years to maturity and the loss position had existed for more than 3 years.</w:t>
      </w:r>
    </w:p>
    <w:p>
      <w:pPr>
        <w:spacing w:after="0" w:line="117" w:lineRule="exact"/>
        <w:rPr>
          <w:rFonts w:ascii="Times New Roman" w:cs="Times New Roman" w:eastAsia="Times New Roman" w:hAnsi="Times New Roman"/>
          <w:sz w:val="18"/>
          <w:szCs w:val="18"/>
          <w:color w:val="auto"/>
        </w:rPr>
      </w:pPr>
    </w:p>
    <w:p>
      <w:pPr>
        <w:ind w:left="1640" w:hanging="509"/>
        <w:spacing w:after="0" w:line="282" w:lineRule="auto"/>
        <w:tabs>
          <w:tab w:leader="none" w:pos="1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possess both the intent and ability to hold the security for a period of time sufficient to allow for any anticipated recovery in fair value.</w:t>
      </w:r>
    </w:p>
    <w:p>
      <w:pPr>
        <w:spacing w:after="0" w:line="162"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Bank currently does not hold any securities with other than temporary impairment.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351"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December 31, 2022 and 2021, aggregated by investment category and length of time that individual securities have been in a continuous loss position follows:</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5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r>
      <w:tr>
        <w:trPr>
          <w:trHeight w:val="245"/>
        </w:trPr>
        <w:tc>
          <w:tcPr>
            <w:tcW w:w="5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8"/>
              </w:rPr>
              <w:t>Less Than Twelve Months</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8"/>
              </w:rPr>
              <w:t>Twelve Months &amp; Over</w:t>
            </w:r>
          </w:p>
        </w:tc>
        <w:tc>
          <w:tcPr>
            <w:tcW w:w="100" w:type="dxa"/>
            <w:vAlign w:val="bottom"/>
          </w:tcPr>
          <w:p>
            <w:pPr>
              <w:spacing w:after="0"/>
              <w:rPr>
                <w:sz w:val="21"/>
                <w:szCs w:val="21"/>
                <w:color w:val="auto"/>
              </w:rPr>
            </w:pPr>
          </w:p>
        </w:tc>
      </w:tr>
      <w:tr>
        <w:trPr>
          <w:trHeight w:val="234"/>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w:t>
            </w:r>
          </w:p>
        </w:tc>
        <w:tc>
          <w:tcPr>
            <w:tcW w:w="240" w:type="dxa"/>
            <w:vAlign w:val="bottom"/>
          </w:tcPr>
          <w:p>
            <w:pPr>
              <w:spacing w:after="0"/>
              <w:rPr>
                <w:sz w:val="20"/>
                <w:szCs w:val="20"/>
                <w:color w:val="auto"/>
              </w:rPr>
            </w:pPr>
          </w:p>
        </w:tc>
        <w:tc>
          <w:tcPr>
            <w:tcW w:w="12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20"/>
                <w:szCs w:val="20"/>
                <w:color w:val="auto"/>
              </w:rPr>
            </w:pPr>
          </w:p>
        </w:tc>
      </w:tr>
      <w:tr>
        <w:trPr>
          <w:trHeight w:val="250"/>
        </w:trPr>
        <w:tc>
          <w:tcPr>
            <w:tcW w:w="5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1"/>
                <w:szCs w:val="21"/>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2"/>
              </w:rPr>
              <w:t>Value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1"/>
                <w:szCs w:val="21"/>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1"/>
                <w:szCs w:val="21"/>
                <w:color w:val="auto"/>
              </w:rPr>
            </w:pPr>
          </w:p>
        </w:tc>
      </w:tr>
      <w:tr>
        <w:trPr>
          <w:trHeight w:val="24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(9,622</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85,557</w:t>
            </w:r>
          </w:p>
        </w:tc>
        <w:tc>
          <w:tcPr>
            <w:tcW w:w="10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(1,081 )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(15,969 )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114,906</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(2,454 )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26,905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(11,687 )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60,022</w:t>
            </w:r>
          </w:p>
        </w:tc>
        <w:tc>
          <w:tcPr>
            <w:tcW w:w="10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(3,223 )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38,771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(4,223 )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25,610</w:t>
            </w:r>
          </w:p>
        </w:tc>
        <w:tc>
          <w:tcPr>
            <w:tcW w:w="100" w:type="dxa"/>
            <w:vAlign w:val="bottom"/>
          </w:tcPr>
          <w:p>
            <w:pPr>
              <w:spacing w:after="0"/>
              <w:rPr>
                <w:sz w:val="20"/>
                <w:szCs w:val="20"/>
                <w:color w:val="auto"/>
              </w:rPr>
            </w:pPr>
          </w:p>
        </w:tc>
      </w:tr>
      <w:tr>
        <w:trPr>
          <w:trHeight w:val="281"/>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available-for-sales securities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99,357</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286,095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33"/>
        </w:trPr>
        <w:tc>
          <w:tcPr>
            <w:tcW w:w="5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2021</w:t>
            </w: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gridSpan w:val="4"/>
          </w:tcPr>
          <w:p>
            <w:pPr>
              <w:jc w:val="center"/>
              <w:ind w:right="1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4"/>
          </w:tcPr>
          <w:p>
            <w:pPr>
              <w:jc w:val="center"/>
              <w:ind w:right="9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r>
      <w:tr>
        <w:trPr>
          <w:trHeight w:val="245"/>
        </w:trPr>
        <w:tc>
          <w:tcPr>
            <w:tcW w:w="5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4"/>
          </w:tcPr>
          <w:p>
            <w:pPr>
              <w:jc w:val="center"/>
              <w:ind w:right="10"/>
              <w:spacing w:after="0"/>
              <w:rPr>
                <w:sz w:val="20"/>
                <w:szCs w:val="20"/>
                <w:color w:val="auto"/>
              </w:rPr>
            </w:pPr>
            <w:r>
              <w:rPr>
                <w:rFonts w:ascii="Times New Roman" w:cs="Times New Roman" w:eastAsia="Times New Roman" w:hAnsi="Times New Roman"/>
                <w:sz w:val="18"/>
                <w:szCs w:val="18"/>
                <w:color w:val="auto"/>
                <w:w w:val="98"/>
              </w:rPr>
              <w:t>Less Than Twelve Months</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8"/>
              </w:rPr>
              <w:t>Twelve Months &amp; Over</w:t>
            </w:r>
          </w:p>
        </w:tc>
        <w:tc>
          <w:tcPr>
            <w:tcW w:w="100" w:type="dxa"/>
            <w:vAlign w:val="bottom"/>
          </w:tcPr>
          <w:p>
            <w:pPr>
              <w:spacing w:after="0"/>
              <w:rPr>
                <w:sz w:val="21"/>
                <w:szCs w:val="21"/>
                <w:color w:val="auto"/>
              </w:rPr>
            </w:pPr>
          </w:p>
        </w:tc>
      </w:tr>
      <w:tr>
        <w:trPr>
          <w:trHeight w:val="234"/>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9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w:t>
            </w:r>
          </w:p>
        </w:tc>
        <w:tc>
          <w:tcPr>
            <w:tcW w:w="240" w:type="dxa"/>
            <w:vAlign w:val="bottom"/>
          </w:tcPr>
          <w:p>
            <w:pPr>
              <w:spacing w:after="0"/>
              <w:rPr>
                <w:sz w:val="20"/>
                <w:szCs w:val="20"/>
                <w:color w:val="auto"/>
              </w:rPr>
            </w:pPr>
          </w:p>
        </w:tc>
        <w:tc>
          <w:tcPr>
            <w:tcW w:w="122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Unrealized</w:t>
            </w:r>
          </w:p>
        </w:tc>
        <w:tc>
          <w:tcPr>
            <w:tcW w:w="20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20"/>
                <w:szCs w:val="20"/>
                <w:color w:val="auto"/>
              </w:rPr>
            </w:pPr>
          </w:p>
        </w:tc>
      </w:tr>
      <w:tr>
        <w:trPr>
          <w:trHeight w:val="250"/>
        </w:trPr>
        <w:tc>
          <w:tcPr>
            <w:tcW w:w="5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1"/>
                <w:szCs w:val="21"/>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2"/>
              </w:rPr>
              <w:t>Value</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color w:val="auto"/>
                <w:w w:val="97"/>
              </w:rPr>
              <w:t>Losses</w:t>
            </w:r>
          </w:p>
        </w:tc>
        <w:tc>
          <w:tcPr>
            <w:tcW w:w="200" w:type="dxa"/>
            <w:vAlign w:val="bottom"/>
          </w:tcPr>
          <w:p>
            <w:pPr>
              <w:spacing w:after="0"/>
              <w:rPr>
                <w:sz w:val="21"/>
                <w:szCs w:val="21"/>
                <w:color w:val="auto"/>
              </w:rPr>
            </w:pPr>
          </w:p>
        </w:tc>
        <w:tc>
          <w:tcPr>
            <w:tcW w:w="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1"/>
                <w:szCs w:val="21"/>
                <w:color w:val="auto"/>
              </w:rPr>
            </w:pPr>
          </w:p>
        </w:tc>
      </w:tr>
      <w:tr>
        <w:trPr>
          <w:trHeight w:val="24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89,177</w:t>
            </w:r>
          </w:p>
        </w:tc>
        <w:tc>
          <w:tcPr>
            <w:tcW w:w="24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1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(1,898 )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(1,584 )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41,738</w:t>
            </w:r>
          </w:p>
        </w:tc>
        <w:tc>
          <w:tcPr>
            <w:tcW w:w="100" w:type="dxa"/>
            <w:vAlign w:val="bottom"/>
          </w:tcPr>
          <w:p>
            <w:pPr>
              <w:spacing w:after="0"/>
              <w:rPr>
                <w:sz w:val="20"/>
                <w:szCs w:val="20"/>
                <w:color w:val="auto"/>
              </w:rPr>
            </w:pPr>
          </w:p>
        </w:tc>
      </w:tr>
      <w:tr>
        <w:trPr>
          <w:trHeight w:val="247"/>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(1,050 )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63,157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(412 )</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100" w:type="dxa"/>
            <w:vAlign w:val="bottom"/>
            <w:shd w:val="clear" w:color="auto" w:fill="CFF0FC"/>
          </w:tcPr>
          <w:p>
            <w:pPr>
              <w:spacing w:after="0"/>
              <w:rPr>
                <w:sz w:val="21"/>
                <w:szCs w:val="21"/>
                <w:color w:val="auto"/>
              </w:rPr>
            </w:pPr>
          </w:p>
        </w:tc>
      </w:tr>
      <w:tr>
        <w:trPr>
          <w:trHeight w:val="23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100" w:type="dxa"/>
            <w:vAlign w:val="bottom"/>
          </w:tcPr>
          <w:p>
            <w:pPr>
              <w:spacing w:after="0"/>
              <w:rPr>
                <w:sz w:val="20"/>
                <w:szCs w:val="20"/>
                <w:color w:val="auto"/>
              </w:rPr>
            </w:pPr>
          </w:p>
        </w:tc>
        <w:tc>
          <w:tcPr>
            <w:tcW w:w="11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(296 )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(225 )</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00" w:type="dxa"/>
            <w:vAlign w:val="bottom"/>
          </w:tcPr>
          <w:p>
            <w:pPr>
              <w:spacing w:after="0"/>
              <w:rPr>
                <w:sz w:val="20"/>
                <w:szCs w:val="20"/>
                <w:color w:val="auto"/>
              </w:rPr>
            </w:pPr>
          </w:p>
        </w:tc>
      </w:tr>
      <w:tr>
        <w:trPr>
          <w:trHeight w:val="281"/>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available-for-sales securities</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(4,842</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256,800</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4347210</wp:posOffset>
            </wp:positionH>
            <wp:positionV relativeFrom="paragraph">
              <wp:posOffset>-1919605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-1902460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-1919605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-1902460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-1919605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-1902460</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-1919605</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-1902460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-24765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4347210</wp:posOffset>
            </wp:positionH>
            <wp:positionV relativeFrom="paragraph">
              <wp:posOffset>-7620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-24765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-24765</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-7620</wp:posOffset>
            </wp:positionV>
            <wp:extent cx="603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-24765</wp:posOffset>
            </wp:positionV>
            <wp:extent cx="603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-7620</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The fair value is expected to recover as the bonds approach the maturity date.</w:t>
      </w:r>
    </w:p>
    <w:p>
      <w:pPr>
        <w:spacing w:after="0" w:line="176"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Sales of $9.3 and $11.8 million for 2021 and 2020, respectively, generated gross realized gains for the years ended December 31, as presented below:</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606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606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r>
      <w:tr>
        <w:trPr>
          <w:trHeight w:val="241"/>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920" w:type="dxa"/>
            <w:vAlign w:val="bottom"/>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FF0FC"/>
          </w:tcPr>
          <w:p>
            <w:pPr>
              <w:spacing w:after="0"/>
              <w:rPr>
                <w:sz w:val="20"/>
                <w:szCs w:val="20"/>
                <w:color w:val="auto"/>
              </w:rPr>
            </w:pPr>
          </w:p>
        </w:tc>
      </w:tr>
      <w:tr>
        <w:trPr>
          <w:trHeight w:val="23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81"/>
        </w:trPr>
        <w:tc>
          <w:tcPr>
            <w:tcW w:w="6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realized gains</w:t>
            </w: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Tax expense related to net realized gains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4930140</wp:posOffset>
            </wp:positionH>
            <wp:positionV relativeFrom="paragraph">
              <wp:posOffset>-205105</wp:posOffset>
            </wp:positionV>
            <wp:extent cx="1834515" cy="2057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834515" cy="205740"/>
                    </a:xfrm>
                    <a:prstGeom prst="rect">
                      <a:avLst/>
                    </a:prstGeom>
                    <a:noFill/>
                  </pic:spPr>
                </pic:pic>
              </a:graphicData>
            </a:graphic>
          </wp:anchor>
        </w:drawing>
      </w:r>
    </w:p>
    <w:p>
      <w:pPr>
        <w:spacing w:after="0" w:line="178"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net realized gain on sales and related tax expense is a reclassification out of accumulated other comprehensive income (loss). The net realized gain is included in net gain on sale of securities available-for-sale and the related tax expense is included in income taxes in the consolidated statements of income.</w:t>
      </w:r>
    </w:p>
    <w:p>
      <w:pPr>
        <w:spacing w:after="0" w:line="1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71" w:name="page72"/>
    <w:bookmarkEnd w:id="71"/>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35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debt securities at December 31, 2022, by contractual maturity, are shown below. Expected maturities will differ from contractual maturities because borrowers may have the right to call or prepay obligations with or without call or prepayment penalties.</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234"/>
        </w:trPr>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5"/>
        </w:trPr>
        <w:tc>
          <w:tcPr>
            <w:tcW w:w="5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Fair Value</w:t>
            </w:r>
          </w:p>
        </w:tc>
        <w:tc>
          <w:tcPr>
            <w:tcW w:w="80" w:type="dxa"/>
            <w:vAlign w:val="bottom"/>
          </w:tcPr>
          <w:p>
            <w:pPr>
              <w:spacing w:after="0"/>
              <w:rPr>
                <w:sz w:val="21"/>
                <w:szCs w:val="21"/>
                <w:color w:val="auto"/>
              </w:rPr>
            </w:pPr>
          </w:p>
        </w:tc>
      </w:tr>
      <w:tr>
        <w:trPr>
          <w:trHeight w:val="24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One year or less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20,283</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209,735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190,333</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105,681</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91,379</w:t>
            </w:r>
          </w:p>
        </w:tc>
        <w:tc>
          <w:tcPr>
            <w:tcW w:w="80" w:type="dxa"/>
            <w:vAlign w:val="bottom"/>
            <w:shd w:val="clear" w:color="auto" w:fill="CFF0FC"/>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80" w:type="dxa"/>
            <w:vAlign w:val="bottom"/>
          </w:tcPr>
          <w:p>
            <w:pPr>
              <w:spacing w:after="0"/>
              <w:rPr>
                <w:sz w:val="20"/>
                <w:szCs w:val="20"/>
                <w:color w:val="auto"/>
              </w:rPr>
            </w:pPr>
          </w:p>
        </w:tc>
      </w:tr>
      <w:tr>
        <w:trPr>
          <w:trHeight w:val="241"/>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338,118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303,862</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101,068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86,927</w:t>
            </w:r>
          </w:p>
        </w:tc>
        <w:tc>
          <w:tcPr>
            <w:tcW w:w="80" w:type="dxa"/>
            <w:vAlign w:val="bottom"/>
          </w:tcPr>
          <w:p>
            <w:pPr>
              <w:spacing w:after="0"/>
              <w:rPr>
                <w:sz w:val="20"/>
                <w:szCs w:val="20"/>
                <w:color w:val="auto"/>
              </w:rPr>
            </w:pPr>
          </w:p>
        </w:tc>
      </w:tr>
      <w:tr>
        <w:trPr>
          <w:trHeight w:val="281"/>
        </w:trPr>
        <w:tc>
          <w:tcPr>
            <w:tcW w:w="53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439,186</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390,789</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-24765</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Investments with a carrying value and fair value of $134.8 million at December 31, 2022 and $115.0 million at December 31, 2021 were pledged to secure public deposits and securities sold under repurchase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Loans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Company had $827 thousand in loans held for sale at December 31, 2022 as compared to $7.7 million in loans held for sale at December 31, 2021.</w:t>
      </w:r>
    </w:p>
    <w:p>
      <w:pPr>
        <w:spacing w:after="0" w:line="162"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Loans at December 31 are summarized below:</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2"/>
        </w:trPr>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940" w:type="dxa"/>
            <w:vAlign w:val="bottom"/>
          </w:tcPr>
          <w:p>
            <w:pPr>
              <w:spacing w:after="0"/>
              <w:rPr>
                <w:sz w:val="17"/>
                <w:szCs w:val="17"/>
                <w:color w:val="auto"/>
              </w:rPr>
            </w:pPr>
          </w:p>
        </w:tc>
        <w:tc>
          <w:tcPr>
            <w:tcW w:w="49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Loans:</w:t>
            </w:r>
          </w:p>
        </w:tc>
        <w:tc>
          <w:tcPr>
            <w:tcW w:w="300" w:type="dxa"/>
            <w:vAlign w:val="bottom"/>
          </w:tcPr>
          <w:p>
            <w:pPr>
              <w:spacing w:after="0"/>
              <w:rPr>
                <w:sz w:val="17"/>
                <w:szCs w:val="17"/>
                <w:color w:val="auto"/>
              </w:rPr>
            </w:pPr>
          </w:p>
        </w:tc>
        <w:tc>
          <w:tcPr>
            <w:tcW w:w="1040" w:type="dxa"/>
            <w:vAlign w:val="bottom"/>
          </w:tcPr>
          <w:p>
            <w:pPr>
              <w:jc w:val="right"/>
              <w:ind w:right="390"/>
              <w:spacing w:after="0" w:line="202" w:lineRule="exact"/>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ind w:right="370"/>
              <w:spacing w:after="0" w:line="202" w:lineRule="exact"/>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940" w:type="dxa"/>
            <w:vAlign w:val="bottom"/>
          </w:tcPr>
          <w:p>
            <w:pPr>
              <w:spacing w:after="0"/>
              <w:rPr>
                <w:sz w:val="20"/>
                <w:szCs w:val="20"/>
                <w:color w:val="auto"/>
              </w:rPr>
            </w:pPr>
          </w:p>
        </w:tc>
        <w:tc>
          <w:tcPr>
            <w:tcW w:w="4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Consumer Real Estate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494,423</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395,873</w:t>
            </w:r>
          </w:p>
        </w:tc>
        <w:tc>
          <w:tcPr>
            <w:tcW w:w="80" w:type="dxa"/>
            <w:vAlign w:val="bottom"/>
            <w:shd w:val="clear" w:color="auto" w:fill="CFF0FC"/>
          </w:tcPr>
          <w:p>
            <w:pPr>
              <w:spacing w:after="0"/>
              <w:rPr>
                <w:sz w:val="20"/>
                <w:szCs w:val="20"/>
                <w:color w:val="auto"/>
              </w:rPr>
            </w:pPr>
          </w:p>
        </w:tc>
      </w:tr>
      <w:tr>
        <w:trPr>
          <w:trHeight w:val="239"/>
        </w:trPr>
        <w:tc>
          <w:tcPr>
            <w:tcW w:w="940" w:type="dxa"/>
            <w:vAlign w:val="bottom"/>
          </w:tcPr>
          <w:p>
            <w:pPr>
              <w:spacing w:after="0"/>
              <w:rPr>
                <w:sz w:val="20"/>
                <w:szCs w:val="20"/>
                <w:color w:val="auto"/>
              </w:rPr>
            </w:pPr>
          </w:p>
        </w:tc>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Agricultural Real Estate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220,819</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198,343</w:t>
            </w:r>
          </w:p>
        </w:tc>
        <w:tc>
          <w:tcPr>
            <w:tcW w:w="80" w:type="dxa"/>
            <w:vAlign w:val="bottom"/>
          </w:tcPr>
          <w:p>
            <w:pPr>
              <w:spacing w:after="0"/>
              <w:rPr>
                <w:sz w:val="20"/>
                <w:szCs w:val="20"/>
                <w:color w:val="auto"/>
              </w:rPr>
            </w:pPr>
          </w:p>
        </w:tc>
      </w:tr>
      <w:tr>
        <w:trPr>
          <w:trHeight w:val="247"/>
        </w:trPr>
        <w:tc>
          <w:tcPr>
            <w:tcW w:w="940" w:type="dxa"/>
            <w:vAlign w:val="bottom"/>
          </w:tcPr>
          <w:p>
            <w:pPr>
              <w:spacing w:after="0"/>
              <w:rPr>
                <w:sz w:val="21"/>
                <w:szCs w:val="21"/>
                <w:color w:val="auto"/>
              </w:rPr>
            </w:pPr>
          </w:p>
        </w:tc>
        <w:tc>
          <w:tcPr>
            <w:tcW w:w="4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Agricultural</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128,733</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118,368</w:t>
            </w:r>
          </w:p>
        </w:tc>
        <w:tc>
          <w:tcPr>
            <w:tcW w:w="80" w:type="dxa"/>
            <w:vAlign w:val="bottom"/>
            <w:shd w:val="clear" w:color="auto" w:fill="CFF0FC"/>
          </w:tcPr>
          <w:p>
            <w:pPr>
              <w:spacing w:after="0"/>
              <w:rPr>
                <w:sz w:val="21"/>
                <w:szCs w:val="21"/>
                <w:color w:val="auto"/>
              </w:rPr>
            </w:pPr>
          </w:p>
        </w:tc>
      </w:tr>
      <w:tr>
        <w:trPr>
          <w:trHeight w:val="239"/>
        </w:trPr>
        <w:tc>
          <w:tcPr>
            <w:tcW w:w="940" w:type="dxa"/>
            <w:vAlign w:val="bottom"/>
          </w:tcPr>
          <w:p>
            <w:pPr>
              <w:spacing w:after="0"/>
              <w:rPr>
                <w:sz w:val="20"/>
                <w:szCs w:val="20"/>
                <w:color w:val="auto"/>
              </w:rPr>
            </w:pPr>
          </w:p>
        </w:tc>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1,152,603</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848,477</w:t>
            </w:r>
          </w:p>
        </w:tc>
        <w:tc>
          <w:tcPr>
            <w:tcW w:w="80" w:type="dxa"/>
            <w:vAlign w:val="bottom"/>
          </w:tcPr>
          <w:p>
            <w:pPr>
              <w:spacing w:after="0"/>
              <w:rPr>
                <w:sz w:val="20"/>
                <w:szCs w:val="20"/>
                <w:color w:val="auto"/>
              </w:rPr>
            </w:pPr>
          </w:p>
        </w:tc>
      </w:tr>
      <w:tr>
        <w:trPr>
          <w:trHeight w:val="247"/>
        </w:trPr>
        <w:tc>
          <w:tcPr>
            <w:tcW w:w="940" w:type="dxa"/>
            <w:vAlign w:val="bottom"/>
          </w:tcPr>
          <w:p>
            <w:pPr>
              <w:spacing w:after="0"/>
              <w:rPr>
                <w:sz w:val="21"/>
                <w:szCs w:val="21"/>
                <w:color w:val="auto"/>
              </w:rPr>
            </w:pPr>
          </w:p>
        </w:tc>
        <w:tc>
          <w:tcPr>
            <w:tcW w:w="4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242,360</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208,270</w:t>
            </w:r>
          </w:p>
        </w:tc>
        <w:tc>
          <w:tcPr>
            <w:tcW w:w="80" w:type="dxa"/>
            <w:vAlign w:val="bottom"/>
            <w:shd w:val="clear" w:color="auto" w:fill="CFF0FC"/>
          </w:tcPr>
          <w:p>
            <w:pPr>
              <w:spacing w:after="0"/>
              <w:rPr>
                <w:sz w:val="21"/>
                <w:szCs w:val="21"/>
                <w:color w:val="auto"/>
              </w:rPr>
            </w:pPr>
          </w:p>
        </w:tc>
      </w:tr>
      <w:tr>
        <w:trPr>
          <w:trHeight w:val="239"/>
        </w:trPr>
        <w:tc>
          <w:tcPr>
            <w:tcW w:w="940" w:type="dxa"/>
            <w:vAlign w:val="bottom"/>
          </w:tcPr>
          <w:p>
            <w:pPr>
              <w:spacing w:after="0"/>
              <w:rPr>
                <w:sz w:val="20"/>
                <w:szCs w:val="20"/>
                <w:color w:val="auto"/>
              </w:rPr>
            </w:pPr>
          </w:p>
        </w:tc>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89,147</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57,737</w:t>
            </w:r>
          </w:p>
        </w:tc>
        <w:tc>
          <w:tcPr>
            <w:tcW w:w="80" w:type="dxa"/>
            <w:vAlign w:val="bottom"/>
          </w:tcPr>
          <w:p>
            <w:pPr>
              <w:spacing w:after="0"/>
              <w:rPr>
                <w:sz w:val="20"/>
                <w:szCs w:val="20"/>
                <w:color w:val="auto"/>
              </w:rPr>
            </w:pPr>
          </w:p>
        </w:tc>
      </w:tr>
      <w:tr>
        <w:trPr>
          <w:trHeight w:val="247"/>
        </w:trPr>
        <w:tc>
          <w:tcPr>
            <w:tcW w:w="940" w:type="dxa"/>
            <w:vAlign w:val="bottom"/>
          </w:tcPr>
          <w:p>
            <w:pPr>
              <w:spacing w:after="0"/>
              <w:rPr>
                <w:sz w:val="21"/>
                <w:szCs w:val="21"/>
                <w:color w:val="auto"/>
              </w:rPr>
            </w:pPr>
          </w:p>
        </w:tc>
        <w:tc>
          <w:tcPr>
            <w:tcW w:w="4900" w:type="dxa"/>
            <w:vAlign w:val="bottom"/>
            <w:tcBorders>
              <w:bottom w:val="single" w:sz="8" w:color="CFF0FC"/>
            </w:tcBorders>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29,818</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28"/>
        </w:trPr>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2,357,903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1,859,157</w:t>
            </w:r>
          </w:p>
        </w:tc>
        <w:tc>
          <w:tcPr>
            <w:tcW w:w="80" w:type="dxa"/>
            <w:vAlign w:val="bottom"/>
          </w:tcPr>
          <w:p>
            <w:pPr>
              <w:spacing w:after="0"/>
              <w:rPr>
                <w:sz w:val="19"/>
                <w:szCs w:val="19"/>
                <w:color w:val="auto"/>
              </w:rPr>
            </w:pPr>
          </w:p>
        </w:tc>
      </w:tr>
      <w:tr>
        <w:trPr>
          <w:trHeight w:val="252"/>
        </w:trPr>
        <w:tc>
          <w:tcPr>
            <w:tcW w:w="940" w:type="dxa"/>
            <w:vAlign w:val="bottom"/>
          </w:tcPr>
          <w:p>
            <w:pPr>
              <w:spacing w:after="0"/>
              <w:rPr>
                <w:sz w:val="21"/>
                <w:szCs w:val="21"/>
                <w:color w:val="auto"/>
              </w:rPr>
            </w:pPr>
          </w:p>
        </w:tc>
        <w:tc>
          <w:tcPr>
            <w:tcW w:w="4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Net deferred loan fees and costs</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(1,516 )</w:t>
            </w:r>
          </w:p>
        </w:tc>
        <w:tc>
          <w:tcPr>
            <w:tcW w:w="4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(1,738 )</w:t>
            </w:r>
          </w:p>
        </w:tc>
      </w:tr>
      <w:tr>
        <w:trPr>
          <w:trHeight w:val="228"/>
        </w:trPr>
        <w:tc>
          <w:tcPr>
            <w:tcW w:w="940" w:type="dxa"/>
            <w:vAlign w:val="bottom"/>
          </w:tcPr>
          <w:p>
            <w:pPr>
              <w:spacing w:after="0"/>
              <w:rPr>
                <w:sz w:val="19"/>
                <w:szCs w:val="19"/>
                <w:color w:val="auto"/>
              </w:rPr>
            </w:pPr>
          </w:p>
        </w:tc>
        <w:tc>
          <w:tcPr>
            <w:tcW w:w="500" w:type="dxa"/>
            <w:vAlign w:val="bottom"/>
            <w:tcBorders>
              <w:top w:val="single" w:sz="8" w:color="CFF0FC"/>
            </w:tcBorders>
          </w:tcPr>
          <w:p>
            <w:pPr>
              <w:spacing w:after="0"/>
              <w:rPr>
                <w:sz w:val="19"/>
                <w:szCs w:val="19"/>
                <w:color w:val="auto"/>
              </w:rPr>
            </w:pPr>
          </w:p>
        </w:tc>
        <w:tc>
          <w:tcPr>
            <w:tcW w:w="440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2,356,387</w:t>
            </w:r>
          </w:p>
        </w:tc>
        <w:tc>
          <w:tcPr>
            <w:tcW w:w="24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1,857,419</w:t>
            </w:r>
          </w:p>
        </w:tc>
        <w:tc>
          <w:tcPr>
            <w:tcW w:w="80" w:type="dxa"/>
            <w:vAlign w:val="bottom"/>
            <w:tcBorders>
              <w:top w:val="single" w:sz="8" w:color="CFF0FC"/>
            </w:tcBorders>
          </w:tcPr>
          <w:p>
            <w:pPr>
              <w:spacing w:after="0"/>
              <w:rPr>
                <w:sz w:val="19"/>
                <w:szCs w:val="19"/>
                <w:color w:val="auto"/>
              </w:rPr>
            </w:pPr>
          </w:p>
        </w:tc>
      </w:tr>
      <w:tr>
        <w:trPr>
          <w:trHeight w:val="252"/>
        </w:trPr>
        <w:tc>
          <w:tcPr>
            <w:tcW w:w="940" w:type="dxa"/>
            <w:vAlign w:val="bottom"/>
          </w:tcPr>
          <w:p>
            <w:pPr>
              <w:spacing w:after="0"/>
              <w:rPr>
                <w:sz w:val="21"/>
                <w:szCs w:val="21"/>
                <w:color w:val="auto"/>
              </w:rPr>
            </w:pPr>
          </w:p>
        </w:tc>
        <w:tc>
          <w:tcPr>
            <w:tcW w:w="490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(20,313 )</w:t>
            </w:r>
          </w:p>
        </w:tc>
        <w:tc>
          <w:tcPr>
            <w:tcW w:w="4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(16,242 )</w:t>
            </w:r>
          </w:p>
        </w:tc>
      </w:tr>
      <w:tr>
        <w:trPr>
          <w:trHeight w:val="237"/>
        </w:trPr>
        <w:tc>
          <w:tcPr>
            <w:tcW w:w="940" w:type="dxa"/>
            <w:vAlign w:val="bottom"/>
          </w:tcPr>
          <w:p>
            <w:pPr>
              <w:spacing w:after="0"/>
              <w:rPr>
                <w:sz w:val="20"/>
                <w:szCs w:val="20"/>
                <w:color w:val="auto"/>
              </w:rPr>
            </w:pPr>
          </w:p>
        </w:tc>
        <w:tc>
          <w:tcPr>
            <w:tcW w:w="4900" w:type="dxa"/>
            <w:vAlign w:val="bottom"/>
            <w:tcBorders>
              <w:top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Loans -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2,336,074</w:t>
            </w:r>
          </w:p>
        </w:tc>
        <w:tc>
          <w:tcPr>
            <w:tcW w:w="24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1,841,177</w:t>
            </w:r>
          </w:p>
        </w:tc>
        <w:tc>
          <w:tcPr>
            <w:tcW w:w="80" w:type="dxa"/>
            <w:vAlign w:val="bottom"/>
            <w:tcBorders>
              <w:top w:val="single" w:sz="8" w:color="CFF0FC"/>
            </w:tcBorders>
          </w:tcPr>
          <w:p>
            <w:pPr>
              <w:spacing w:after="0"/>
              <w:rPr>
                <w:sz w:val="20"/>
                <w:szCs w:val="20"/>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-822325</wp:posOffset>
            </wp:positionV>
            <wp:extent cx="51435" cy="16256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-822325</wp:posOffset>
            </wp:positionV>
            <wp:extent cx="43180" cy="1625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-505460</wp:posOffset>
            </wp:positionV>
            <wp:extent cx="51435" cy="1631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1631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-187960</wp:posOffset>
            </wp:positionV>
            <wp:extent cx="51435" cy="1885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Following are the characteristics and underwriting criteria for each major type of loan the Bank offers:</w:t>
      </w:r>
    </w:p>
    <w:p>
      <w:pPr>
        <w:spacing w:after="0" w:line="22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62"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2" w:name="page73"/>
    <w:bookmarkEnd w:id="72"/>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farmer’s ability to hedge their position by the use of the future contracts. The risk related to weather is often mitigated by requiring crop insurance.</w:t>
      </w:r>
    </w:p>
    <w:p>
      <w:pPr>
        <w:spacing w:after="0" w:line="16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80"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 During 2022, the remaining PPP balances were forgiven and consequently paid off. Included in commercial loans for 2021 are $2.9 million of Paycheck Protection Program (PPP) loans, administered by the Small Business Administration (SBA). The PPP provided loans to eligible business through financial institutions like the Bank, with loans being eligible for forgiveness of some or all of the principal amount by the SBA if the borrower meets certain requirements. The SBA guarantees repayment of the loans to the Bank if the borrower’s loan is not forgiven and is then not repaid by the customer. Therefore, there is no allowance for loan losses related to these loans.</w:t>
      </w:r>
    </w:p>
    <w:p>
      <w:pPr>
        <w:spacing w:after="0" w:line="18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Consumer: Funding for individual and family purposes. Success in repayment is subject to borrower’s income, debt level, character in fulfilling payment obligations, employment, and other factors.</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Other: Primarily funds public improvements in the Bank’s service area. Repayment ability is based on the continuance of the taxation revenue as the source of repayment.</w:t>
      </w:r>
    </w:p>
    <w:p>
      <w:pPr>
        <w:spacing w:after="0" w:line="2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maturity schedule by major category of loans excluding fair value adjustments at December 31,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4"/>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After One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8"/>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Within</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Year Within</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After</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0"/>
        </w:trPr>
        <w:tc>
          <w:tcPr>
            <w:tcW w:w="58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One Year</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6"/>
              </w:rPr>
              <w:t>Five Years</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Five Years</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8,890</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456,556</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500,407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214,297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59,119</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47,113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128,776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336,890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789,304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1,152,864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81,552</w:t>
            </w: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108,729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52,715</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242,996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40,357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89,498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28,375</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583,080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1,604,148</w:t>
            </w:r>
          </w:p>
        </w:tc>
        <w:tc>
          <w:tcPr>
            <w:tcW w:w="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2,366,308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33"/>
        </w:trPr>
        <w:tc>
          <w:tcPr>
            <w:tcW w:w="58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2"/>
        </w:trPr>
        <w:tc>
          <w:tcPr>
            <w:tcW w:w="580" w:type="dxa"/>
            <w:vAlign w:val="bottom"/>
            <w:tcBorders>
              <w:bottom w:val="single" w:sz="8" w:color="9A9A9A"/>
            </w:tcBorders>
          </w:tcPr>
          <w:p>
            <w:pPr>
              <w:spacing w:after="0"/>
              <w:rPr>
                <w:sz w:val="8"/>
                <w:szCs w:val="8"/>
                <w:color w:val="auto"/>
              </w:rPr>
            </w:pPr>
          </w:p>
        </w:tc>
        <w:tc>
          <w:tcPr>
            <w:tcW w:w="46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-676910</wp:posOffset>
            </wp:positionV>
            <wp:extent cx="68580" cy="1885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-676910</wp:posOffset>
            </wp:positionV>
            <wp:extent cx="60325" cy="1885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-676910</wp:posOffset>
            </wp:positionV>
            <wp:extent cx="59690" cy="1885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-676910</wp:posOffset>
            </wp:positionV>
            <wp:extent cx="60325" cy="18859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4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distribution of fixed rate loans and variable rate loans by major loan category is as follows as of December 31, 2022:</w:t>
      </w:r>
    </w:p>
    <w:p>
      <w:pPr>
        <w:spacing w:after="0" w:line="239" w:lineRule="exact"/>
        <w:rPr>
          <w:sz w:val="20"/>
          <w:szCs w:val="20"/>
          <w:color w:val="auto"/>
        </w:rPr>
      </w:pPr>
    </w:p>
    <w:tbl>
      <w:tblPr>
        <w:tblLayout w:type="fixed"/>
        <w:tblInd w:w="168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234"/>
        </w:trPr>
        <w:tc>
          <w:tcPr>
            <w:tcW w:w="4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Fixed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Variable</w:t>
            </w:r>
          </w:p>
        </w:tc>
        <w:tc>
          <w:tcPr>
            <w:tcW w:w="80" w:type="dxa"/>
            <w:vAlign w:val="bottom"/>
          </w:tcPr>
          <w:p>
            <w:pPr>
              <w:spacing w:after="0"/>
              <w:rPr>
                <w:sz w:val="20"/>
                <w:szCs w:val="20"/>
                <w:color w:val="auto"/>
              </w:rPr>
            </w:pPr>
          </w:p>
        </w:tc>
      </w:tr>
      <w:tr>
        <w:trPr>
          <w:trHeight w:val="245"/>
        </w:trPr>
        <w:tc>
          <w:tcPr>
            <w:tcW w:w="49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Rate</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Rate</w:t>
            </w:r>
          </w:p>
        </w:tc>
        <w:tc>
          <w:tcPr>
            <w:tcW w:w="80" w:type="dxa"/>
            <w:vAlign w:val="bottom"/>
          </w:tcPr>
          <w:p>
            <w:pPr>
              <w:spacing w:after="0"/>
              <w:rPr>
                <w:sz w:val="21"/>
                <w:szCs w:val="21"/>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354,420</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140,003</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76,117</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Agricultural</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52,867</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75,866</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941,927</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210,676</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130,513</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111,847</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9,789</w:t>
            </w:r>
          </w:p>
        </w:tc>
        <w:tc>
          <w:tcPr>
            <w:tcW w:w="8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auto"/>
        </w:rPr>
        <w:t>Other loans are included in the commercial and industrial category for the remainder of the tables in this Note 4, unless specifically noted separately.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74" w:name="page75"/>
    <w:bookmarkEnd w:id="74"/>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represents the contractual aging of the recorded investment in past due loans by portfolio classification of loans as of</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December 31, 2022 and 2021, net of deferred loan fees and costs: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Recorded</w:t>
            </w: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Investme</w:t>
            </w: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30-59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60-89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Greater</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Financing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nt &gt; 90</w:t>
            </w: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Days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Days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Than</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Receivable</w:t>
            </w:r>
          </w:p>
        </w:tc>
        <w:tc>
          <w:tcPr>
            <w:tcW w:w="2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Days and</w:t>
            </w:r>
          </w:p>
        </w:tc>
        <w:tc>
          <w:tcPr>
            <w:tcW w:w="100" w:type="dxa"/>
            <w:vAlign w:val="bottom"/>
          </w:tcPr>
          <w:p>
            <w:pPr>
              <w:spacing w:after="0"/>
              <w:rPr>
                <w:sz w:val="18"/>
                <w:szCs w:val="18"/>
                <w:color w:val="auto"/>
              </w:rPr>
            </w:pPr>
          </w:p>
        </w:tc>
      </w:tr>
      <w:tr>
        <w:trPr>
          <w:trHeight w:val="24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20" w:type="dxa"/>
            <w:vAlign w:val="bottom"/>
          </w:tcPr>
          <w:p>
            <w:pPr>
              <w:spacing w:after="0"/>
              <w:rPr>
                <w:sz w:val="21"/>
                <w:szCs w:val="21"/>
                <w:color w:val="auto"/>
              </w:rPr>
            </w:pPr>
          </w:p>
        </w:tc>
        <w:tc>
          <w:tcPr>
            <w:tcW w:w="8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Past Due</w:t>
            </w:r>
          </w:p>
        </w:tc>
        <w:tc>
          <w:tcPr>
            <w:tcW w:w="220" w:type="dxa"/>
            <w:vAlign w:val="bottom"/>
          </w:tcPr>
          <w:p>
            <w:pPr>
              <w:spacing w:after="0"/>
              <w:rPr>
                <w:sz w:val="21"/>
                <w:szCs w:val="21"/>
                <w:color w:val="auto"/>
              </w:rPr>
            </w:pPr>
          </w:p>
        </w:tc>
        <w:tc>
          <w:tcPr>
            <w:tcW w:w="8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Past Due</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 Days</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Past Due</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s</w:t>
            </w:r>
          </w:p>
        </w:tc>
        <w:tc>
          <w:tcPr>
            <w:tcW w:w="200" w:type="dxa"/>
            <w:vAlign w:val="bottom"/>
          </w:tcPr>
          <w:p>
            <w:pPr>
              <w:spacing w:after="0"/>
              <w:rPr>
                <w:sz w:val="21"/>
                <w:szCs w:val="21"/>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Accruing</w:t>
            </w:r>
          </w:p>
        </w:tc>
        <w:tc>
          <w:tcPr>
            <w:tcW w:w="100" w:type="dxa"/>
            <w:vAlign w:val="bottom"/>
          </w:tcPr>
          <w:p>
            <w:pPr>
              <w:spacing w:after="0"/>
              <w:rPr>
                <w:sz w:val="21"/>
                <w:szCs w:val="21"/>
                <w:color w:val="auto"/>
              </w:rPr>
            </w:pPr>
          </w:p>
        </w:tc>
      </w:tr>
      <w:tr>
        <w:trPr>
          <w:trHeight w:val="23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1,536</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635</w:t>
            </w:r>
          </w:p>
        </w:tc>
        <w:tc>
          <w:tcPr>
            <w:tcW w:w="2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2,261</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492,162</w:t>
            </w:r>
          </w:p>
        </w:tc>
        <w:tc>
          <w:tcPr>
            <w:tcW w:w="1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494,423</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218,844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220,514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128,341</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128,926</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1,150,257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1,150,511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953</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1,135</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270,984</w:t>
            </w: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272,119</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89,774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89,894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7"/>
        </w:trPr>
        <w:tc>
          <w:tcPr>
            <w:tcW w:w="4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3,197</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w:t>
            </w:r>
          </w:p>
        </w:tc>
        <w:tc>
          <w:tcPr>
            <w:tcW w:w="16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6,025</w:t>
            </w:r>
          </w:p>
        </w:tc>
        <w:tc>
          <w:tcPr>
            <w:tcW w:w="14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w w:val="99"/>
              </w:rPr>
              <w:t>2,350,362</w:t>
            </w:r>
          </w:p>
        </w:tc>
        <w:tc>
          <w:tcPr>
            <w:tcW w:w="18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$ 2,356,387</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12"/>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Recorded</w:t>
            </w:r>
          </w:p>
        </w:tc>
        <w:tc>
          <w:tcPr>
            <w:tcW w:w="100" w:type="dxa"/>
            <w:vAlign w:val="bottom"/>
          </w:tcPr>
          <w:p>
            <w:pPr>
              <w:spacing w:after="0"/>
              <w:rPr>
                <w:sz w:val="24"/>
                <w:szCs w:val="24"/>
                <w:color w:val="auto"/>
              </w:rPr>
            </w:pPr>
          </w:p>
        </w:tc>
      </w:tr>
      <w:tr>
        <w:trPr>
          <w:trHeight w:val="216"/>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Investme</w:t>
            </w: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30-59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60-89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Greater</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nt &gt; 90</w:t>
            </w:r>
          </w:p>
        </w:tc>
        <w:tc>
          <w:tcPr>
            <w:tcW w:w="100" w:type="dxa"/>
            <w:vAlign w:val="bottom"/>
          </w:tcPr>
          <w:p>
            <w:pPr>
              <w:spacing w:after="0"/>
              <w:rPr>
                <w:sz w:val="18"/>
                <w:szCs w:val="18"/>
                <w:color w:val="auto"/>
              </w:rPr>
            </w:pPr>
          </w:p>
        </w:tc>
      </w:tr>
      <w:tr>
        <w:trPr>
          <w:trHeight w:val="216"/>
        </w:trPr>
        <w:tc>
          <w:tcPr>
            <w:tcW w:w="4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Days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Days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Than</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4"/>
              </w:rPr>
              <w:t>Total</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Financing</w:t>
            </w:r>
          </w:p>
        </w:tc>
        <w:tc>
          <w:tcPr>
            <w:tcW w:w="2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Days and</w:t>
            </w:r>
          </w:p>
        </w:tc>
        <w:tc>
          <w:tcPr>
            <w:tcW w:w="100" w:type="dxa"/>
            <w:vAlign w:val="bottom"/>
          </w:tcPr>
          <w:p>
            <w:pPr>
              <w:spacing w:after="0"/>
              <w:rPr>
                <w:sz w:val="18"/>
                <w:szCs w:val="18"/>
                <w:color w:val="auto"/>
              </w:rPr>
            </w:pPr>
          </w:p>
        </w:tc>
      </w:tr>
      <w:tr>
        <w:trPr>
          <w:trHeight w:val="248"/>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20" w:type="dxa"/>
            <w:vAlign w:val="bottom"/>
          </w:tcPr>
          <w:p>
            <w:pPr>
              <w:spacing w:after="0"/>
              <w:rPr>
                <w:sz w:val="21"/>
                <w:szCs w:val="21"/>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Past Due</w:t>
            </w:r>
          </w:p>
        </w:tc>
        <w:tc>
          <w:tcPr>
            <w:tcW w:w="220" w:type="dxa"/>
            <w:vAlign w:val="bottom"/>
          </w:tcPr>
          <w:p>
            <w:pPr>
              <w:spacing w:after="0"/>
              <w:rPr>
                <w:sz w:val="21"/>
                <w:szCs w:val="21"/>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Past Due</w:t>
            </w: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90 Days</w:t>
            </w: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Past Due</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Current</w:t>
            </w:r>
          </w:p>
        </w:tc>
        <w:tc>
          <w:tcPr>
            <w:tcW w:w="180" w:type="dxa"/>
            <w:vAlign w:val="bottom"/>
          </w:tcPr>
          <w:p>
            <w:pPr>
              <w:spacing w:after="0"/>
              <w:rPr>
                <w:sz w:val="21"/>
                <w:szCs w:val="21"/>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Receivables</w:t>
            </w:r>
          </w:p>
        </w:tc>
        <w:tc>
          <w:tcPr>
            <w:tcW w:w="200" w:type="dxa"/>
            <w:vAlign w:val="bottom"/>
          </w:tcPr>
          <w:p>
            <w:pPr>
              <w:spacing w:after="0"/>
              <w:rPr>
                <w:sz w:val="21"/>
                <w:szCs w:val="21"/>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Accruing</w:t>
            </w:r>
          </w:p>
        </w:tc>
        <w:tc>
          <w:tcPr>
            <w:tcW w:w="100" w:type="dxa"/>
            <w:vAlign w:val="bottom"/>
          </w:tcPr>
          <w:p>
            <w:pPr>
              <w:spacing w:after="0"/>
              <w:rPr>
                <w:sz w:val="21"/>
                <w:szCs w:val="21"/>
                <w:color w:val="auto"/>
              </w:rPr>
            </w:pPr>
          </w:p>
        </w:tc>
      </w:tr>
      <w:tr>
        <w:trPr>
          <w:trHeight w:val="23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395,331</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395,805</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197,597</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118,504</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118,504</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846,930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847,110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4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239,837</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240,138</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57,829</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4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1,855,964</w:t>
            </w:r>
          </w:p>
        </w:tc>
        <w:tc>
          <w:tcPr>
            <w:tcW w:w="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$ 1,857,419</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3"/>
        </w:trPr>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-2485390</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-2468245</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-2485390</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-2468245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-2485390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-2468245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-2485390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-2468245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-2485390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-2468245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-2485390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-2468245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-2468245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-522605</wp:posOffset>
            </wp:positionV>
            <wp:extent cx="774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-505460</wp:posOffset>
            </wp:positionV>
            <wp:extent cx="774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-522605</wp:posOffset>
            </wp:positionV>
            <wp:extent cx="774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-505460</wp:posOffset>
            </wp:positionV>
            <wp:extent cx="774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-522605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-505460</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-522605</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-505460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-522605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-505460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-522605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6451600</wp:posOffset>
            </wp:positionH>
            <wp:positionV relativeFrom="paragraph">
              <wp:posOffset>-505460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-522605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recorded investment in nonaccrual loans by portfolio class of loans as of December 31, 2022 and December 31, 2021:</w:t>
      </w:r>
    </w:p>
    <w:p>
      <w:pPr>
        <w:spacing w:after="0" w:line="175" w:lineRule="exact"/>
        <w:rPr>
          <w:sz w:val="20"/>
          <w:szCs w:val="20"/>
          <w:color w:val="auto"/>
        </w:rPr>
      </w:pPr>
    </w:p>
    <w:tbl>
      <w:tblPr>
        <w:tblLayout w:type="fixed"/>
        <w:tblInd w:w="1680" w:type="dxa"/>
        <w:tblCellMar>
          <w:top w:w="0" w:type="dxa"/>
          <w:left w:w="0" w:type="dxa"/>
          <w:bottom w:w="0" w:type="dxa"/>
          <w:right w:w="0" w:type="dxa"/>
        </w:tblCellMar>
      </w:tblPr>
      <w:tr>
        <w:trPr>
          <w:trHeight w:val="241"/>
        </w:trPr>
        <w:tc>
          <w:tcPr>
            <w:tcW w:w="49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 Thousands)</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494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20"/>
                <w:szCs w:val="20"/>
                <w:color w:val="auto"/>
              </w:rPr>
            </w:pPr>
          </w:p>
        </w:tc>
      </w:tr>
      <w:tr>
        <w:trPr>
          <w:trHeight w:val="241"/>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Consumer Real Estate</w:t>
            </w:r>
          </w:p>
        </w:tc>
        <w:tc>
          <w:tcPr>
            <w:tcW w:w="860" w:type="dxa"/>
            <w:vAlign w:val="bottom"/>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FF0FC"/>
          </w:tcPr>
          <w:p>
            <w:pPr>
              <w:spacing w:after="0"/>
              <w:rPr>
                <w:sz w:val="20"/>
                <w:szCs w:val="20"/>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Real Estate</w:t>
            </w: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6,477</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Agriculture</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8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Pr>
          <w:p>
            <w:pPr>
              <w:spacing w:after="0"/>
              <w:rPr>
                <w:sz w:val="20"/>
                <w:szCs w:val="20"/>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and Industrial</w:t>
            </w:r>
          </w:p>
        </w:tc>
        <w:tc>
          <w:tcPr>
            <w:tcW w:w="8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r>
      <w:tr>
        <w:trPr>
          <w:trHeight w:val="277"/>
        </w:trPr>
        <w:tc>
          <w:tcPr>
            <w:tcW w:w="4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26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5033010</wp:posOffset>
            </wp:positionH>
            <wp:positionV relativeFrom="paragraph">
              <wp:posOffset>-24765</wp:posOffset>
            </wp:positionV>
            <wp:extent cx="514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5033010</wp:posOffset>
            </wp:positionH>
            <wp:positionV relativeFrom="paragraph">
              <wp:posOffset>-7620</wp:posOffset>
            </wp:positionV>
            <wp:extent cx="5143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-24765</wp:posOffset>
            </wp:positionV>
            <wp:extent cx="431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6010275</wp:posOffset>
            </wp:positionH>
            <wp:positionV relativeFrom="paragraph">
              <wp:posOffset>-7620</wp:posOffset>
            </wp:positionV>
            <wp:extent cx="431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Bank uses a nine tier risk rating system to grade its loans. The grade of a loan may change during the life of the loan.</w:t>
      </w:r>
    </w:p>
    <w:p>
      <w:pPr>
        <w:spacing w:after="0" w:line="2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risk ratings are described as follows.</w:t>
      </w:r>
    </w:p>
    <w:p>
      <w:pPr>
        <w:spacing w:after="0" w:line="117" w:lineRule="exact"/>
        <w:rPr>
          <w:sz w:val="20"/>
          <w:szCs w:val="20"/>
          <w:color w:val="auto"/>
        </w:rPr>
      </w:pPr>
    </w:p>
    <w:p>
      <w:pPr>
        <w:ind w:left="1620" w:hanging="509"/>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 (0) Unclassified. Any loan which has not been assigned a classification.</w:t>
      </w:r>
    </w:p>
    <w:p>
      <w:pPr>
        <w:spacing w:after="0" w:line="117" w:lineRule="exact"/>
        <w:rPr>
          <w:rFonts w:ascii="Times New Roman" w:cs="Times New Roman" w:eastAsia="Times New Roman" w:hAnsi="Times New Roman"/>
          <w:sz w:val="18"/>
          <w:szCs w:val="18"/>
          <w:color w:val="auto"/>
        </w:rPr>
      </w:pPr>
    </w:p>
    <w:p>
      <w:pPr>
        <w:jc w:val="both"/>
        <w:ind w:left="1620" w:hanging="509"/>
        <w:spacing w:after="0" w:line="255"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Excellent. Credit to premier customers having the highest credit rating based on an extremely strong financial condition, which compares favorably with industry standards (upper quartile of RMA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rate is summarized by high liquidity, minimum risk, strong ratios, and low handling costs.</w:t>
      </w:r>
    </w:p>
    <w:p>
      <w:pPr>
        <w:spacing w:after="0" w:line="80" w:lineRule="exact"/>
        <w:rPr>
          <w:rFonts w:ascii="Times New Roman" w:cs="Times New Roman" w:eastAsia="Times New Roman" w:hAnsi="Times New Roman"/>
          <w:sz w:val="18"/>
          <w:szCs w:val="18"/>
          <w:color w:val="auto"/>
        </w:rPr>
      </w:pPr>
    </w:p>
    <w:p>
      <w:pPr>
        <w:jc w:val="both"/>
        <w:ind w:left="1620" w:hanging="509"/>
        <w:spacing w:after="0" w:line="261"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(2) Good. Desirable loans of somewhat less stature than rate 1, but with strong financial statements. Loan supported by financial statements containing strong balance sheets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71" w:lineRule="exact"/>
        <w:rPr>
          <w:rFonts w:ascii="Times New Roman" w:cs="Times New Roman" w:eastAsia="Times New Roman" w:hAnsi="Times New Roman"/>
          <w:sz w:val="18"/>
          <w:szCs w:val="18"/>
          <w:color w:val="auto"/>
        </w:rPr>
      </w:pPr>
    </w:p>
    <w:p>
      <w:pPr>
        <w:jc w:val="both"/>
        <w:ind w:left="1620" w:hanging="509"/>
        <w:spacing w:after="0" w:line="261"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(3) Satisfactory. Satisfactory loans of average or slightly above average risk – having some deficiency or vulnerability to changing economic conditions, but still fully collectible. Projects should normally demonstrate acceptable debt service coverage. There may be some weakness but with offsetting features of other support readily available. Loans that are meeting the terms of repayment.</w:t>
      </w:r>
    </w:p>
    <w:p>
      <w:pPr>
        <w:spacing w:after="0" w:line="71"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may be rated 3 when there is no recent information on which to base a current risk evaluation and the following conditions apply:</w:t>
      </w:r>
    </w:p>
    <w:p>
      <w:pPr>
        <w:spacing w:after="0" w:line="5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properly underwritten and did not possess an unwarranted level of credit risk;</w:t>
      </w:r>
    </w:p>
    <w:p>
      <w:pPr>
        <w:spacing w:after="0" w:line="11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inception, the loan was secured with collateral possessing a loan-to-value adequate to protect The Bank from loss;</w:t>
      </w:r>
    </w:p>
    <w:p>
      <w:pPr>
        <w:spacing w:after="0" w:line="11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exhibited two or more years of satisfactory repayment with a reasonable reduction of the principal balance;</w:t>
      </w:r>
    </w:p>
    <w:p>
      <w:pPr>
        <w:spacing w:after="0" w:line="117" w:lineRule="exact"/>
        <w:rPr>
          <w:rFonts w:ascii="Times New Roman" w:cs="Times New Roman" w:eastAsia="Times New Roman" w:hAnsi="Times New Roman"/>
          <w:sz w:val="18"/>
          <w:szCs w:val="18"/>
          <w:color w:val="auto"/>
        </w:rPr>
      </w:pPr>
    </w:p>
    <w:p>
      <w:pPr>
        <w:jc w:val="both"/>
        <w:ind w:left="2140" w:hanging="519"/>
        <w:spacing w:after="0" w:line="261" w:lineRule="auto"/>
        <w:tabs>
          <w:tab w:leader="none" w:pos="21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is observed, a lower risk rating is warranted.</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367" w:lineRule="exact"/>
        <w:rPr>
          <w:sz w:val="20"/>
          <w:szCs w:val="20"/>
          <w:color w:val="auto"/>
        </w:rPr>
      </w:pPr>
    </w:p>
    <w:p>
      <w:pPr>
        <w:jc w:val="both"/>
        <w:ind w:left="1620" w:hanging="509"/>
        <w:spacing w:after="0" w:line="261"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(4) Satisfactory / Monitored. A “4” (Satisfactory/Monitored) risk rating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71" w:lineRule="exact"/>
        <w:rPr>
          <w:rFonts w:ascii="Times New Roman" w:cs="Times New Roman" w:eastAsia="Times New Roman" w:hAnsi="Times New Roman"/>
          <w:sz w:val="18"/>
          <w:szCs w:val="18"/>
          <w:color w:val="auto"/>
        </w:rPr>
      </w:pPr>
    </w:p>
    <w:p>
      <w:pPr>
        <w:jc w:val="both"/>
        <w:ind w:left="1620" w:hanging="509"/>
        <w:spacing w:after="0" w:line="258"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Special Mention. Loans that possess some credit deficiency or potential weakness which deserve close attention, but which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75" w:lineRule="exact"/>
        <w:rPr>
          <w:rFonts w:ascii="Times New Roman" w:cs="Times New Roman" w:eastAsia="Times New Roman" w:hAnsi="Times New Roman"/>
          <w:sz w:val="18"/>
          <w:szCs w:val="18"/>
          <w:color w:val="auto"/>
        </w:rPr>
      </w:pPr>
    </w:p>
    <w:p>
      <w:pPr>
        <w:ind w:left="1620" w:hanging="509"/>
        <w:spacing w:after="0"/>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(6) Substandard. One or more of the following characteristics may be exhibited in loans classified substandard:</w:t>
      </w:r>
    </w:p>
    <w:p>
      <w:pPr>
        <w:spacing w:after="0" w:line="117" w:lineRule="exact"/>
        <w:rPr>
          <w:rFonts w:ascii="Times New Roman" w:cs="Times New Roman" w:eastAsia="Times New Roman" w:hAnsi="Times New Roman"/>
          <w:sz w:val="18"/>
          <w:szCs w:val="18"/>
          <w:color w:val="auto"/>
        </w:rPr>
      </w:pPr>
    </w:p>
    <w:p>
      <w:pPr>
        <w:jc w:val="both"/>
        <w:ind w:left="2140" w:hanging="519"/>
        <w:spacing w:after="0" w:line="266" w:lineRule="auto"/>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which possess a defined credit weakness and the likelihood that a loan will be paid from the primary source are uncertain. Financial deterioration is underway and very close attention is warranted to ensure that the loan is collected without loss.</w:t>
      </w:r>
    </w:p>
    <w:p>
      <w:pPr>
        <w:spacing w:after="0" w:line="6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inadequately protected by the current net worth and paying capacity of the borrower.</w:t>
      </w:r>
    </w:p>
    <w:p>
      <w:pPr>
        <w:spacing w:after="0" w:line="117" w:lineRule="exact"/>
        <w:rPr>
          <w:rFonts w:ascii="Times New Roman" w:cs="Times New Roman" w:eastAsia="Times New Roman" w:hAnsi="Times New Roman"/>
          <w:sz w:val="18"/>
          <w:szCs w:val="18"/>
          <w:color w:val="auto"/>
        </w:rPr>
      </w:pPr>
    </w:p>
    <w:p>
      <w:pPr>
        <w:ind w:left="2140" w:right="20" w:hanging="519"/>
        <w:spacing w:after="0" w:line="282" w:lineRule="auto"/>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weakened, and The Bank is forced to rely on a secondary source of repayment such as collateral liquidation or guarantees.</w:t>
      </w:r>
    </w:p>
    <w:p>
      <w:pPr>
        <w:spacing w:after="0" w:line="53"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characterized by the distinct possibility that The Bank will sustain some loss if deficiencies are not corrected.</w:t>
      </w:r>
    </w:p>
    <w:p>
      <w:pPr>
        <w:spacing w:after="0" w:line="11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courses of action are needed to maintain a high probability of repayment.</w:t>
      </w:r>
    </w:p>
    <w:p>
      <w:pPr>
        <w:spacing w:after="0" w:line="11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not generating enough cash flow to repay loan principal; however, continues to make interest payments.</w:t>
      </w:r>
    </w:p>
    <w:p>
      <w:pPr>
        <w:spacing w:after="0" w:line="11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forced into a subordinate position or unsecured collateral position due to flaws in documentation.</w:t>
      </w:r>
    </w:p>
    <w:p>
      <w:pPr>
        <w:spacing w:after="0" w:line="117" w:lineRule="exact"/>
        <w:rPr>
          <w:rFonts w:ascii="Times New Roman" w:cs="Times New Roman" w:eastAsia="Times New Roman" w:hAnsi="Times New Roman"/>
          <w:sz w:val="18"/>
          <w:szCs w:val="18"/>
          <w:color w:val="auto"/>
        </w:rPr>
      </w:pPr>
    </w:p>
    <w:p>
      <w:pPr>
        <w:ind w:left="2140" w:hanging="519"/>
        <w:spacing w:after="0" w:line="282" w:lineRule="auto"/>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been restructured so that payment schedules, terms and collateral represent concessions to the borrower when compared to the normal loan terms.</w:t>
      </w:r>
    </w:p>
    <w:p>
      <w:pPr>
        <w:spacing w:after="0" w:line="53"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 is seriously contemplating foreclosure or legal action due to the apparent deterioration in the loan</w:t>
      </w:r>
    </w:p>
    <w:p>
      <w:pPr>
        <w:spacing w:after="0" w:line="117" w:lineRule="exact"/>
        <w:rPr>
          <w:rFonts w:ascii="Times New Roman" w:cs="Times New Roman" w:eastAsia="Times New Roman" w:hAnsi="Times New Roman"/>
          <w:sz w:val="18"/>
          <w:szCs w:val="18"/>
          <w:color w:val="auto"/>
        </w:rPr>
      </w:pPr>
    </w:p>
    <w:p>
      <w:pPr>
        <w:ind w:left="2140" w:hanging="519"/>
        <w:spacing w:after="0"/>
        <w:tabs>
          <w:tab w:leader="none" w:pos="21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significant deterioration in the market conditions and the borrower is highly vulnerable to these conditions.</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367" w:lineRule="exact"/>
        <w:rPr>
          <w:sz w:val="20"/>
          <w:szCs w:val="20"/>
          <w:color w:val="auto"/>
        </w:rPr>
      </w:pPr>
    </w:p>
    <w:p>
      <w:pPr>
        <w:ind w:left="1620" w:hanging="509"/>
        <w:spacing w:after="0"/>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Seven (7) Doubtful. One or more of the following characteristics may be exhibited in loans classified Doubtful:</w:t>
      </w:r>
    </w:p>
    <w:p>
      <w:pPr>
        <w:spacing w:after="0" w:line="117" w:lineRule="exact"/>
        <w:rPr>
          <w:rFonts w:ascii="Times New Roman" w:cs="Times New Roman" w:eastAsia="Times New Roman" w:hAnsi="Times New Roman"/>
          <w:sz w:val="18"/>
          <w:szCs w:val="18"/>
          <w:color w:val="auto"/>
        </w:rPr>
      </w:pPr>
    </w:p>
    <w:p>
      <w:pPr>
        <w:ind w:left="2140" w:hanging="519"/>
        <w:spacing w:after="0" w:line="282" w:lineRule="auto"/>
        <w:tabs>
          <w:tab w:leader="none" w:pos="2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have all of the weaknesses of those classified as Substandard. Additionally, however, these weaknesses make collection or liquidation in full based on existing conditions improbable.</w:t>
      </w:r>
    </w:p>
    <w:p>
      <w:pPr>
        <w:spacing w:after="0" w:line="53" w:lineRule="exact"/>
        <w:rPr>
          <w:rFonts w:ascii="Times New Roman" w:cs="Times New Roman" w:eastAsia="Times New Roman" w:hAnsi="Times New Roman"/>
          <w:sz w:val="18"/>
          <w:szCs w:val="18"/>
          <w:color w:val="auto"/>
        </w:rPr>
      </w:pPr>
    </w:p>
    <w:p>
      <w:pPr>
        <w:ind w:left="2140" w:right="20" w:hanging="519"/>
        <w:spacing w:after="0" w:line="282" w:lineRule="auto"/>
        <w:tabs>
          <w:tab w:leader="none" w:pos="2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repayment is gone, and there is considerable doubt as to the quality of the secondary source of repayment.</w:t>
      </w:r>
    </w:p>
    <w:p>
      <w:pPr>
        <w:spacing w:after="0" w:line="53" w:lineRule="exact"/>
        <w:rPr>
          <w:rFonts w:ascii="Times New Roman" w:cs="Times New Roman" w:eastAsia="Times New Roman" w:hAnsi="Times New Roman"/>
          <w:sz w:val="18"/>
          <w:szCs w:val="18"/>
          <w:color w:val="auto"/>
        </w:rPr>
      </w:pPr>
    </w:p>
    <w:p>
      <w:pPr>
        <w:jc w:val="both"/>
        <w:ind w:left="2140" w:hanging="519"/>
        <w:spacing w:after="0" w:line="266" w:lineRule="auto"/>
        <w:tabs>
          <w:tab w:leader="none" w:pos="2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67" w:lineRule="exact"/>
        <w:rPr>
          <w:rFonts w:ascii="Times New Roman" w:cs="Times New Roman" w:eastAsia="Times New Roman" w:hAnsi="Times New Roman"/>
          <w:sz w:val="18"/>
          <w:szCs w:val="18"/>
          <w:color w:val="auto"/>
        </w:rPr>
      </w:pPr>
    </w:p>
    <w:p>
      <w:pPr>
        <w:jc w:val="both"/>
        <w:ind w:left="1620" w:hanging="509"/>
        <w:spacing w:after="0" w:line="266"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risk category of loans by portfolio class, net of deferred fees, based on the most recent analysis performed as of the time periods shown of December 31, 2022 and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Commercial 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120" w:type="dxa"/>
            <w:vAlign w:val="bottom"/>
          </w:tcPr>
          <w:p>
            <w:pPr>
              <w:spacing w:after="0"/>
              <w:rPr>
                <w:sz w:val="20"/>
                <w:szCs w:val="20"/>
                <w:color w:val="auto"/>
              </w:rPr>
            </w:pPr>
          </w:p>
        </w:tc>
        <w:tc>
          <w:tcPr>
            <w:tcW w:w="18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Agricultural Real Estate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Agricultural</w:t>
            </w:r>
          </w:p>
        </w:tc>
        <w:tc>
          <w:tcPr>
            <w:tcW w:w="260" w:type="dxa"/>
            <w:vAlign w:val="bottom"/>
          </w:tcPr>
          <w:p>
            <w:pPr>
              <w:spacing w:after="0"/>
              <w:rPr>
                <w:sz w:val="20"/>
                <w:szCs w:val="20"/>
                <w:color w:val="auto"/>
              </w:rPr>
            </w:pPr>
          </w:p>
        </w:tc>
        <w:tc>
          <w:tcPr>
            <w:tcW w:w="18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color w:val="auto"/>
              </w:rPr>
              <w:t>Industrial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41"/>
        </w:trPr>
        <w:tc>
          <w:tcPr>
            <w:tcW w:w="1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r>
      <w:tr>
        <w:trPr>
          <w:trHeight w:val="23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370,035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238,132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11,408</w:t>
            </w:r>
          </w:p>
        </w:tc>
        <w:tc>
          <w:tcPr>
            <w:tcW w:w="100" w:type="dxa"/>
            <w:vAlign w:val="bottom"/>
          </w:tcPr>
          <w:p>
            <w:pPr>
              <w:spacing w:after="0"/>
              <w:rPr>
                <w:sz w:val="20"/>
                <w:szCs w:val="20"/>
                <w:color w:val="auto"/>
              </w:rPr>
            </w:pPr>
          </w:p>
        </w:tc>
      </w:tr>
      <w:tr>
        <w:trPr>
          <w:trHeight w:val="247"/>
        </w:trPr>
        <w:tc>
          <w:tcPr>
            <w:tcW w:w="1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146,143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129,301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75,164</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737,745</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568,038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167,291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152,736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20,681</w:t>
            </w:r>
          </w:p>
        </w:tc>
        <w:tc>
          <w:tcPr>
            <w:tcW w:w="100" w:type="dxa"/>
            <w:vAlign w:val="bottom"/>
            <w:shd w:val="clear" w:color="auto" w:fill="CFF0FC"/>
          </w:tcPr>
          <w:p>
            <w:pPr>
              <w:spacing w:after="0"/>
              <w:rPr>
                <w:sz w:val="21"/>
                <w:szCs w:val="21"/>
                <w:color w:val="auto"/>
              </w:rPr>
            </w:pPr>
          </w:p>
        </w:tc>
      </w:tr>
      <w:tr>
        <w:trPr>
          <w:trHeight w:val="23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1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13,233</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24,262</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1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09"/>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220,514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198,033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128,926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118,504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847,110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242,301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208,049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29,818</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32,089</w:t>
            </w:r>
          </w:p>
        </w:tc>
        <w:tc>
          <w:tcPr>
            <w:tcW w:w="100" w:type="dxa"/>
            <w:vAlign w:val="bottom"/>
          </w:tcPr>
          <w:p>
            <w:pPr>
              <w:spacing w:after="0"/>
              <w:rPr>
                <w:sz w:val="20"/>
                <w:szCs w:val="20"/>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5"/>
        </w:trPr>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-822325</wp:posOffset>
            </wp:positionV>
            <wp:extent cx="76835" cy="3257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-822325</wp:posOffset>
            </wp:positionV>
            <wp:extent cx="76835" cy="3257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-822325</wp:posOffset>
            </wp:positionV>
            <wp:extent cx="76835" cy="3257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-822325</wp:posOffset>
            </wp:positionV>
            <wp:extent cx="77470" cy="3257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3257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-822325</wp:posOffset>
            </wp:positionV>
            <wp:extent cx="76835" cy="3257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-822325</wp:posOffset>
            </wp:positionV>
            <wp:extent cx="68580" cy="3257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-822325</wp:posOffset>
            </wp:positionV>
            <wp:extent cx="68580" cy="3257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-822325</wp:posOffset>
            </wp:positionV>
            <wp:extent cx="68580" cy="3257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-822325</wp:posOffset>
            </wp:positionV>
            <wp:extent cx="68580" cy="3257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3257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For consumer residential real estate, the Company also evaluates credit quality based on the aging status of the loan, which was previously stated, and by payment activity. The following tables present the recorded investment in those classes based on payment activity and assigned risk grading as of December 31, 2022 and December 31, 2021.</w:t>
      </w:r>
    </w:p>
    <w:p>
      <w:pPr>
        <w:spacing w:after="0" w:line="18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239"/>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Consumer Real Estate</w:t>
            </w:r>
          </w:p>
        </w:tc>
        <w:tc>
          <w:tcPr>
            <w:tcW w:w="80" w:type="dxa"/>
            <w:vAlign w:val="bottom"/>
          </w:tcPr>
          <w:p>
            <w:pPr>
              <w:spacing w:after="0"/>
              <w:rPr>
                <w:sz w:val="20"/>
                <w:szCs w:val="20"/>
                <w:color w:val="auto"/>
              </w:rPr>
            </w:pPr>
          </w:p>
        </w:tc>
      </w:tr>
      <w:tr>
        <w:trPr>
          <w:trHeight w:val="237"/>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41"/>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Grade</w:t>
            </w: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492,575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392,940</w:t>
            </w:r>
          </w:p>
        </w:tc>
        <w:tc>
          <w:tcPr>
            <w:tcW w:w="80" w:type="dxa"/>
            <w:vAlign w:val="bottom"/>
          </w:tcPr>
          <w:p>
            <w:pPr>
              <w:spacing w:after="0"/>
              <w:rPr>
                <w:sz w:val="20"/>
                <w:szCs w:val="20"/>
                <w:color w:val="auto"/>
              </w:rPr>
            </w:pPr>
          </w:p>
        </w:tc>
      </w:tr>
      <w:tr>
        <w:trPr>
          <w:trHeight w:val="247"/>
        </w:trPr>
        <w:tc>
          <w:tcPr>
            <w:tcW w:w="56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Special mention (5)</w:t>
            </w: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80" w:type="dxa"/>
            <w:vAlign w:val="bottom"/>
            <w:shd w:val="clear" w:color="auto" w:fill="CFF0FC"/>
          </w:tcPr>
          <w:p>
            <w:pPr>
              <w:spacing w:after="0"/>
              <w:rPr>
                <w:sz w:val="21"/>
                <w:szCs w:val="21"/>
                <w:color w:val="auto"/>
              </w:rPr>
            </w:pPr>
          </w:p>
        </w:tc>
      </w:tr>
      <w:tr>
        <w:trPr>
          <w:trHeight w:val="239"/>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Substandard (6)</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20"/>
                <w:szCs w:val="20"/>
                <w:color w:val="auto"/>
              </w:rPr>
            </w:pPr>
          </w:p>
        </w:tc>
      </w:tr>
      <w:tr>
        <w:trPr>
          <w:trHeight w:val="243"/>
        </w:trPr>
        <w:tc>
          <w:tcPr>
            <w:tcW w:w="5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Doubtful (7)</w:t>
            </w: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494,423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395,805</w:t>
            </w:r>
          </w:p>
        </w:tc>
        <w:tc>
          <w:tcPr>
            <w:tcW w:w="8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-187960</wp:posOffset>
            </wp:positionV>
            <wp:extent cx="43180" cy="18859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8"/>
          </w:tcPr>
          <w:p>
            <w:pPr>
              <w:ind w:left="34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26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color w:val="auto"/>
              </w:rPr>
              <w:t>Consumer - Credit Card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370"/>
              <w:spacing w:after="0"/>
              <w:rPr>
                <w:sz w:val="20"/>
                <w:szCs w:val="20"/>
                <w:color w:val="auto"/>
              </w:rPr>
            </w:pPr>
            <w:r>
              <w:rPr>
                <w:rFonts w:ascii="Times New Roman" w:cs="Times New Roman" w:eastAsia="Times New Roman" w:hAnsi="Times New Roman"/>
                <w:sz w:val="18"/>
                <w:szCs w:val="18"/>
                <w:color w:val="auto"/>
              </w:rPr>
              <w:t>Consumer - Other</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420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3,906</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89,853</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53,820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8"/>
              </w:rPr>
              <w:t>Nonperforming</w:t>
            </w:r>
          </w:p>
        </w:tc>
        <w:tc>
          <w:tcPr>
            <w:tcW w:w="420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4"/>
                <w:szCs w:val="24"/>
                <w:color w:val="auto"/>
              </w:rPr>
            </w:pPr>
          </w:p>
        </w:tc>
        <w:tc>
          <w:tcPr>
            <w:tcW w:w="11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2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3,919</w:t>
            </w:r>
          </w:p>
        </w:tc>
        <w:tc>
          <w:tcPr>
            <w:tcW w:w="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89,894</w:t>
            </w:r>
          </w:p>
        </w:tc>
        <w:tc>
          <w:tcPr>
            <w:tcW w:w="1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53,910</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580" w:type="dxa"/>
            <w:vAlign w:val="bottom"/>
          </w:tcPr>
          <w:p>
            <w:pPr>
              <w:spacing w:after="0"/>
              <w:rPr>
                <w:sz w:val="24"/>
                <w:szCs w:val="24"/>
                <w:color w:val="auto"/>
              </w:rPr>
            </w:pPr>
          </w:p>
        </w:tc>
        <w:tc>
          <w:tcPr>
            <w:tcW w:w="8080" w:type="dxa"/>
            <w:vAlign w:val="bottom"/>
            <w:gridSpan w:val="11"/>
          </w:tcPr>
          <w:p>
            <w:pPr>
              <w:jc w:val="right"/>
              <w:ind w:right="130"/>
              <w:spacing w:after="0"/>
              <w:rPr>
                <w:sz w:val="20"/>
                <w:szCs w:val="20"/>
                <w:color w:val="auto"/>
              </w:rPr>
            </w:pPr>
            <w:r>
              <w:rPr>
                <w:rFonts w:ascii="Times New Roman" w:cs="Times New Roman" w:eastAsia="Times New Roman" w:hAnsi="Times New Roman"/>
                <w:sz w:val="18"/>
                <w:szCs w:val="18"/>
                <w:color w:val="auto"/>
              </w:rPr>
              <w:t>Information about impaired loans as of and for the years ended December 31, 2022 and 2021 is as follows: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Impaired loans without a valuation allowance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shd w:val="clear" w:color="auto" w:fill="CFF0FC"/>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Impaired loans with a valuation allowance</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impaired loans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20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80" w:type="dxa"/>
            <w:vAlign w:val="bottom"/>
            <w:tcBorders>
              <w:bottom w:val="single" w:sz="8" w:color="CFF0FC"/>
            </w:tcBorders>
            <w:shd w:val="clear" w:color="auto" w:fill="CFF0FC"/>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related to impaired loans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nonaccrual loans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spacing w:after="0"/>
              <w:rPr>
                <w:sz w:val="22"/>
                <w:szCs w:val="22"/>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4,689</w:t>
            </w:r>
          </w:p>
        </w:tc>
        <w:tc>
          <w:tcPr>
            <w:tcW w:w="20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FF0FC"/>
          </w:tcPr>
          <w:p>
            <w:pPr>
              <w:spacing w:after="0"/>
              <w:rPr>
                <w:sz w:val="22"/>
                <w:szCs w:val="22"/>
                <w:color w:val="auto"/>
              </w:rPr>
            </w:pPr>
          </w:p>
        </w:tc>
        <w:tc>
          <w:tcPr>
            <w:tcW w:w="8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80" w:type="dxa"/>
            <w:vAlign w:val="bottom"/>
            <w:tcBorders>
              <w:bottom w:val="single" w:sz="8" w:color="CFF0FC"/>
            </w:tcBorders>
            <w:shd w:val="clear" w:color="auto" w:fill="CFF0FC"/>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loans past-due ninety days or more and still accruing</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0" w:type="dxa"/>
            <w:vAlign w:val="bottom"/>
            <w:vMerge w:val="restart"/>
          </w:tcPr>
          <w:p>
            <w:pPr>
              <w:ind w:left="3840"/>
              <w:spacing w:after="0"/>
              <w:rPr>
                <w:sz w:val="20"/>
                <w:szCs w:val="20"/>
                <w:color w:val="auto"/>
              </w:rPr>
            </w:pPr>
            <w:r>
              <w:rPr>
                <w:rFonts w:ascii="Times New Roman" w:cs="Times New Roman" w:eastAsia="Times New Roman" w:hAnsi="Times New Roman"/>
                <w:sz w:val="18"/>
                <w:szCs w:val="18"/>
                <w:color w:val="auto"/>
              </w:rPr>
              <w:t>80</w:t>
            </w:r>
          </w:p>
        </w:tc>
        <w:tc>
          <w:tcPr>
            <w:tcW w:w="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-2287905</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-2270760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-2287905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-2270760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-2287905</wp:posOffset>
            </wp:positionV>
            <wp:extent cx="5969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-2270760</wp:posOffset>
            </wp:positionV>
            <wp:extent cx="596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-2287905</wp:posOffset>
            </wp:positionV>
            <wp:extent cx="6032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-2270760</wp:posOffset>
            </wp:positionV>
            <wp:extent cx="603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-1053465</wp:posOffset>
            </wp:positionV>
            <wp:extent cx="1011555" cy="2057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11555" cy="20574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-693420</wp:posOffset>
            </wp:positionV>
            <wp:extent cx="1011555" cy="2057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011555" cy="20574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investment in impaired loans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12,247</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recognized on impaired loans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5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2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Interest income recognized on a cash basis on impaired</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vMerge w:val="restart"/>
            <w:shd w:val="clear" w:color="auto" w:fill="CFF0FC"/>
          </w:tcPr>
          <w:p>
            <w:pPr>
              <w:spacing w:after="0"/>
              <w:rPr>
                <w:sz w:val="16"/>
                <w:szCs w:val="16"/>
                <w:color w:val="auto"/>
              </w:rPr>
            </w:pPr>
          </w:p>
        </w:tc>
        <w:tc>
          <w:tcPr>
            <w:tcW w:w="2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500" w:type="dxa"/>
            <w:vAlign w:val="bottom"/>
            <w:gridSpan w:val="2"/>
            <w:vMerge w:val="restart"/>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loans</w:t>
            </w:r>
          </w:p>
        </w:tc>
        <w:tc>
          <w:tcPr>
            <w:tcW w:w="260" w:type="dxa"/>
            <w:vAlign w:val="bottom"/>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280" w:type="dxa"/>
            <w:vAlign w:val="bottom"/>
            <w:vMerge w:val="continue"/>
            <w:shd w:val="clear" w:color="auto" w:fill="CFF0FC"/>
          </w:tcPr>
          <w:p>
            <w:pPr>
              <w:spacing w:after="0"/>
              <w:rPr>
                <w:sz w:val="19"/>
                <w:szCs w:val="19"/>
                <w:color w:val="auto"/>
              </w:rPr>
            </w:pPr>
          </w:p>
        </w:tc>
        <w:tc>
          <w:tcPr>
            <w:tcW w:w="260" w:type="dxa"/>
            <w:vAlign w:val="bottom"/>
            <w:vMerge w:val="continue"/>
            <w:shd w:val="clear" w:color="auto" w:fill="CFF0FC"/>
          </w:tcPr>
          <w:p>
            <w:pPr>
              <w:spacing w:after="0"/>
              <w:rPr>
                <w:sz w:val="19"/>
                <w:szCs w:val="19"/>
                <w:color w:val="auto"/>
              </w:rPr>
            </w:pPr>
          </w:p>
        </w:tc>
        <w:tc>
          <w:tcPr>
            <w:tcW w:w="920" w:type="dxa"/>
            <w:vAlign w:val="bottom"/>
            <w:vMerge w:val="continue"/>
            <w:shd w:val="clear" w:color="auto" w:fill="CFF0FC"/>
          </w:tcPr>
          <w:p>
            <w:pPr>
              <w:spacing w:after="0"/>
              <w:rPr>
                <w:sz w:val="19"/>
                <w:szCs w:val="19"/>
                <w:color w:val="auto"/>
              </w:rPr>
            </w:pPr>
          </w:p>
        </w:tc>
        <w:tc>
          <w:tcPr>
            <w:tcW w:w="500" w:type="dxa"/>
            <w:vAlign w:val="bottom"/>
            <w:gridSpan w:val="2"/>
            <w:vMerge w:val="continue"/>
            <w:shd w:val="clear" w:color="auto" w:fill="CFF0FC"/>
          </w:tcPr>
          <w:p>
            <w:pPr>
              <w:spacing w:after="0"/>
              <w:rPr>
                <w:sz w:val="19"/>
                <w:szCs w:val="19"/>
                <w:color w:val="auto"/>
              </w:rPr>
            </w:pPr>
          </w:p>
        </w:tc>
        <w:tc>
          <w:tcPr>
            <w:tcW w:w="940" w:type="dxa"/>
            <w:vAlign w:val="bottom"/>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4526915</wp:posOffset>
            </wp:positionH>
            <wp:positionV relativeFrom="paragraph">
              <wp:posOffset>-496570</wp:posOffset>
            </wp:positionV>
            <wp:extent cx="1885950" cy="2057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885950" cy="205740"/>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-24765</wp:posOffset>
            </wp:positionV>
            <wp:extent cx="603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-7620</wp:posOffset>
            </wp:positionV>
            <wp:extent cx="603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-24765</wp:posOffset>
            </wp:positionV>
            <wp:extent cx="51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-7620</wp:posOffset>
            </wp:positionV>
            <wp:extent cx="514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-24765</wp:posOffset>
            </wp:positionV>
            <wp:extent cx="5143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-7620</wp:posOffset>
            </wp:positionV>
            <wp:extent cx="514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There were no additional funds committed to be advanced in connection with impaired loans.</w:t>
      </w:r>
    </w:p>
    <w:p>
      <w:pPr>
        <w:spacing w:after="0" w:line="225"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The Bank had approximately $3.6 million and $7.6 million of its impaired loans classified as troubled debt restructured as of December 31, 2022 and December 31, 2021.</w:t>
      </w:r>
    </w:p>
    <w:p>
      <w:pPr>
        <w:spacing w:after="0" w:line="162" w:lineRule="exact"/>
        <w:rPr>
          <w:sz w:val="20"/>
          <w:szCs w:val="20"/>
          <w:color w:val="auto"/>
        </w:rPr>
      </w:pPr>
    </w:p>
    <w:p>
      <w:pPr>
        <w:jc w:val="both"/>
        <w:ind w:left="740"/>
        <w:spacing w:after="0" w:line="253" w:lineRule="auto"/>
        <w:rPr>
          <w:sz w:val="20"/>
          <w:szCs w:val="20"/>
          <w:color w:val="auto"/>
        </w:rPr>
      </w:pPr>
      <w:r>
        <w:rPr>
          <w:rFonts w:ascii="Times New Roman" w:cs="Times New Roman" w:eastAsia="Times New Roman" w:hAnsi="Times New Roman"/>
          <w:sz w:val="18"/>
          <w:szCs w:val="18"/>
          <w:color w:val="auto"/>
        </w:rPr>
        <w:t>Modification programs focused on payment pattern changes and/or modified maturity dates with most receiving a combination of the two concessions. The modifications did not result in the contractual forgiveness of principal. During 2022, three new loans were considered TDR as a result of the continuance of interest only payment modifications. These three loans stem from a single relationship with a borrower. This relationship has a Small Business Administration (SBA) guaranty and consequently the request for the continuance of the interest only period was also approved by the SBA as were previous requests. One of the three loans was charged off in December of 2022. The ALLL includes a $837 thousand specific allocation for one of the loans as of December 31, 2022. The fourth loan was a work-out loan that was included on Peoples TDR list which had some debt written off when the loan was granted. Two loans previously reported as TDR were paid off in April 2022. During 2021, there were three new loans considered TDR. One loan resulted in payment changes from a monthly payment to monthly interest only payments. One loan was considered TDR as a result of being in a deficiency balance upon sale of property. The loan is set for a 3 year term and a 10 year amortization. The ALLL includes a $825 thousand specific allocation on the principal balance of this loan as of December 31, 2021. The last loan was rewritten to improve collateral position. Capitalized interest, late charges and prepayment penalties were charged off immediately. The ALLL includes a $313 thousand specific allocation for this loan as of December 31, 2021. Two loans previously reported as TDR were paid off in June 2021 and three loans previously reported as TDR were fully charged off in March 2021.</w:t>
      </w:r>
    </w:p>
    <w:p>
      <w:pPr>
        <w:spacing w:after="0" w:line="18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1"/>
                <w:szCs w:val="21"/>
                <w:color w:val="auto"/>
              </w:rPr>
            </w:pPr>
          </w:p>
        </w:tc>
      </w:tr>
      <w:tr>
        <w:trPr>
          <w:trHeight w:val="225"/>
        </w:trPr>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Pre-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Post-</w:t>
            </w:r>
          </w:p>
        </w:tc>
        <w:tc>
          <w:tcPr>
            <w:tcW w:w="2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Pre-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Post-</w:t>
            </w:r>
          </w:p>
        </w:tc>
        <w:tc>
          <w:tcPr>
            <w:tcW w:w="100" w:type="dxa"/>
            <w:vAlign w:val="bottom"/>
          </w:tcPr>
          <w:p>
            <w:pPr>
              <w:spacing w:after="0"/>
              <w:rPr>
                <w:sz w:val="19"/>
                <w:szCs w:val="19"/>
                <w:color w:val="auto"/>
              </w:rPr>
            </w:pP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Modificatio</w:t>
            </w:r>
          </w:p>
        </w:tc>
        <w:tc>
          <w:tcPr>
            <w:tcW w:w="2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Modificati</w:t>
            </w: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Modificati</w:t>
            </w:r>
          </w:p>
        </w:tc>
        <w:tc>
          <w:tcPr>
            <w:tcW w:w="22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Modificati</w:t>
            </w: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on</w:t>
            </w: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on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on</w:t>
            </w: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Contracts</w:t>
            </w:r>
          </w:p>
        </w:tc>
        <w:tc>
          <w:tcPr>
            <w:tcW w:w="2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Outstandin</w:t>
            </w:r>
          </w:p>
        </w:tc>
        <w:tc>
          <w:tcPr>
            <w:tcW w:w="2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w:t>
            </w: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Contracts</w:t>
            </w:r>
          </w:p>
        </w:tc>
        <w:tc>
          <w:tcPr>
            <w:tcW w:w="22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w:t>
            </w:r>
          </w:p>
        </w:tc>
        <w:tc>
          <w:tcPr>
            <w:tcW w:w="22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Outstandin</w:t>
            </w: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Modified in</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g</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g</w:t>
            </w: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Modified in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88"/>
              </w:rPr>
              <w:t>g</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g</w:t>
            </w:r>
          </w:p>
        </w:tc>
        <w:tc>
          <w:tcPr>
            <w:tcW w:w="1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Last</w:t>
            </w:r>
          </w:p>
        </w:tc>
        <w:tc>
          <w:tcPr>
            <w:tcW w:w="24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Recorded</w:t>
            </w:r>
          </w:p>
        </w:tc>
        <w:tc>
          <w:tcPr>
            <w:tcW w:w="24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Recorded</w:t>
            </w:r>
          </w:p>
        </w:tc>
        <w:tc>
          <w:tcPr>
            <w:tcW w:w="2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Last</w:t>
            </w:r>
          </w:p>
        </w:tc>
        <w:tc>
          <w:tcPr>
            <w:tcW w:w="22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Recorded</w:t>
            </w:r>
          </w:p>
        </w:tc>
        <w:tc>
          <w:tcPr>
            <w:tcW w:w="22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Recorded</w:t>
            </w:r>
          </w:p>
        </w:tc>
        <w:tc>
          <w:tcPr>
            <w:tcW w:w="100" w:type="dxa"/>
            <w:vAlign w:val="bottom"/>
          </w:tcPr>
          <w:p>
            <w:pPr>
              <w:spacing w:after="0"/>
              <w:rPr>
                <w:sz w:val="18"/>
                <w:szCs w:val="18"/>
                <w:color w:val="auto"/>
              </w:rPr>
            </w:pPr>
          </w:p>
        </w:tc>
      </w:tr>
      <w:tr>
        <w:trPr>
          <w:trHeight w:val="241"/>
        </w:trPr>
        <w:tc>
          <w:tcPr>
            <w:tcW w:w="2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Troubled Debt Restructurings</w:t>
            </w:r>
          </w:p>
        </w:tc>
        <w:tc>
          <w:tcPr>
            <w:tcW w:w="12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240" w:type="dxa"/>
            <w:vAlign w:val="bottom"/>
          </w:tcPr>
          <w:p>
            <w:pPr>
              <w:spacing w:after="0"/>
              <w:rPr>
                <w:sz w:val="20"/>
                <w:szCs w:val="20"/>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0"/>
                <w:szCs w:val="20"/>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Investment</w:t>
            </w:r>
          </w:p>
        </w:tc>
        <w:tc>
          <w:tcPr>
            <w:tcW w:w="280" w:type="dxa"/>
            <w:vAlign w:val="bottom"/>
          </w:tcPr>
          <w:p>
            <w:pPr>
              <w:spacing w:after="0"/>
              <w:rPr>
                <w:sz w:val="20"/>
                <w:szCs w:val="20"/>
                <w:color w:val="auto"/>
              </w:rPr>
            </w:pPr>
          </w:p>
        </w:tc>
        <w:tc>
          <w:tcPr>
            <w:tcW w:w="2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Troubled Debt Restructurings</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 Months</w:t>
            </w:r>
          </w:p>
        </w:tc>
        <w:tc>
          <w:tcPr>
            <w:tcW w:w="220" w:type="dxa"/>
            <w:vAlign w:val="bottom"/>
          </w:tcPr>
          <w:p>
            <w:pPr>
              <w:spacing w:after="0"/>
              <w:rPr>
                <w:sz w:val="20"/>
                <w:szCs w:val="20"/>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Investment</w:t>
            </w:r>
          </w:p>
        </w:tc>
        <w:tc>
          <w:tcPr>
            <w:tcW w:w="220" w:type="dxa"/>
            <w:vAlign w:val="bottom"/>
          </w:tcPr>
          <w:p>
            <w:pPr>
              <w:spacing w:after="0"/>
              <w:rPr>
                <w:sz w:val="20"/>
                <w:szCs w:val="20"/>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100" w:type="dxa"/>
            <w:vAlign w:val="bottom"/>
          </w:tcPr>
          <w:p>
            <w:pPr>
              <w:spacing w:after="0"/>
              <w:rPr>
                <w:sz w:val="20"/>
                <w:szCs w:val="20"/>
                <w:color w:val="auto"/>
              </w:rPr>
            </w:pPr>
          </w:p>
        </w:tc>
      </w:tr>
      <w:tr>
        <w:trPr>
          <w:trHeight w:val="243"/>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FF0FC"/>
          </w:tcPr>
          <w:p>
            <w:pPr>
              <w:spacing w:after="0"/>
              <w:rPr>
                <w:sz w:val="21"/>
                <w:szCs w:val="21"/>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Consumer Real Estate</w:t>
            </w: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Pr>
          <w:p>
            <w:pPr>
              <w:spacing w:after="0"/>
              <w:rPr>
                <w:sz w:val="20"/>
                <w:szCs w:val="20"/>
                <w:color w:val="auto"/>
              </w:rPr>
            </w:pPr>
          </w:p>
        </w:tc>
      </w:tr>
      <w:tr>
        <w:trPr>
          <w:trHeight w:val="247"/>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Agricultural</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2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20"/>
                <w:szCs w:val="20"/>
                <w:color w:val="auto"/>
              </w:rPr>
            </w:pPr>
          </w:p>
        </w:tc>
        <w:tc>
          <w:tcPr>
            <w:tcW w:w="2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0"/>
                <w:szCs w:val="20"/>
                <w:color w:val="auto"/>
              </w:rPr>
            </w:pPr>
          </w:p>
        </w:tc>
      </w:tr>
      <w:tr>
        <w:trPr>
          <w:trHeight w:val="247"/>
        </w:trPr>
        <w:tc>
          <w:tcPr>
            <w:tcW w:w="2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280" w:type="dxa"/>
            <w:vAlign w:val="bottom"/>
            <w:shd w:val="clear" w:color="auto" w:fill="CFF0FC"/>
          </w:tcPr>
          <w:p>
            <w:pPr>
              <w:spacing w:after="0"/>
              <w:rPr>
                <w:sz w:val="21"/>
                <w:szCs w:val="21"/>
                <w:color w:val="auto"/>
              </w:rPr>
            </w:pPr>
          </w:p>
        </w:tc>
        <w:tc>
          <w:tcPr>
            <w:tcW w:w="2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the years ended December 31, 2022 and 2021, there were no TDR’s that subsequently defaulted after modification.</w:t>
      </w:r>
    </w:p>
    <w:p>
      <w:pPr>
        <w:spacing w:after="0" w:line="225"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For the Bank’s impaired TDR loans, the Bank may utilize a measurement incorporating the present value of expected future cash flows discounted at the loan's effective rate of interest or the fair value of collateral if the loan is collateral dependent. To determine the fair value of collateral,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83"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Bank uses the following guidelines as stated in policy to determine when to realize a charge-off, whether a partial or full loan balance. A charge down in whole or in part is realized when unsecured consumer loans, credit card credits and overdraft lines of credit reach 90 days delinquency. At 90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A broker's price opinion or appraisal will be completed on all home loans in litigation and any deficiency will be charged off before reaching 150 days delinquent. Commercial and agricultural credits are charged down/allocated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tables present loans individually evaluated for impairment by portfolio class of loans as of December 31, 2022 and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Unpaid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Average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Interest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Income</w:t>
            </w: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Recorded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Related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Recorded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Recognized</w:t>
            </w:r>
          </w:p>
        </w:tc>
        <w:tc>
          <w:tcPr>
            <w:tcW w:w="100" w:type="dxa"/>
            <w:vAlign w:val="bottom"/>
          </w:tcPr>
          <w:p>
            <w:pPr>
              <w:spacing w:after="0"/>
              <w:rPr>
                <w:sz w:val="18"/>
                <w:szCs w:val="18"/>
                <w:color w:val="auto"/>
              </w:rPr>
            </w:pPr>
          </w:p>
        </w:tc>
      </w:tr>
      <w:tr>
        <w:trPr>
          <w:trHeight w:val="24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Investment</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Recognized</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Cash Basis</w:t>
            </w:r>
          </w:p>
        </w:tc>
        <w:tc>
          <w:tcPr>
            <w:tcW w:w="100" w:type="dxa"/>
            <w:vAlign w:val="bottom"/>
          </w:tcPr>
          <w:p>
            <w:pPr>
              <w:spacing w:after="0"/>
              <w:rPr>
                <w:sz w:val="21"/>
                <w:szCs w:val="21"/>
                <w:color w:val="auto"/>
              </w:rPr>
            </w:pPr>
          </w:p>
        </w:tc>
      </w:tr>
      <w:tr>
        <w:trPr>
          <w:trHeight w:val="23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1,736</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4,108</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33"/>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4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-1233805</wp:posOffset>
            </wp:positionV>
            <wp:extent cx="4286250" cy="2057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286250" cy="20574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-873760</wp:posOffset>
            </wp:positionV>
            <wp:extent cx="4286250" cy="2057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4286250" cy="20574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-513715</wp:posOffset>
            </wp:positionV>
            <wp:extent cx="768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-496570</wp:posOffset>
            </wp:positionV>
            <wp:extent cx="768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-513715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-496570</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-513715</wp:posOffset>
            </wp:positionV>
            <wp:extent cx="685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-496570</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-513715</wp:posOffset>
            </wp:positionV>
            <wp:extent cx="6858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-496570</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-513715</wp:posOffset>
            </wp:positionV>
            <wp:extent cx="6858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-496570</wp:posOffset>
            </wp:positionV>
            <wp:extent cx="6858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Interest</w:t>
            </w: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Unpaid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Average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Interest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Income</w:t>
            </w:r>
          </w:p>
        </w:tc>
        <w:tc>
          <w:tcPr>
            <w:tcW w:w="10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Recorded</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Principal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Related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Recorded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Recognized</w:t>
            </w:r>
          </w:p>
        </w:tc>
        <w:tc>
          <w:tcPr>
            <w:tcW w:w="100" w:type="dxa"/>
            <w:vAlign w:val="bottom"/>
          </w:tcPr>
          <w:p>
            <w:pPr>
              <w:spacing w:after="0"/>
              <w:rPr>
                <w:sz w:val="18"/>
                <w:szCs w:val="18"/>
                <w:color w:val="auto"/>
              </w:rPr>
            </w:pPr>
          </w:p>
        </w:tc>
      </w:tr>
      <w:tr>
        <w:trPr>
          <w:trHeight w:val="24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Investment</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Balance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Allowance</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Investment</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Recognized</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Cash Basis</w:t>
            </w:r>
          </w:p>
        </w:tc>
        <w:tc>
          <w:tcPr>
            <w:tcW w:w="100" w:type="dxa"/>
            <w:vAlign w:val="bottom"/>
          </w:tcPr>
          <w:p>
            <w:pPr>
              <w:spacing w:after="0"/>
              <w:rPr>
                <w:sz w:val="21"/>
                <w:szCs w:val="21"/>
                <w:color w:val="auto"/>
              </w:rPr>
            </w:pPr>
          </w:p>
        </w:tc>
      </w:tr>
      <w:tr>
        <w:trPr>
          <w:trHeight w:val="236"/>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 no related allowance recorded:</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 a specific allowance recorded:</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r>
      <w:tr>
        <w:trPr>
          <w:trHeight w:val="247"/>
        </w:trPr>
        <w:tc>
          <w:tcPr>
            <w:tcW w:w="3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3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Totals:</w:t>
            </w: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Consumer Real Estate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Agricultural Real Estate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6,725</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6,414</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Agricultural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4"/>
        </w:trPr>
        <w:tc>
          <w:tcPr>
            <w:tcW w:w="3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3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Consumer</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-744855</wp:posOffset>
            </wp:positionV>
            <wp:extent cx="4286250" cy="2057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286250" cy="20574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-385445</wp:posOffset>
            </wp:positionV>
            <wp:extent cx="4286250" cy="2057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286250" cy="20574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-24765</wp:posOffset>
            </wp:positionV>
            <wp:extent cx="7683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-7620</wp:posOffset>
            </wp:positionV>
            <wp:extent cx="7683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-24765</wp:posOffset>
            </wp:positionV>
            <wp:extent cx="6858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-7620</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As of December 31, 2022 the Company had no foreclosed residential real estate property obtained by physical possession or consumer mortgage loans secured by residential real estate properties for which foreclosure proceedings are in process according to local jurisdictions. This compares to the Company having $159 thousand of foreclosed residential real estate property obtained by physical possession and $255 thousand of consumer mortgage loans secured by residential real estate properties for which foreclosure proceedings are in process according to local jurisdictions as of December 31, 2021.</w:t>
      </w:r>
    </w:p>
    <w:p>
      <w:pPr>
        <w:spacing w:after="0" w:line="183"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ALLL has a direct impact on the provision expense. An increase in the ALLL is funded through recoveries and provision expense. The following tables summarize the activities in the allowance for credit losses.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following is an analysis of the allowance for credit losses for the years ended December 31:</w:t>
      </w:r>
    </w:p>
    <w:p>
      <w:pPr>
        <w:spacing w:after="0" w:line="239"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26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Provision for loan loss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charged off</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(827 )</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(1,332 )</w:t>
            </w:r>
          </w:p>
        </w:tc>
        <w:tc>
          <w:tcPr>
            <w:tcW w:w="24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(720 )</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Recoveries</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ending of year</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20,313</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260" w:type="dxa"/>
            <w:vAlign w:val="bottom"/>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Allowance for Unfunded Loan Commitments</w:t>
            </w:r>
          </w:p>
        </w:tc>
        <w:tc>
          <w:tcPr>
            <w:tcW w:w="260" w:type="dxa"/>
            <w:vAlign w:val="bottom"/>
            <w:vMerge w:val="restart"/>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280" w:type="dxa"/>
            <w:vAlign w:val="bottom"/>
            <w:shd w:val="clear" w:color="auto" w:fill="CFF0FC"/>
          </w:tcPr>
          <w:p>
            <w:pPr>
              <w:spacing w:after="0"/>
              <w:rPr>
                <w:sz w:val="17"/>
                <w:szCs w:val="17"/>
                <w:color w:val="auto"/>
              </w:rPr>
            </w:pPr>
          </w:p>
        </w:tc>
        <w:tc>
          <w:tcPr>
            <w:tcW w:w="2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60" w:type="dxa"/>
            <w:vAlign w:val="bottom"/>
            <w:shd w:val="clear" w:color="auto" w:fill="CFF0FC"/>
          </w:tcPr>
          <w:p>
            <w:pPr>
              <w:spacing w:after="0"/>
              <w:rPr>
                <w:sz w:val="17"/>
                <w:szCs w:val="17"/>
                <w:color w:val="auto"/>
              </w:rPr>
            </w:pPr>
          </w:p>
        </w:tc>
        <w:tc>
          <w:tcPr>
            <w:tcW w:w="240" w:type="dxa"/>
            <w:vAlign w:val="bottom"/>
            <w:vMerge w:val="restart"/>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8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&amp; Letters of Credit</w:t>
            </w: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21,575</w:t>
            </w: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-1614805</wp:posOffset>
            </wp:positionV>
            <wp:extent cx="1911350" cy="1968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911350" cy="196850"/>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-659130</wp:posOffset>
            </wp:positionV>
            <wp:extent cx="60325" cy="18859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5452745</wp:posOffset>
            </wp:positionH>
            <wp:positionV relativeFrom="paragraph">
              <wp:posOffset>-659130</wp:posOffset>
            </wp:positionV>
            <wp:extent cx="51435" cy="18859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-659130</wp:posOffset>
            </wp:positionV>
            <wp:extent cx="51435" cy="18859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4526915</wp:posOffset>
            </wp:positionH>
            <wp:positionV relativeFrom="paragraph">
              <wp:posOffset>-205105</wp:posOffset>
            </wp:positionV>
            <wp:extent cx="1885950" cy="20574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885950" cy="205740"/>
                    </a:xfrm>
                    <a:prstGeom prst="rect">
                      <a:avLst/>
                    </a:prstGeom>
                    <a:noFill/>
                  </pic:spPr>
                </pic:pic>
              </a:graphicData>
            </a:graphic>
          </wp:anchor>
        </w:drawing>
      </w:r>
    </w:p>
    <w:p>
      <w:pPr>
        <w:spacing w:after="0" w:line="178"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auto"/>
        </w:rPr>
        <w:t>The Company segregates its Allowance for Loan and Lease Losses (ALLL) into two reserves: The ALLL and the Allowance for Unfunded Loan Commitments and Letters of Credit (AULC). When combined, these reserves constitute the total Allowance for Credit Losses (ACL).</w:t>
      </w:r>
    </w:p>
    <w:p>
      <w:pPr>
        <w:spacing w:after="0" w:line="16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AULC is reported within other liabilities on the balance sheet while the ALLL is netted within the loans on the consolidated balance sheet.</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ACL presented above represents the full amount of reserves available to absorb possible credit losses.</w:t>
      </w:r>
    </w:p>
    <w:p>
      <w:pPr>
        <w:spacing w:after="0" w:line="207"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auto"/>
        </w:rPr>
        <w:t>The following table breaks down the activity within ALLL for each loan portfolio segment and shows the contribution provided by both the recoveries and the provision along with the reduction of the allowance caused by charge-offs.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Additional analysis related to the allowance for credit losses as of December 31, 2022 and 2021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5"/>
                <w:szCs w:val="15"/>
                <w:color w:val="auto"/>
              </w:rPr>
              <w:t>(In Thousands)</w:t>
            </w: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auto"/>
              </w:rPr>
              <w:t>Unfunded</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84"/>
              <w:spacing w:after="0" w:line="162" w:lineRule="exact"/>
              <w:rPr>
                <w:sz w:val="20"/>
                <w:szCs w:val="20"/>
                <w:color w:val="auto"/>
              </w:rPr>
            </w:pPr>
            <w:r>
              <w:rPr>
                <w:rFonts w:ascii="Times New Roman" w:cs="Times New Roman" w:eastAsia="Times New Roman" w:hAnsi="Times New Roman"/>
                <w:sz w:val="15"/>
                <w:szCs w:val="15"/>
                <w:color w:val="auto"/>
                <w:w w:val="97"/>
              </w:rPr>
              <w:t>Loan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Commitme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ind w:left="20"/>
              <w:spacing w:after="0" w:line="162" w:lineRule="exact"/>
              <w:rPr>
                <w:sz w:val="20"/>
                <w:szCs w:val="20"/>
                <w:color w:val="auto"/>
              </w:rPr>
            </w:pPr>
            <w:r>
              <w:rPr>
                <w:rFonts w:ascii="Times New Roman" w:cs="Times New Roman" w:eastAsia="Times New Roman" w:hAnsi="Times New Roman"/>
                <w:sz w:val="15"/>
                <w:szCs w:val="15"/>
                <w:color w:val="auto"/>
              </w:rPr>
              <w:t>Commercia</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84"/>
              <w:spacing w:after="0" w:line="162" w:lineRule="exact"/>
              <w:rPr>
                <w:sz w:val="20"/>
                <w:szCs w:val="20"/>
                <w:color w:val="auto"/>
              </w:rPr>
            </w:pPr>
            <w:r>
              <w:rPr>
                <w:rFonts w:ascii="Times New Roman" w:cs="Times New Roman" w:eastAsia="Times New Roman" w:hAnsi="Times New Roman"/>
                <w:sz w:val="15"/>
                <w:szCs w:val="15"/>
                <w:color w:val="auto"/>
                <w:w w:val="85"/>
              </w:rPr>
              <w:t>nt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3"/>
          </w:tcPr>
          <w:p>
            <w:pPr>
              <w:jc w:val="right"/>
              <w:ind w:right="260"/>
              <w:spacing w:after="0" w:line="162" w:lineRule="exact"/>
              <w:rPr>
                <w:sz w:val="20"/>
                <w:szCs w:val="20"/>
                <w:color w:val="auto"/>
              </w:rPr>
            </w:pPr>
            <w:r>
              <w:rPr>
                <w:rFonts w:ascii="Times New Roman" w:cs="Times New Roman" w:eastAsia="Times New Roman" w:hAnsi="Times New Roman"/>
                <w:sz w:val="15"/>
                <w:szCs w:val="15"/>
                <w:color w:val="auto"/>
              </w:rPr>
              <w:t>Agricultura</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560"/>
              <w:spacing w:after="0" w:line="162" w:lineRule="exact"/>
              <w:rPr>
                <w:sz w:val="20"/>
                <w:szCs w:val="20"/>
                <w:color w:val="auto"/>
              </w:rPr>
            </w:pPr>
            <w:r>
              <w:rPr>
                <w:rFonts w:ascii="Times New Roman" w:cs="Times New Roman" w:eastAsia="Times New Roman" w:hAnsi="Times New Roman"/>
                <w:sz w:val="15"/>
                <w:szCs w:val="15"/>
                <w:color w:val="auto"/>
              </w:rPr>
              <w:t>l</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color w:val="auto"/>
              </w:rPr>
              <w:t>&amp; Letters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74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Consumer</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40"/>
              <w:spacing w:after="0" w:line="162" w:lineRule="exact"/>
              <w:rPr>
                <w:sz w:val="20"/>
                <w:szCs w:val="20"/>
                <w:color w:val="auto"/>
              </w:rPr>
            </w:pPr>
            <w:r>
              <w:rPr>
                <w:rFonts w:ascii="Times New Roman" w:cs="Times New Roman" w:eastAsia="Times New Roman" w:hAnsi="Times New Roman"/>
                <w:sz w:val="15"/>
                <w:szCs w:val="15"/>
                <w:color w:val="auto"/>
              </w:rPr>
              <w:t>l Real</w:t>
            </w:r>
          </w:p>
        </w:tc>
        <w:tc>
          <w:tcPr>
            <w:tcW w:w="7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Agricultura</w:t>
            </w:r>
          </w:p>
        </w:tc>
        <w:tc>
          <w:tcPr>
            <w:tcW w:w="240" w:type="dxa"/>
            <w:vAlign w:val="bottom"/>
          </w:tcPr>
          <w:p>
            <w:pPr>
              <w:spacing w:after="0"/>
              <w:rPr>
                <w:sz w:val="14"/>
                <w:szCs w:val="14"/>
                <w:color w:val="auto"/>
              </w:rPr>
            </w:pPr>
          </w:p>
        </w:tc>
        <w:tc>
          <w:tcPr>
            <w:tcW w:w="860" w:type="dxa"/>
            <w:vAlign w:val="bottom"/>
            <w:gridSpan w:val="2"/>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Commercial</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color w:val="auto"/>
              </w:rPr>
              <w:t>and</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84"/>
              <w:spacing w:after="0" w:line="162" w:lineRule="exact"/>
              <w:rPr>
                <w:sz w:val="20"/>
                <w:szCs w:val="20"/>
                <w:color w:val="auto"/>
              </w:rPr>
            </w:pPr>
            <w:r>
              <w:rPr>
                <w:rFonts w:ascii="Times New Roman" w:cs="Times New Roman" w:eastAsia="Times New Roman" w:hAnsi="Times New Roman"/>
                <w:sz w:val="15"/>
                <w:szCs w:val="15"/>
                <w:color w:val="auto"/>
              </w:rPr>
              <w:t>of</w:t>
            </w:r>
          </w:p>
        </w:tc>
        <w:tc>
          <w:tcPr>
            <w:tcW w:w="200" w:type="dxa"/>
            <w:vAlign w:val="bottom"/>
          </w:tcPr>
          <w:p>
            <w:pPr>
              <w:spacing w:after="0"/>
              <w:rPr>
                <w:sz w:val="14"/>
                <w:szCs w:val="14"/>
                <w:color w:val="auto"/>
              </w:rPr>
            </w:pPr>
          </w:p>
        </w:tc>
        <w:tc>
          <w:tcPr>
            <w:tcW w:w="960" w:type="dxa"/>
            <w:vAlign w:val="bottom"/>
            <w:gridSpan w:val="3"/>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Unallocate</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50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2022</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Real Estate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color w:val="auto"/>
              </w:rPr>
              <w:t>Estate</w:t>
            </w:r>
          </w:p>
        </w:tc>
        <w:tc>
          <w:tcPr>
            <w:tcW w:w="160" w:type="dxa"/>
            <w:vAlign w:val="bottom"/>
          </w:tcPr>
          <w:p>
            <w:pPr>
              <w:spacing w:after="0"/>
              <w:rPr>
                <w:sz w:val="16"/>
                <w:szCs w:val="16"/>
                <w:color w:val="auto"/>
              </w:rPr>
            </w:pPr>
          </w:p>
        </w:tc>
        <w:tc>
          <w:tcPr>
            <w:tcW w:w="58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l</w:t>
            </w:r>
          </w:p>
        </w:tc>
        <w:tc>
          <w:tcPr>
            <w:tcW w:w="240" w:type="dxa"/>
            <w:vAlign w:val="bottom"/>
          </w:tcPr>
          <w:p>
            <w:pPr>
              <w:spacing w:after="0"/>
              <w:rPr>
                <w:sz w:val="16"/>
                <w:szCs w:val="16"/>
                <w:color w:val="auto"/>
              </w:rPr>
            </w:pPr>
          </w:p>
        </w:tc>
        <w:tc>
          <w:tcPr>
            <w:tcW w:w="86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Real Estate</w:t>
            </w:r>
          </w:p>
        </w:tc>
        <w:tc>
          <w:tcPr>
            <w:tcW w:w="20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5"/>
                <w:szCs w:val="15"/>
                <w:color w:val="auto"/>
              </w:rPr>
              <w:t>Industrial</w:t>
            </w: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color w:val="auto"/>
              </w:rPr>
              <w:t>Consumer</w:t>
            </w:r>
          </w:p>
        </w:tc>
        <w:tc>
          <w:tcPr>
            <w:tcW w:w="120" w:type="dxa"/>
            <w:vAlign w:val="bottom"/>
          </w:tcPr>
          <w:p>
            <w:pPr>
              <w:spacing w:after="0"/>
              <w:rPr>
                <w:sz w:val="16"/>
                <w:szCs w:val="16"/>
                <w:color w:val="auto"/>
              </w:rPr>
            </w:pPr>
          </w:p>
        </w:tc>
        <w:tc>
          <w:tcPr>
            <w:tcW w:w="58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Credit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color w:val="auto"/>
              </w:rPr>
              <w:t>d</w:t>
            </w:r>
          </w:p>
        </w:tc>
        <w:tc>
          <w:tcPr>
            <w:tcW w:w="160" w:type="dxa"/>
            <w:vAlign w:val="bottom"/>
          </w:tcPr>
          <w:p>
            <w:pPr>
              <w:spacing w:after="0"/>
              <w:rPr>
                <w:sz w:val="16"/>
                <w:szCs w:val="16"/>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48"/>
        </w:trPr>
        <w:tc>
          <w:tcPr>
            <w:tcW w:w="250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5"/>
                <w:szCs w:val="15"/>
                <w:b w:val="1"/>
                <w:bCs w:val="1"/>
                <w:color w:val="auto"/>
              </w:rPr>
              <w:t>ALLOWANCE FOR CREDIT</w:t>
            </w:r>
          </w:p>
        </w:tc>
        <w:tc>
          <w:tcPr>
            <w:tcW w:w="16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LOSSES:</w:t>
            </w: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1,040</w:t>
            </w:r>
          </w:p>
        </w:tc>
        <w:tc>
          <w:tcPr>
            <w:tcW w:w="22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40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9,130</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3,847</w:t>
            </w:r>
          </w:p>
        </w:tc>
        <w:tc>
          <w:tcPr>
            <w:tcW w:w="2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2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4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Charge-Offs</w:t>
            </w: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(418 )</w:t>
            </w:r>
          </w:p>
        </w:tc>
        <w:tc>
          <w:tcPr>
            <w:tcW w:w="2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(409 )</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(827 )</w:t>
            </w:r>
          </w:p>
        </w:tc>
        <w:tc>
          <w:tcPr>
            <w:tcW w:w="0" w:type="dxa"/>
            <w:vAlign w:val="bottom"/>
          </w:tcPr>
          <w:p>
            <w:pPr>
              <w:spacing w:after="0"/>
              <w:rPr>
                <w:sz w:val="1"/>
                <w:szCs w:val="1"/>
                <w:color w:val="auto"/>
              </w:rPr>
            </w:pPr>
          </w:p>
        </w:tc>
      </w:tr>
      <w:tr>
        <w:trPr>
          <w:trHeight w:val="189"/>
        </w:trPr>
        <w:tc>
          <w:tcPr>
            <w:tcW w:w="25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Recoveries</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Provision</w:t>
            </w: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(691 )</w:t>
            </w: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2,785</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1,860</w:t>
            </w:r>
          </w:p>
        </w:tc>
        <w:tc>
          <w:tcPr>
            <w:tcW w:w="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(16 )</w:t>
            </w: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4,600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50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Other Non-interest</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expense related to</w:t>
            </w: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unfunded</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11,924</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5,382</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1,262</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21,575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500" w:type="dxa"/>
            <w:vAlign w:val="bottom"/>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individually evaluated</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438</w:t>
            </w:r>
          </w:p>
        </w:tc>
        <w:tc>
          <w:tcPr>
            <w:tcW w:w="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1,551</w:t>
            </w:r>
          </w:p>
        </w:tc>
        <w:tc>
          <w:tcPr>
            <w:tcW w:w="200" w:type="dxa"/>
            <w:vAlign w:val="bottom"/>
          </w:tcPr>
          <w:p>
            <w:pPr>
              <w:spacing w:after="0"/>
              <w:rPr>
                <w:sz w:val="14"/>
                <w:szCs w:val="14"/>
                <w:color w:val="auto"/>
              </w:rPr>
            </w:pPr>
          </w:p>
        </w:tc>
        <w:tc>
          <w:tcPr>
            <w:tcW w:w="2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2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6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500" w:type="dxa"/>
            <w:vAlign w:val="bottom"/>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5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collectively evaluated</w:t>
            </w: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992</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22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751</w:t>
            </w:r>
          </w:p>
        </w:tc>
        <w:tc>
          <w:tcPr>
            <w:tcW w:w="40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11,486</w:t>
            </w:r>
          </w:p>
        </w:tc>
        <w:tc>
          <w:tcPr>
            <w:tcW w:w="3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3,831</w:t>
            </w:r>
          </w:p>
        </w:tc>
        <w:tc>
          <w:tcPr>
            <w:tcW w:w="20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890</w:t>
            </w:r>
          </w:p>
        </w:tc>
        <w:tc>
          <w:tcPr>
            <w:tcW w:w="22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1,262</w:t>
            </w:r>
          </w:p>
        </w:tc>
        <w:tc>
          <w:tcPr>
            <w:tcW w:w="420" w:type="dxa"/>
            <w:vAlign w:val="bottom"/>
            <w:gridSpan w:val="2"/>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w:t>
            </w:r>
          </w:p>
        </w:tc>
        <w:tc>
          <w:tcPr>
            <w:tcW w:w="20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19,579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00" w:type="dxa"/>
            <w:vAlign w:val="bottom"/>
            <w:shd w:val="clear" w:color="auto" w:fill="CFF0FC"/>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60" w:type="dxa"/>
            <w:vAlign w:val="bottom"/>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00" w:type="dxa"/>
            <w:vAlign w:val="bottom"/>
            <w:tcBorders>
              <w:top w:val="single" w:sz="8" w:color="CFF0FC"/>
            </w:tcBorders>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 loans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acquired with</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deteriorated credit</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2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6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500" w:type="dxa"/>
            <w:vAlign w:val="bottom"/>
          </w:tcPr>
          <w:p>
            <w:pPr>
              <w:ind w:left="140"/>
              <w:spacing w:after="0" w:line="133" w:lineRule="exact"/>
              <w:rPr>
                <w:sz w:val="20"/>
                <w:szCs w:val="20"/>
                <w:color w:val="auto"/>
              </w:rPr>
            </w:pPr>
            <w:r>
              <w:rPr>
                <w:rFonts w:ascii="Times New Roman" w:cs="Times New Roman" w:eastAsia="Times New Roman" w:hAnsi="Times New Roman"/>
                <w:sz w:val="15"/>
                <w:szCs w:val="15"/>
                <w:color w:val="auto"/>
              </w:rPr>
              <w:t>quality</w:t>
            </w: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0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FINANCING RECEIVABLES:</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494,423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220,514</w:t>
            </w:r>
          </w:p>
        </w:tc>
        <w:tc>
          <w:tcPr>
            <w:tcW w:w="22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128,926</w:t>
            </w:r>
          </w:p>
        </w:tc>
        <w:tc>
          <w:tcPr>
            <w:tcW w:w="40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1,150,511</w:t>
            </w:r>
          </w:p>
        </w:tc>
        <w:tc>
          <w:tcPr>
            <w:tcW w:w="36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272,119</w:t>
            </w:r>
          </w:p>
        </w:tc>
        <w:tc>
          <w:tcPr>
            <w:tcW w:w="200" w:type="dxa"/>
            <w:vAlign w:val="bottom"/>
          </w:tcPr>
          <w:p>
            <w:pPr>
              <w:spacing w:after="0"/>
              <w:rPr>
                <w:sz w:val="16"/>
                <w:szCs w:val="16"/>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89,894</w:t>
            </w:r>
          </w:p>
        </w:tc>
        <w:tc>
          <w:tcPr>
            <w:tcW w:w="2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2,356,387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5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individually evaluated</w:t>
            </w: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569</w:t>
            </w:r>
          </w:p>
        </w:tc>
        <w:tc>
          <w:tcPr>
            <w:tcW w:w="3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2,280</w:t>
            </w:r>
          </w:p>
        </w:tc>
        <w:tc>
          <w:tcPr>
            <w:tcW w:w="22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40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4,108</w:t>
            </w:r>
          </w:p>
        </w:tc>
        <w:tc>
          <w:tcPr>
            <w:tcW w:w="36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1,581</w:t>
            </w:r>
          </w:p>
        </w:tc>
        <w:tc>
          <w:tcPr>
            <w:tcW w:w="20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167</w:t>
            </w:r>
          </w:p>
        </w:tc>
        <w:tc>
          <w:tcPr>
            <w:tcW w:w="22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8,857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00" w:type="dxa"/>
            <w:vAlign w:val="bottom"/>
            <w:shd w:val="clear" w:color="auto" w:fill="CFF0FC"/>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60" w:type="dxa"/>
            <w:vAlign w:val="bottom"/>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500" w:type="dxa"/>
            <w:vAlign w:val="bottom"/>
            <w:tcBorders>
              <w:top w:val="single" w:sz="8" w:color="CFF0FC"/>
            </w:tcBorders>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collectively evaluated</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493,449</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218,039</w:t>
            </w:r>
          </w:p>
        </w:tc>
        <w:tc>
          <w:tcPr>
            <w:tcW w:w="22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128,774</w:t>
            </w:r>
          </w:p>
        </w:tc>
        <w:tc>
          <w:tcPr>
            <w:tcW w:w="40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1,146,389</w:t>
            </w:r>
          </w:p>
        </w:tc>
        <w:tc>
          <w:tcPr>
            <w:tcW w:w="3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270,493</w:t>
            </w:r>
          </w:p>
        </w:tc>
        <w:tc>
          <w:tcPr>
            <w:tcW w:w="200" w:type="dxa"/>
            <w:vAlign w:val="bottom"/>
          </w:tcPr>
          <w:p>
            <w:pPr>
              <w:spacing w:after="0"/>
              <w:rPr>
                <w:sz w:val="14"/>
                <w:szCs w:val="14"/>
                <w:color w:val="auto"/>
              </w:rPr>
            </w:pPr>
          </w:p>
        </w:tc>
        <w:tc>
          <w:tcPr>
            <w:tcW w:w="20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89,727</w:t>
            </w:r>
          </w:p>
        </w:tc>
        <w:tc>
          <w:tcPr>
            <w:tcW w:w="22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6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2,346,871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500" w:type="dxa"/>
            <w:vAlign w:val="bottom"/>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5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 loans</w:t>
            </w: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acquired with</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deteriorated credit</w:t>
            </w: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405</w:t>
            </w:r>
          </w:p>
        </w:tc>
        <w:tc>
          <w:tcPr>
            <w:tcW w:w="220" w:type="dxa"/>
            <w:vAlign w:val="bottom"/>
            <w:vMerge w:val="restart"/>
            <w:shd w:val="clear" w:color="auto" w:fill="CFF0FC"/>
          </w:tcPr>
          <w:p>
            <w:pPr>
              <w:spacing w:after="0"/>
              <w:rPr>
                <w:sz w:val="14"/>
                <w:szCs w:val="14"/>
                <w:color w:val="auto"/>
              </w:rPr>
            </w:pP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22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vMerge w:val="restart"/>
            <w:shd w:val="clear" w:color="auto" w:fill="CFF0FC"/>
          </w:tcPr>
          <w:p>
            <w:pPr>
              <w:spacing w:after="0"/>
              <w:rPr>
                <w:sz w:val="14"/>
                <w:szCs w:val="14"/>
                <w:color w:val="auto"/>
              </w:rPr>
            </w:pPr>
          </w:p>
        </w:tc>
        <w:tc>
          <w:tcPr>
            <w:tcW w:w="16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0" w:type="dxa"/>
            <w:vAlign w:val="bottom"/>
            <w:vMerge w:val="restart"/>
            <w:shd w:val="clear" w:color="auto" w:fill="CFF0FC"/>
          </w:tcPr>
          <w:p>
            <w:pPr>
              <w:spacing w:after="0"/>
              <w:rPr>
                <w:sz w:val="14"/>
                <w:szCs w:val="14"/>
                <w:color w:val="auto"/>
              </w:rPr>
            </w:pPr>
          </w:p>
        </w:tc>
        <w:tc>
          <w:tcPr>
            <w:tcW w:w="16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20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vMerge w:val="restart"/>
            <w:shd w:val="clear" w:color="auto" w:fill="CFF0FC"/>
          </w:tcPr>
          <w:p>
            <w:pPr>
              <w:spacing w:after="0"/>
              <w:rPr>
                <w:sz w:val="14"/>
                <w:szCs w:val="14"/>
                <w:color w:val="auto"/>
              </w:rPr>
            </w:pPr>
          </w:p>
        </w:tc>
        <w:tc>
          <w:tcPr>
            <w:tcW w:w="22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500" w:type="dxa"/>
            <w:vAlign w:val="bottom"/>
            <w:tcBorders>
              <w:bottom w:val="single" w:sz="8" w:color="CFF0FC"/>
            </w:tcBorders>
            <w:shd w:val="clear" w:color="auto" w:fill="CFF0FC"/>
          </w:tcPr>
          <w:p>
            <w:pPr>
              <w:ind w:left="140"/>
              <w:spacing w:after="0" w:line="133" w:lineRule="exact"/>
              <w:rPr>
                <w:sz w:val="20"/>
                <w:szCs w:val="20"/>
                <w:color w:val="auto"/>
              </w:rPr>
            </w:pPr>
            <w:r>
              <w:rPr>
                <w:rFonts w:ascii="Times New Roman" w:cs="Times New Roman" w:eastAsia="Times New Roman" w:hAnsi="Times New Roman"/>
                <w:sz w:val="15"/>
                <w:szCs w:val="15"/>
                <w:color w:val="auto"/>
              </w:rPr>
              <w:t>quality</w:t>
            </w: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58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58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70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58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54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58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vMerge w:val="continue"/>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54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-2451100</wp:posOffset>
            </wp:positionV>
            <wp:extent cx="5083175" cy="3511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083175" cy="3511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-1799590</wp:posOffset>
            </wp:positionV>
            <wp:extent cx="5083175" cy="45402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083175" cy="45402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-779145</wp:posOffset>
            </wp:positionV>
            <wp:extent cx="5083175" cy="3511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083175" cy="3511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-24765</wp:posOffset>
            </wp:positionV>
            <wp:extent cx="7683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-7620</wp:posOffset>
            </wp:positionV>
            <wp:extent cx="768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-24765</wp:posOffset>
            </wp:positionV>
            <wp:extent cx="768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-7620</wp:posOffset>
            </wp:positionV>
            <wp:extent cx="768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7747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774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-24765</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-7620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-24765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-7620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-24765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-7620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4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c>
          <w:tcPr>
            <w:tcW w:w="0" w:type="dxa"/>
            <w:vAlign w:val="bottom"/>
          </w:tcPr>
          <w:p>
            <w:pPr>
              <w:spacing w:after="0"/>
              <w:rPr>
                <w:sz w:val="1"/>
                <w:szCs w:val="1"/>
                <w:color w:val="auto"/>
              </w:rPr>
            </w:pPr>
          </w:p>
        </w:tc>
      </w:tr>
      <w:tr>
        <w:trPr>
          <w:trHeight w:val="243"/>
        </w:trPr>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6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tc>
        <w:tc>
          <w:tcPr>
            <w:tcW w:w="0" w:type="dxa"/>
            <w:vAlign w:val="bottom"/>
          </w:tcPr>
          <w:p>
            <w:pPr>
              <w:spacing w:after="0"/>
              <w:rPr>
                <w:sz w:val="1"/>
                <w:szCs w:val="1"/>
                <w:color w:val="auto"/>
              </w:rPr>
            </w:pPr>
          </w:p>
        </w:tc>
      </w:tr>
      <w:tr>
        <w:trPr>
          <w:trHeight w:val="851"/>
        </w:trPr>
        <w:tc>
          <w:tcPr>
            <w:tcW w:w="24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5"/>
                <w:szCs w:val="15"/>
                <w:color w:val="auto"/>
              </w:rPr>
              <w:t>(In Thousands)</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gridSpan w:val="2"/>
          </w:tcPr>
          <w:p>
            <w:pPr>
              <w:jc w:val="center"/>
              <w:spacing w:after="0" w:line="152" w:lineRule="exact"/>
              <w:rPr>
                <w:sz w:val="20"/>
                <w:szCs w:val="20"/>
                <w:color w:val="auto"/>
              </w:rPr>
            </w:pPr>
            <w:r>
              <w:rPr>
                <w:rFonts w:ascii="Times New Roman" w:cs="Times New Roman" w:eastAsia="Times New Roman" w:hAnsi="Times New Roman"/>
                <w:sz w:val="15"/>
                <w:szCs w:val="15"/>
                <w:color w:val="auto"/>
                <w:w w:val="99"/>
              </w:rPr>
              <w:t>Unfunded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rPr>
              <w:t>Loan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5"/>
                <w:szCs w:val="15"/>
                <w:color w:val="auto"/>
              </w:rPr>
              <w:t>Commitme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Commercia</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rPr>
              <w:t>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Agricultura</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color w:val="auto"/>
              </w:rPr>
              <w:t>Commerci</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5"/>
                <w:szCs w:val="15"/>
                <w:color w:val="auto"/>
                <w:w w:val="94"/>
              </w:rPr>
              <w:t>l</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5"/>
                <w:szCs w:val="15"/>
                <w:color w:val="auto"/>
              </w:rPr>
              <w:t>&amp; Letters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1020" w:type="dxa"/>
            <w:vAlign w:val="bottom"/>
            <w:gridSpan w:val="3"/>
          </w:tcPr>
          <w:p>
            <w:pPr>
              <w:jc w:val="right"/>
              <w:ind w:right="340"/>
              <w:spacing w:after="0" w:line="162" w:lineRule="exact"/>
              <w:rPr>
                <w:sz w:val="20"/>
                <w:szCs w:val="20"/>
                <w:color w:val="auto"/>
              </w:rPr>
            </w:pPr>
            <w:r>
              <w:rPr>
                <w:rFonts w:ascii="Times New Roman" w:cs="Times New Roman" w:eastAsia="Times New Roman" w:hAnsi="Times New Roman"/>
                <w:sz w:val="15"/>
                <w:szCs w:val="15"/>
                <w:color w:val="auto"/>
              </w:rPr>
              <w:t>Consumer</w:t>
            </w:r>
          </w:p>
        </w:tc>
        <w:tc>
          <w:tcPr>
            <w:tcW w:w="120" w:type="dxa"/>
            <w:vAlign w:val="bottom"/>
          </w:tcPr>
          <w:p>
            <w:pPr>
              <w:spacing w:after="0"/>
              <w:rPr>
                <w:sz w:val="14"/>
                <w:szCs w:val="14"/>
                <w:color w:val="auto"/>
              </w:rPr>
            </w:pPr>
          </w:p>
        </w:tc>
        <w:tc>
          <w:tcPr>
            <w:tcW w:w="880" w:type="dxa"/>
            <w:vAlign w:val="bottom"/>
            <w:gridSpan w:val="2"/>
          </w:tcPr>
          <w:p>
            <w:pPr>
              <w:jc w:val="right"/>
              <w:ind w:right="460"/>
              <w:spacing w:after="0" w:line="162" w:lineRule="exact"/>
              <w:rPr>
                <w:sz w:val="20"/>
                <w:szCs w:val="20"/>
                <w:color w:val="auto"/>
              </w:rPr>
            </w:pPr>
            <w:r>
              <w:rPr>
                <w:rFonts w:ascii="Times New Roman" w:cs="Times New Roman" w:eastAsia="Times New Roman" w:hAnsi="Times New Roman"/>
                <w:sz w:val="15"/>
                <w:szCs w:val="15"/>
                <w:color w:val="auto"/>
              </w:rPr>
              <w:t>l Real</w:t>
            </w:r>
          </w:p>
        </w:tc>
        <w:tc>
          <w:tcPr>
            <w:tcW w:w="980" w:type="dxa"/>
            <w:vAlign w:val="bottom"/>
            <w:gridSpan w:val="3"/>
          </w:tcPr>
          <w:p>
            <w:pPr>
              <w:jc w:val="right"/>
              <w:ind w:right="240"/>
              <w:spacing w:after="0" w:line="162" w:lineRule="exact"/>
              <w:rPr>
                <w:sz w:val="20"/>
                <w:szCs w:val="20"/>
                <w:color w:val="auto"/>
              </w:rPr>
            </w:pPr>
            <w:r>
              <w:rPr>
                <w:rFonts w:ascii="Times New Roman" w:cs="Times New Roman" w:eastAsia="Times New Roman" w:hAnsi="Times New Roman"/>
                <w:sz w:val="15"/>
                <w:szCs w:val="15"/>
                <w:color w:val="auto"/>
              </w:rPr>
              <w:t>Agricultura</w:t>
            </w:r>
          </w:p>
        </w:tc>
        <w:tc>
          <w:tcPr>
            <w:tcW w:w="120" w:type="dxa"/>
            <w:vAlign w:val="bottom"/>
          </w:tcPr>
          <w:p>
            <w:pPr>
              <w:spacing w:after="0"/>
              <w:rPr>
                <w:sz w:val="14"/>
                <w:szCs w:val="14"/>
                <w:color w:val="auto"/>
              </w:rPr>
            </w:pPr>
          </w:p>
        </w:tc>
        <w:tc>
          <w:tcPr>
            <w:tcW w:w="620" w:type="dxa"/>
            <w:vAlign w:val="bottom"/>
          </w:tcPr>
          <w:p>
            <w:pPr>
              <w:jc w:val="center"/>
              <w:ind w:right="84"/>
              <w:spacing w:after="0" w:line="162" w:lineRule="exact"/>
              <w:rPr>
                <w:sz w:val="20"/>
                <w:szCs w:val="20"/>
                <w:color w:val="auto"/>
              </w:rPr>
            </w:pPr>
            <w:r>
              <w:rPr>
                <w:rFonts w:ascii="Times New Roman" w:cs="Times New Roman" w:eastAsia="Times New Roman" w:hAnsi="Times New Roman"/>
                <w:sz w:val="15"/>
                <w:szCs w:val="15"/>
                <w:color w:val="auto"/>
                <w:w w:val="99"/>
              </w:rPr>
              <w:t>al Real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5"/>
                <w:szCs w:val="15"/>
                <w:color w:val="auto"/>
              </w:rPr>
              <w:t>and</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83"/>
              <w:spacing w:after="0" w:line="162" w:lineRule="exact"/>
              <w:rPr>
                <w:sz w:val="20"/>
                <w:szCs w:val="20"/>
                <w:color w:val="auto"/>
              </w:rPr>
            </w:pPr>
            <w:r>
              <w:rPr>
                <w:rFonts w:ascii="Times New Roman" w:cs="Times New Roman" w:eastAsia="Times New Roman" w:hAnsi="Times New Roman"/>
                <w:sz w:val="15"/>
                <w:szCs w:val="15"/>
                <w:color w:val="auto"/>
                <w:w w:val="95"/>
              </w:rPr>
              <w:t>of</w:t>
            </w:r>
          </w:p>
        </w:tc>
        <w:tc>
          <w:tcPr>
            <w:tcW w:w="220" w:type="dxa"/>
            <w:vAlign w:val="bottom"/>
          </w:tcPr>
          <w:p>
            <w:pPr>
              <w:spacing w:after="0"/>
              <w:rPr>
                <w:sz w:val="14"/>
                <w:szCs w:val="14"/>
                <w:color w:val="auto"/>
              </w:rPr>
            </w:pPr>
          </w:p>
        </w:tc>
        <w:tc>
          <w:tcPr>
            <w:tcW w:w="7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Unallocate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80" w:type="dxa"/>
            <w:vAlign w:val="bottom"/>
          </w:tcPr>
          <w:p>
            <w:pPr>
              <w:ind w:left="60"/>
              <w:spacing w:after="0"/>
              <w:rPr>
                <w:sz w:val="20"/>
                <w:szCs w:val="20"/>
                <w:color w:val="auto"/>
              </w:rPr>
            </w:pPr>
            <w:r>
              <w:rPr>
                <w:rFonts w:ascii="Times New Roman" w:cs="Times New Roman" w:eastAsia="Times New Roman" w:hAnsi="Times New Roman"/>
                <w:sz w:val="15"/>
                <w:szCs w:val="15"/>
                <w:b w:val="1"/>
                <w:bCs w:val="1"/>
                <w:color w:val="auto"/>
              </w:rPr>
              <w:t>2021</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5"/>
                <w:szCs w:val="15"/>
                <w:color w:val="auto"/>
              </w:rPr>
              <w:t>Real Estate</w:t>
            </w:r>
          </w:p>
        </w:tc>
        <w:tc>
          <w:tcPr>
            <w:tcW w:w="120" w:type="dxa"/>
            <w:vAlign w:val="bottom"/>
          </w:tcPr>
          <w:p>
            <w:pPr>
              <w:spacing w:after="0"/>
              <w:rPr>
                <w:sz w:val="16"/>
                <w:szCs w:val="16"/>
                <w:color w:val="auto"/>
              </w:rPr>
            </w:pP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5"/>
                <w:szCs w:val="15"/>
                <w:color w:val="auto"/>
              </w:rPr>
              <w:t>Estate</w:t>
            </w:r>
          </w:p>
        </w:tc>
        <w:tc>
          <w:tcPr>
            <w:tcW w:w="180" w:type="dxa"/>
            <w:vAlign w:val="bottom"/>
          </w:tcPr>
          <w:p>
            <w:pPr>
              <w:spacing w:after="0"/>
              <w:rPr>
                <w:sz w:val="16"/>
                <w:szCs w:val="16"/>
                <w:color w:val="auto"/>
              </w:rPr>
            </w:pP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color w:val="auto"/>
              </w:rPr>
              <w:t>l</w:t>
            </w:r>
          </w:p>
        </w:tc>
        <w:tc>
          <w:tcPr>
            <w:tcW w:w="120" w:type="dxa"/>
            <w:vAlign w:val="bottom"/>
          </w:tcPr>
          <w:p>
            <w:pPr>
              <w:spacing w:after="0"/>
              <w:rPr>
                <w:sz w:val="16"/>
                <w:szCs w:val="16"/>
                <w:color w:val="auto"/>
              </w:rPr>
            </w:pPr>
          </w:p>
        </w:tc>
        <w:tc>
          <w:tcPr>
            <w:tcW w:w="620" w:type="dxa"/>
            <w:vAlign w:val="bottom"/>
          </w:tcPr>
          <w:p>
            <w:pPr>
              <w:jc w:val="center"/>
              <w:ind w:right="44"/>
              <w:spacing w:after="0"/>
              <w:rPr>
                <w:sz w:val="20"/>
                <w:szCs w:val="20"/>
                <w:color w:val="auto"/>
              </w:rPr>
            </w:pPr>
            <w:r>
              <w:rPr>
                <w:rFonts w:ascii="Times New Roman" w:cs="Times New Roman" w:eastAsia="Times New Roman" w:hAnsi="Times New Roman"/>
                <w:sz w:val="15"/>
                <w:szCs w:val="15"/>
                <w:color w:val="auto"/>
              </w:rPr>
              <w:t>Estate</w:t>
            </w:r>
          </w:p>
        </w:tc>
        <w:tc>
          <w:tcPr>
            <w:tcW w:w="220" w:type="dxa"/>
            <w:vAlign w:val="bottom"/>
          </w:tcPr>
          <w:p>
            <w:pPr>
              <w:spacing w:after="0"/>
              <w:rPr>
                <w:sz w:val="16"/>
                <w:szCs w:val="16"/>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5"/>
                <w:szCs w:val="15"/>
                <w:color w:val="auto"/>
              </w:rPr>
              <w:t>Industrial</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Consumer</w:t>
            </w:r>
          </w:p>
        </w:tc>
        <w:tc>
          <w:tcPr>
            <w:tcW w:w="120" w:type="dxa"/>
            <w:vAlign w:val="bottom"/>
          </w:tcPr>
          <w:p>
            <w:pPr>
              <w:spacing w:after="0"/>
              <w:rPr>
                <w:sz w:val="16"/>
                <w:szCs w:val="16"/>
                <w:color w:val="auto"/>
              </w:rPr>
            </w:pPr>
          </w:p>
        </w:tc>
        <w:tc>
          <w:tcPr>
            <w:tcW w:w="600" w:type="dxa"/>
            <w:vAlign w:val="bottom"/>
          </w:tcPr>
          <w:p>
            <w:pPr>
              <w:jc w:val="center"/>
              <w:ind w:right="63"/>
              <w:spacing w:after="0"/>
              <w:rPr>
                <w:sz w:val="20"/>
                <w:szCs w:val="20"/>
                <w:color w:val="auto"/>
              </w:rPr>
            </w:pPr>
            <w:r>
              <w:rPr>
                <w:rFonts w:ascii="Times New Roman" w:cs="Times New Roman" w:eastAsia="Times New Roman" w:hAnsi="Times New Roman"/>
                <w:sz w:val="15"/>
                <w:szCs w:val="15"/>
                <w:color w:val="auto"/>
              </w:rPr>
              <w:t>Credit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48"/>
        </w:trPr>
        <w:tc>
          <w:tcPr>
            <w:tcW w:w="2480" w:type="dxa"/>
            <w:vAlign w:val="bottom"/>
            <w:shd w:val="clear" w:color="auto" w:fill="CFF0FC"/>
          </w:tcPr>
          <w:p>
            <w:pPr>
              <w:ind w:left="20"/>
              <w:spacing w:after="0" w:line="148" w:lineRule="exact"/>
              <w:rPr>
                <w:sz w:val="20"/>
                <w:szCs w:val="20"/>
                <w:color w:val="auto"/>
              </w:rPr>
            </w:pPr>
            <w:r>
              <w:rPr>
                <w:rFonts w:ascii="Times New Roman" w:cs="Times New Roman" w:eastAsia="Times New Roman" w:hAnsi="Times New Roman"/>
                <w:sz w:val="15"/>
                <w:szCs w:val="15"/>
                <w:b w:val="1"/>
                <w:bCs w:val="1"/>
                <w:color w:val="auto"/>
              </w:rPr>
              <w:t>ALLOWANCE FOR CREDIT</w:t>
            </w:r>
          </w:p>
        </w:tc>
        <w:tc>
          <w:tcPr>
            <w:tcW w:w="1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LOSSES:</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Beginning balance</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958</w:t>
            </w:r>
          </w:p>
        </w:tc>
        <w:tc>
          <w:tcPr>
            <w:tcW w:w="24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7,415</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3,346</w:t>
            </w:r>
          </w:p>
        </w:tc>
        <w:tc>
          <w:tcPr>
            <w:tcW w:w="22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606</w:t>
            </w:r>
          </w:p>
        </w:tc>
        <w:tc>
          <w:tcPr>
            <w:tcW w:w="2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w:t>
            </w:r>
          </w:p>
        </w:tc>
        <w:tc>
          <w:tcPr>
            <w:tcW w:w="4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40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Charge-Offs</w:t>
            </w:r>
          </w:p>
        </w:tc>
        <w:tc>
          <w:tcPr>
            <w:tcW w:w="1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(19 )</w:t>
            </w:r>
          </w:p>
        </w:tc>
        <w:tc>
          <w:tcPr>
            <w:tcW w:w="12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5"/>
                <w:szCs w:val="15"/>
                <w:color w:val="auto"/>
              </w:rPr>
              <w:t>(105 )</w:t>
            </w:r>
          </w:p>
        </w:tc>
        <w:tc>
          <w:tcPr>
            <w:tcW w:w="18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5"/>
                <w:szCs w:val="15"/>
                <w:color w:val="auto"/>
              </w:rPr>
              <w:t>(143 )</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(814 )</w:t>
            </w:r>
          </w:p>
        </w:tc>
        <w:tc>
          <w:tcPr>
            <w:tcW w:w="200" w:type="dxa"/>
            <w:vAlign w:val="bottom"/>
            <w:shd w:val="clear" w:color="auto" w:fill="CFF0FC"/>
          </w:tcPr>
          <w:p>
            <w:pPr>
              <w:spacing w:after="0"/>
              <w:rPr>
                <w:sz w:val="16"/>
                <w:szCs w:val="16"/>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5"/>
                <w:szCs w:val="15"/>
                <w:color w:val="auto"/>
              </w:rPr>
              <w:t>(251 )</w:t>
            </w: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5"/>
                <w:szCs w:val="15"/>
                <w:color w:val="auto"/>
              </w:rPr>
              <w:t>(1,332 )</w:t>
            </w:r>
          </w:p>
        </w:tc>
        <w:tc>
          <w:tcPr>
            <w:tcW w:w="0" w:type="dxa"/>
            <w:vAlign w:val="bottom"/>
          </w:tcPr>
          <w:p>
            <w:pPr>
              <w:spacing w:after="0"/>
              <w:rPr>
                <w:sz w:val="1"/>
                <w:szCs w:val="1"/>
                <w:color w:val="auto"/>
              </w:rPr>
            </w:pPr>
          </w:p>
        </w:tc>
      </w:tr>
      <w:tr>
        <w:trPr>
          <w:trHeight w:val="189"/>
        </w:trPr>
        <w:tc>
          <w:tcPr>
            <w:tcW w:w="248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Recoveries</w:t>
            </w:r>
          </w:p>
        </w:tc>
        <w:tc>
          <w:tcPr>
            <w:tcW w:w="1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Provision (Credit)</w:t>
            </w:r>
          </w:p>
        </w:tc>
        <w:tc>
          <w:tcPr>
            <w:tcW w:w="18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187</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1,705</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1,058</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80" w:type="dxa"/>
            <w:vAlign w:val="bottom"/>
          </w:tcPr>
          <w:p>
            <w:pPr>
              <w:ind w:left="200"/>
              <w:spacing w:after="0" w:line="159" w:lineRule="exact"/>
              <w:rPr>
                <w:sz w:val="20"/>
                <w:szCs w:val="20"/>
                <w:color w:val="auto"/>
              </w:rPr>
            </w:pPr>
            <w:r>
              <w:rPr>
                <w:rFonts w:ascii="Times New Roman" w:cs="Times New Roman" w:eastAsia="Times New Roman" w:hAnsi="Times New Roman"/>
                <w:sz w:val="15"/>
                <w:szCs w:val="15"/>
                <w:color w:val="auto"/>
              </w:rPr>
              <w:t>Other Non-interest</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320"/>
              <w:spacing w:after="0" w:line="162" w:lineRule="exact"/>
              <w:rPr>
                <w:sz w:val="20"/>
                <w:szCs w:val="20"/>
                <w:color w:val="auto"/>
              </w:rPr>
            </w:pPr>
            <w:r>
              <w:rPr>
                <w:rFonts w:ascii="Times New Roman" w:cs="Times New Roman" w:eastAsia="Times New Roman" w:hAnsi="Times New Roman"/>
                <w:sz w:val="15"/>
                <w:szCs w:val="15"/>
                <w:color w:val="auto"/>
              </w:rPr>
              <w:t>expense related</w:t>
            </w:r>
          </w:p>
        </w:tc>
        <w:tc>
          <w:tcPr>
            <w:tcW w:w="18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to unfunded</w:t>
            </w:r>
          </w:p>
        </w:tc>
        <w:tc>
          <w:tcPr>
            <w:tcW w:w="1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709</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9,130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3,847</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625</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17,283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39"/>
        </w:trPr>
        <w:tc>
          <w:tcPr>
            <w:tcW w:w="2480" w:type="dxa"/>
            <w:vAlign w:val="bottom"/>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individually evaluated</w:t>
            </w:r>
          </w:p>
        </w:tc>
        <w:tc>
          <w:tcPr>
            <w:tcW w:w="1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691</w:t>
            </w:r>
          </w:p>
        </w:tc>
        <w:tc>
          <w:tcPr>
            <w:tcW w:w="240" w:type="dxa"/>
            <w:vAlign w:val="bottom"/>
          </w:tcPr>
          <w:p>
            <w:pPr>
              <w:spacing w:after="0"/>
              <w:rPr>
                <w:sz w:val="14"/>
                <w:szCs w:val="14"/>
                <w:color w:val="auto"/>
              </w:rPr>
            </w:pPr>
          </w:p>
        </w:tc>
        <w:tc>
          <w:tcPr>
            <w:tcW w:w="18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664</w:t>
            </w:r>
          </w:p>
        </w:tc>
        <w:tc>
          <w:tcPr>
            <w:tcW w:w="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825</w:t>
            </w:r>
          </w:p>
        </w:tc>
        <w:tc>
          <w:tcPr>
            <w:tcW w:w="220" w:type="dxa"/>
            <w:vAlign w:val="bottom"/>
          </w:tcPr>
          <w:p>
            <w:pPr>
              <w:spacing w:after="0"/>
              <w:rPr>
                <w:sz w:val="14"/>
                <w:szCs w:val="14"/>
                <w:color w:val="auto"/>
              </w:rPr>
            </w:pPr>
          </w:p>
        </w:tc>
        <w:tc>
          <w:tcPr>
            <w:tcW w:w="2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collectively evaluated</w:t>
            </w:r>
          </w:p>
        </w:tc>
        <w:tc>
          <w:tcPr>
            <w:tcW w:w="1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857</w:t>
            </w:r>
          </w:p>
        </w:tc>
        <w:tc>
          <w:tcPr>
            <w:tcW w:w="26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24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708</w:t>
            </w:r>
          </w:p>
        </w:tc>
        <w:tc>
          <w:tcPr>
            <w:tcW w:w="20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8,466</w:t>
            </w:r>
          </w:p>
        </w:tc>
        <w:tc>
          <w:tcPr>
            <w:tcW w:w="38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3,022</w:t>
            </w:r>
          </w:p>
        </w:tc>
        <w:tc>
          <w:tcPr>
            <w:tcW w:w="22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22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1,041</w:t>
            </w:r>
          </w:p>
        </w:tc>
        <w:tc>
          <w:tcPr>
            <w:tcW w:w="420" w:type="dxa"/>
            <w:vAlign w:val="bottom"/>
            <w:gridSpan w:val="2"/>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40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15,099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80" w:type="dxa"/>
            <w:vAlign w:val="bottom"/>
            <w:shd w:val="clear" w:color="auto" w:fill="CFF0FC"/>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80" w:type="dxa"/>
            <w:vAlign w:val="bottom"/>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80" w:type="dxa"/>
            <w:vAlign w:val="bottom"/>
            <w:tcBorders>
              <w:top w:val="single" w:sz="8" w:color="CFF0FC"/>
            </w:tcBorders>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 loans</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acquired with</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deteriorated credit</w:t>
            </w:r>
          </w:p>
        </w:tc>
        <w:tc>
          <w:tcPr>
            <w:tcW w:w="1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2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4"/>
                <w:szCs w:val="14"/>
                <w:color w:val="auto"/>
              </w:rPr>
            </w:pPr>
          </w:p>
        </w:tc>
        <w:tc>
          <w:tcPr>
            <w:tcW w:w="18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2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140"/>
              <w:spacing w:after="0" w:line="133" w:lineRule="exact"/>
              <w:rPr>
                <w:sz w:val="20"/>
                <w:szCs w:val="20"/>
                <w:color w:val="auto"/>
              </w:rPr>
            </w:pPr>
            <w:r>
              <w:rPr>
                <w:rFonts w:ascii="Times New Roman" w:cs="Times New Roman" w:eastAsia="Times New Roman" w:hAnsi="Times New Roman"/>
                <w:sz w:val="15"/>
                <w:szCs w:val="15"/>
                <w:color w:val="auto"/>
              </w:rPr>
              <w:t>quality</w:t>
            </w:r>
          </w:p>
        </w:tc>
        <w:tc>
          <w:tcPr>
            <w:tcW w:w="1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48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5"/>
                <w:szCs w:val="15"/>
                <w:b w:val="1"/>
                <w:bCs w:val="1"/>
                <w:color w:val="auto"/>
              </w:rPr>
              <w:t>FINANCING RECEIVABLES:</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395,805</w:t>
            </w:r>
          </w:p>
        </w:tc>
        <w:tc>
          <w:tcPr>
            <w:tcW w:w="2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198,033</w:t>
            </w:r>
          </w:p>
        </w:tc>
        <w:tc>
          <w:tcPr>
            <w:tcW w:w="240" w:type="dxa"/>
            <w:vAlign w:val="bottom"/>
          </w:tcPr>
          <w:p>
            <w:pPr>
              <w:spacing w:after="0"/>
              <w:rPr>
                <w:sz w:val="16"/>
                <w:szCs w:val="16"/>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118,504</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847,110</w:t>
            </w:r>
          </w:p>
        </w:tc>
        <w:tc>
          <w:tcPr>
            <w:tcW w:w="3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240,138</w:t>
            </w:r>
          </w:p>
        </w:tc>
        <w:tc>
          <w:tcPr>
            <w:tcW w:w="22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57,829</w:t>
            </w:r>
          </w:p>
        </w:tc>
        <w:tc>
          <w:tcPr>
            <w:tcW w:w="2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1,857,419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individually evaluated</w:t>
            </w:r>
          </w:p>
        </w:tc>
        <w:tc>
          <w:tcPr>
            <w:tcW w:w="1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26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6,725</w:t>
            </w:r>
          </w:p>
        </w:tc>
        <w:tc>
          <w:tcPr>
            <w:tcW w:w="24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20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3,561</w:t>
            </w:r>
          </w:p>
        </w:tc>
        <w:tc>
          <w:tcPr>
            <w:tcW w:w="38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1,003</w:t>
            </w:r>
          </w:p>
        </w:tc>
        <w:tc>
          <w:tcPr>
            <w:tcW w:w="22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26</w:t>
            </w:r>
          </w:p>
        </w:tc>
        <w:tc>
          <w:tcPr>
            <w:tcW w:w="22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11,939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80" w:type="dxa"/>
            <w:vAlign w:val="bottom"/>
            <w:shd w:val="clear" w:color="auto" w:fill="CFF0FC"/>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80" w:type="dxa"/>
            <w:vAlign w:val="bottom"/>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20" w:type="dxa"/>
            <w:vAlign w:val="bottom"/>
            <w:vMerge w:val="continue"/>
            <w:shd w:val="clear" w:color="auto" w:fill="CFF0FC"/>
          </w:tcPr>
          <w:p>
            <w:pPr>
              <w:spacing w:after="0"/>
              <w:rPr>
                <w:sz w:val="16"/>
                <w:szCs w:val="16"/>
                <w:color w:val="auto"/>
              </w:rPr>
            </w:pPr>
          </w:p>
        </w:tc>
        <w:tc>
          <w:tcPr>
            <w:tcW w:w="380" w:type="dxa"/>
            <w:vAlign w:val="bottom"/>
            <w:gridSpan w:val="2"/>
            <w:vMerge w:val="continue"/>
            <w:shd w:val="clear" w:color="auto" w:fill="CFF0FC"/>
          </w:tcPr>
          <w:p>
            <w:pPr>
              <w:spacing w:after="0"/>
              <w:rPr>
                <w:sz w:val="16"/>
                <w:szCs w:val="16"/>
                <w:color w:val="auto"/>
              </w:rPr>
            </w:pPr>
          </w:p>
        </w:tc>
        <w:tc>
          <w:tcPr>
            <w:tcW w:w="5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5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600" w:type="dxa"/>
            <w:vAlign w:val="bottom"/>
            <w:vMerge w:val="continue"/>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520" w:type="dxa"/>
            <w:vAlign w:val="bottom"/>
            <w:vMerge w:val="continue"/>
            <w:shd w:val="clear" w:color="auto" w:fill="CFF0FC"/>
          </w:tcPr>
          <w:p>
            <w:pPr>
              <w:spacing w:after="0"/>
              <w:rPr>
                <w:sz w:val="16"/>
                <w:szCs w:val="16"/>
                <w:color w:val="auto"/>
              </w:rPr>
            </w:pPr>
          </w:p>
        </w:tc>
        <w:tc>
          <w:tcPr>
            <w:tcW w:w="40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80" w:type="dxa"/>
            <w:vAlign w:val="bottom"/>
            <w:tcBorders>
              <w:top w:val="single" w:sz="8" w:color="CFF0FC"/>
            </w:tcBorders>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40"/>
              <w:spacing w:after="0" w:line="162" w:lineRule="exact"/>
              <w:rPr>
                <w:sz w:val="20"/>
                <w:szCs w:val="20"/>
                <w:color w:val="auto"/>
              </w:rPr>
            </w:pPr>
            <w:r>
              <w:rPr>
                <w:rFonts w:ascii="Times New Roman" w:cs="Times New Roman" w:eastAsia="Times New Roman" w:hAnsi="Times New Roman"/>
                <w:sz w:val="15"/>
                <w:szCs w:val="15"/>
                <w:color w:val="auto"/>
              </w:rPr>
              <w:t>collectively evaluated</w:t>
            </w:r>
          </w:p>
        </w:tc>
        <w:tc>
          <w:tcPr>
            <w:tcW w:w="180" w:type="dxa"/>
            <w:vAlign w:val="bottom"/>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394,489</w:t>
            </w:r>
          </w:p>
        </w:tc>
        <w:tc>
          <w:tcPr>
            <w:tcW w:w="26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191,107</w:t>
            </w:r>
          </w:p>
        </w:tc>
        <w:tc>
          <w:tcPr>
            <w:tcW w:w="240" w:type="dxa"/>
            <w:vAlign w:val="bottom"/>
          </w:tcPr>
          <w:p>
            <w:pPr>
              <w:spacing w:after="0"/>
              <w:rPr>
                <w:sz w:val="14"/>
                <w:szCs w:val="14"/>
                <w:color w:val="auto"/>
              </w:rPr>
            </w:pPr>
          </w:p>
        </w:tc>
        <w:tc>
          <w:tcPr>
            <w:tcW w:w="180" w:type="dxa"/>
            <w:vAlign w:val="bottom"/>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118,484</w:t>
            </w:r>
          </w:p>
        </w:tc>
        <w:tc>
          <w:tcPr>
            <w:tcW w:w="2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843,299</w:t>
            </w:r>
          </w:p>
        </w:tc>
        <w:tc>
          <w:tcPr>
            <w:tcW w:w="3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238,849</w:t>
            </w:r>
          </w:p>
        </w:tc>
        <w:tc>
          <w:tcPr>
            <w:tcW w:w="220" w:type="dxa"/>
            <w:vAlign w:val="bottom"/>
          </w:tcPr>
          <w:p>
            <w:pPr>
              <w:spacing w:after="0"/>
              <w:rPr>
                <w:sz w:val="14"/>
                <w:szCs w:val="14"/>
                <w:color w:val="auto"/>
              </w:rPr>
            </w:pPr>
          </w:p>
        </w:tc>
        <w:tc>
          <w:tcPr>
            <w:tcW w:w="200" w:type="dxa"/>
            <w:vAlign w:val="bottom"/>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57,803</w:t>
            </w:r>
          </w:p>
        </w:tc>
        <w:tc>
          <w:tcPr>
            <w:tcW w:w="220" w:type="dxa"/>
            <w:vAlign w:val="bottom"/>
          </w:tcPr>
          <w:p>
            <w:pPr>
              <w:spacing w:after="0"/>
              <w:rPr>
                <w:sz w:val="14"/>
                <w:szCs w:val="14"/>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1,844,031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80" w:type="dxa"/>
            <w:vAlign w:val="bottom"/>
          </w:tcPr>
          <w:p>
            <w:pPr>
              <w:ind w:left="140"/>
              <w:spacing w:after="0" w:line="133" w:lineRule="exact"/>
              <w:rPr>
                <w:sz w:val="20"/>
                <w:szCs w:val="20"/>
                <w:color w:val="auto"/>
              </w:rPr>
            </w:pPr>
            <w:r>
              <w:rPr>
                <w:rFonts w:ascii="Times New Roman" w:cs="Times New Roman" w:eastAsia="Times New Roman" w:hAnsi="Times New Roman"/>
                <w:sz w:val="15"/>
                <w:szCs w:val="15"/>
                <w:color w:val="auto"/>
              </w:rPr>
              <w:t>for impairment</w:t>
            </w:r>
          </w:p>
        </w:tc>
        <w:tc>
          <w:tcPr>
            <w:tcW w:w="18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4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5"/>
                <w:szCs w:val="15"/>
                <w:color w:val="auto"/>
              </w:rPr>
              <w:t>Ending balance: loans</w:t>
            </w:r>
          </w:p>
        </w:tc>
        <w:tc>
          <w:tcPr>
            <w:tcW w:w="18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acquired with</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FF0FC"/>
          </w:tcPr>
          <w:p>
            <w:pPr>
              <w:ind w:left="140"/>
              <w:spacing w:after="0" w:line="162" w:lineRule="exact"/>
              <w:rPr>
                <w:sz w:val="20"/>
                <w:szCs w:val="20"/>
                <w:color w:val="auto"/>
              </w:rPr>
            </w:pPr>
            <w:r>
              <w:rPr>
                <w:rFonts w:ascii="Times New Roman" w:cs="Times New Roman" w:eastAsia="Times New Roman" w:hAnsi="Times New Roman"/>
                <w:sz w:val="15"/>
                <w:szCs w:val="15"/>
                <w:color w:val="auto"/>
              </w:rPr>
              <w:t>deteriorated credit</w:t>
            </w:r>
          </w:p>
        </w:tc>
        <w:tc>
          <w:tcPr>
            <w:tcW w:w="180" w:type="dxa"/>
            <w:vAlign w:val="bottom"/>
            <w:vMerge w:val="restart"/>
            <w:shd w:val="clear" w:color="auto" w:fill="CFF0FC"/>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712</w:t>
            </w:r>
          </w:p>
        </w:tc>
        <w:tc>
          <w:tcPr>
            <w:tcW w:w="26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24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220" w:type="dxa"/>
            <w:vAlign w:val="bottom"/>
            <w:vMerge w:val="restart"/>
            <w:shd w:val="clear" w:color="auto" w:fill="CFF0FC"/>
          </w:tcPr>
          <w:p>
            <w:pPr>
              <w:spacing w:after="0"/>
              <w:rPr>
                <w:sz w:val="14"/>
                <w:szCs w:val="14"/>
                <w:color w:val="auto"/>
              </w:rPr>
            </w:pPr>
          </w:p>
        </w:tc>
        <w:tc>
          <w:tcPr>
            <w:tcW w:w="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286</w:t>
            </w:r>
          </w:p>
        </w:tc>
        <w:tc>
          <w:tcPr>
            <w:tcW w:w="220" w:type="dxa"/>
            <w:vAlign w:val="bottom"/>
            <w:shd w:val="clear" w:color="auto" w:fill="CFF0FC"/>
          </w:tcPr>
          <w:p>
            <w:pPr>
              <w:spacing w:after="0"/>
              <w:rPr>
                <w:sz w:val="14"/>
                <w:szCs w:val="14"/>
                <w:color w:val="auto"/>
              </w:rPr>
            </w:pPr>
          </w:p>
        </w:tc>
        <w:tc>
          <w:tcPr>
            <w:tcW w:w="20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vMerge w:val="restart"/>
            <w:shd w:val="clear" w:color="auto" w:fill="CFF0FC"/>
          </w:tcPr>
          <w:p>
            <w:pPr>
              <w:spacing w:after="0"/>
              <w:rPr>
                <w:sz w:val="14"/>
                <w:szCs w:val="14"/>
                <w:color w:val="auto"/>
              </w:rPr>
            </w:pPr>
          </w:p>
        </w:tc>
        <w:tc>
          <w:tcPr>
            <w:tcW w:w="200" w:type="dxa"/>
            <w:vAlign w:val="bottom"/>
            <w:vMerge w:val="restart"/>
            <w:shd w:val="clear" w:color="auto" w:fill="CFF0FC"/>
          </w:tcPr>
          <w:p>
            <w:pPr>
              <w:jc w:val="right"/>
              <w:ind w:right="44"/>
              <w:spacing w:after="0"/>
              <w:rPr>
                <w:sz w:val="20"/>
                <w:szCs w:val="20"/>
                <w:color w:val="auto"/>
              </w:rPr>
            </w:pPr>
            <w:r>
              <w:rPr>
                <w:rFonts w:ascii="Times New Roman" w:cs="Times New Roman" w:eastAsia="Times New Roman" w:hAnsi="Times New Roman"/>
                <w:sz w:val="15"/>
                <w:szCs w:val="15"/>
                <w:color w:val="auto"/>
                <w:w w:val="79"/>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vMerge w:val="restart"/>
            <w:shd w:val="clear" w:color="auto" w:fill="CFF0FC"/>
          </w:tcPr>
          <w:p>
            <w:pPr>
              <w:spacing w:after="0"/>
              <w:rPr>
                <w:sz w:val="14"/>
                <w:szCs w:val="14"/>
                <w:color w:val="auto"/>
              </w:rPr>
            </w:pPr>
          </w:p>
        </w:tc>
        <w:tc>
          <w:tcPr>
            <w:tcW w:w="180" w:type="dxa"/>
            <w:vAlign w:val="bottom"/>
            <w:vMerge w:val="restart"/>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1,449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480" w:type="dxa"/>
            <w:vAlign w:val="bottom"/>
            <w:tcBorders>
              <w:bottom w:val="single" w:sz="8" w:color="CFF0FC"/>
            </w:tcBorders>
            <w:shd w:val="clear" w:color="auto" w:fill="CFF0FC"/>
          </w:tcPr>
          <w:p>
            <w:pPr>
              <w:ind w:left="140"/>
              <w:spacing w:after="0" w:line="133" w:lineRule="exact"/>
              <w:rPr>
                <w:sz w:val="20"/>
                <w:szCs w:val="20"/>
                <w:color w:val="auto"/>
              </w:rPr>
            </w:pPr>
            <w:r>
              <w:rPr>
                <w:rFonts w:ascii="Times New Roman" w:cs="Times New Roman" w:eastAsia="Times New Roman" w:hAnsi="Times New Roman"/>
                <w:sz w:val="15"/>
                <w:szCs w:val="15"/>
                <w:color w:val="auto"/>
              </w:rPr>
              <w:t>quality</w:t>
            </w: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58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6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58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54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52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vMerge w:val="continue"/>
            <w:shd w:val="clear" w:color="auto" w:fill="CFF0FC"/>
          </w:tcPr>
          <w:p>
            <w:pPr>
              <w:spacing w:after="0"/>
              <w:rPr>
                <w:sz w:val="16"/>
                <w:szCs w:val="16"/>
                <w:color w:val="auto"/>
              </w:rPr>
            </w:pPr>
          </w:p>
        </w:tc>
        <w:tc>
          <w:tcPr>
            <w:tcW w:w="180" w:type="dxa"/>
            <w:vAlign w:val="bottom"/>
            <w:tcBorders>
              <w:bottom w:val="single" w:sz="8" w:color="auto"/>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-2451100</wp:posOffset>
            </wp:positionV>
            <wp:extent cx="5074920" cy="3511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074920" cy="3511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-1799590</wp:posOffset>
            </wp:positionV>
            <wp:extent cx="5074920" cy="45402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074920" cy="45402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-779145</wp:posOffset>
            </wp:positionV>
            <wp:extent cx="5074920" cy="3511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5074920" cy="3511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-24765</wp:posOffset>
            </wp:positionV>
            <wp:extent cx="768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-7620</wp:posOffset>
            </wp:positionV>
            <wp:extent cx="768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-24765</wp:posOffset>
            </wp:positionV>
            <wp:extent cx="7683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-7620</wp:posOffset>
            </wp:positionV>
            <wp:extent cx="768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-24765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-7620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-24765</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7" w:name="page88"/>
    <w:bookmarkEnd w:id="87"/>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27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 Premises and Equipment</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major categories of banking premises and equipment and accumulated depreciation at December 31 are summarized below:</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color w:val="auto"/>
              </w:rPr>
              <w:t>(In Thousands)</w:t>
            </w:r>
          </w:p>
        </w:tc>
      </w:tr>
      <w:tr>
        <w:trPr>
          <w:trHeight w:val="239"/>
        </w:trPr>
        <w:tc>
          <w:tcPr>
            <w:tcW w:w="53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41"/>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6,896</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80" w:type="dxa"/>
            <w:vAlign w:val="bottom"/>
            <w:shd w:val="clear" w:color="auto" w:fill="CFF0FC"/>
          </w:tcPr>
          <w:p>
            <w:pPr>
              <w:spacing w:after="0"/>
              <w:rPr>
                <w:sz w:val="20"/>
                <w:szCs w:val="20"/>
                <w:color w:val="auto"/>
              </w:rPr>
            </w:pPr>
          </w:p>
        </w:tc>
      </w:tr>
      <w:tr>
        <w:trPr>
          <w:trHeight w:val="23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Buildings (useful life 15-39 years)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34,501</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30,929</w:t>
            </w:r>
          </w:p>
        </w:tc>
        <w:tc>
          <w:tcPr>
            <w:tcW w:w="80" w:type="dxa"/>
            <w:vAlign w:val="bottom"/>
          </w:tcPr>
          <w:p>
            <w:pPr>
              <w:spacing w:after="0"/>
              <w:rPr>
                <w:sz w:val="20"/>
                <w:szCs w:val="20"/>
                <w:color w:val="auto"/>
              </w:rPr>
            </w:pPr>
          </w:p>
        </w:tc>
      </w:tr>
      <w:tr>
        <w:trPr>
          <w:trHeight w:val="24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Furnishings (useful life 3-15 years)</w:t>
            </w: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26,448</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23,160</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5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67,845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60,741</w:t>
            </w:r>
          </w:p>
        </w:tc>
        <w:tc>
          <w:tcPr>
            <w:tcW w:w="80" w:type="dxa"/>
            <w:vAlign w:val="bottom"/>
          </w:tcPr>
          <w:p>
            <w:pPr>
              <w:spacing w:after="0"/>
              <w:rPr>
                <w:sz w:val="20"/>
                <w:szCs w:val="20"/>
                <w:color w:val="auto"/>
              </w:rPr>
            </w:pPr>
          </w:p>
        </w:tc>
      </w:tr>
      <w:tr>
        <w:trPr>
          <w:trHeight w:val="247"/>
        </w:trPr>
        <w:tc>
          <w:tcPr>
            <w:tcW w:w="5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(39,464 )</w:t>
            </w:r>
          </w:p>
        </w:tc>
        <w:tc>
          <w:tcPr>
            <w:tcW w:w="24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(33,828 )</w:t>
            </w:r>
          </w:p>
        </w:tc>
      </w:tr>
      <w:tr>
        <w:trPr>
          <w:trHeight w:val="241"/>
        </w:trPr>
        <w:tc>
          <w:tcPr>
            <w:tcW w:w="5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28,381</w:t>
            </w:r>
          </w:p>
        </w:tc>
        <w:tc>
          <w:tcPr>
            <w:tcW w:w="18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26,913</w:t>
            </w:r>
          </w:p>
        </w:tc>
        <w:tc>
          <w:tcPr>
            <w:tcW w:w="80" w:type="dxa"/>
            <w:vAlign w:val="bottom"/>
            <w:tcBorders>
              <w:top w:val="single" w:sz="8" w:color="CFF0FC"/>
            </w:tcBorders>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-505460</wp:posOffset>
            </wp:positionV>
            <wp:extent cx="51435" cy="16319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-505460</wp:posOffset>
            </wp:positionV>
            <wp:extent cx="43180" cy="16319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3180" cy="1631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-187960</wp:posOffset>
            </wp:positionV>
            <wp:extent cx="51435" cy="18859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2022, 2021, and 2020 amounted to $2.7, $2.6, and $2.5 million, respectively.</w:t>
      </w:r>
    </w:p>
    <w:p>
      <w:pPr>
        <w:spacing w:after="0" w:line="225"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Construction in progress of $278 thousand as of December 31, 2022 relates to the construction of three new offices which are expected to be operational by end of third quarter 2023.</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Servicing</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Loans serviced for others are not included in the accompanying consolidated balance sheets. The unpaid principal balances of loans serviced for others were $375.6 and $380.8 million at December 31, 2022 and 2021, respectively.</w:t>
      </w:r>
    </w:p>
    <w:p>
      <w:pPr>
        <w:spacing w:after="0" w:line="162"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balance of capitalized servicing rights included in other assets at December 31, 2022 and 2021, was $3.5 and $3.6 million, respectively. The capitalized addition of servicing rights is included in net gain on sale of loans on the consolidated statement of income.</w:t>
      </w:r>
    </w:p>
    <w:p>
      <w:pPr>
        <w:spacing w:after="0" w:line="162"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fair market value of the capitalized servicing rights as of December 31, 2022 and 2021 was $5.1 million and $3.2 million, respectively. The valuations were completed by stratifying the loans into like groups based on loan type and term. Impairment was measured by estimating the fair value of each stratum, taking into consideration an estimated level of prepayment based upon current market conditions. An average constant prepayment rate of 7.7% and 21.7% were utilized for 2022 and 2021, respectively. All strata did show positive values in 2022 compared to the carrying value using a discount yield of 5.94%. In 2021, all strata did not show positive values compared to carrying value using a discount yield of 1.97% which resulted in the need to establish a $414 thousand valuation allowance.</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summarizes mortgage servicing rights capitalized and amortized during each year: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7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(In Thousands)</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2021</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Year</w:t>
            </w:r>
          </w:p>
        </w:tc>
        <w:tc>
          <w:tcPr>
            <w:tcW w:w="15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3,571</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Additions</w:t>
            </w:r>
          </w:p>
        </w:tc>
        <w:tc>
          <w:tcPr>
            <w:tcW w:w="1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15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(559 )</w:t>
            </w:r>
          </w:p>
        </w:tc>
        <w:tc>
          <w:tcPr>
            <w:tcW w:w="4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(1,166 )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700" w:type="dxa"/>
            <w:vAlign w:val="bottom"/>
          </w:tcPr>
          <w:p>
            <w:pPr>
              <w:spacing w:after="0"/>
              <w:rPr>
                <w:sz w:val="20"/>
                <w:szCs w:val="20"/>
                <w:color w:val="auto"/>
              </w:rPr>
            </w:pPr>
          </w:p>
        </w:tc>
        <w:tc>
          <w:tcPr>
            <w:tcW w:w="3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Ending Balance, December 31</w:t>
            </w:r>
          </w:p>
        </w:tc>
        <w:tc>
          <w:tcPr>
            <w:tcW w:w="1520" w:type="dxa"/>
            <w:vAlign w:val="bottom"/>
            <w:tcBorders>
              <w:top w:val="single" w:sz="8" w:color="CFF0FC"/>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3,549</w:t>
            </w:r>
          </w:p>
        </w:tc>
        <w:tc>
          <w:tcPr>
            <w:tcW w:w="26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3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5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(414 )</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3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Mortgage Servicing Rights net, December 31</w:t>
            </w:r>
          </w:p>
        </w:tc>
        <w:tc>
          <w:tcPr>
            <w:tcW w:w="152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3,549</w:t>
            </w:r>
          </w:p>
        </w:tc>
        <w:tc>
          <w:tcPr>
            <w:tcW w:w="26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w:t>
            </w:r>
          </w:p>
        </w:tc>
        <w:tc>
          <w:tcPr>
            <w:tcW w:w="80" w:type="dxa"/>
            <w:vAlign w:val="bottom"/>
            <w:tcBorders>
              <w:top w:val="single" w:sz="8" w:color="CFF0FC"/>
            </w:tcBorders>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520" w:type="dxa"/>
            <w:vAlign w:val="bottom"/>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88</w:t>
            </w: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-1002030</wp:posOffset>
            </wp:positionV>
            <wp:extent cx="51435" cy="16256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-1002030</wp:posOffset>
            </wp:positionV>
            <wp:extent cx="43180" cy="16256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-685165</wp:posOffset>
            </wp:positionV>
            <wp:extent cx="51435" cy="18859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-685165</wp:posOffset>
            </wp:positionV>
            <wp:extent cx="43180" cy="18859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5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c>
      </w:tr>
      <w:tr>
        <w:trPr>
          <w:trHeight w:val="243"/>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tc>
      </w:tr>
      <w:tr>
        <w:trPr>
          <w:trHeight w:val="594"/>
        </w:trPr>
        <w:tc>
          <w:tcPr>
            <w:tcW w:w="6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7 - Deposits</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24"/>
        </w:trPr>
        <w:tc>
          <w:tcPr>
            <w:tcW w:w="606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Time deposits as of December 31 consist of the following:</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53"/>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6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9"/>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41"/>
        </w:trPr>
        <w:tc>
          <w:tcPr>
            <w:tcW w:w="1700" w:type="dxa"/>
            <w:vAlign w:val="bottom"/>
          </w:tcPr>
          <w:p>
            <w:pPr>
              <w:spacing w:after="0"/>
              <w:rPr>
                <w:sz w:val="20"/>
                <w:szCs w:val="20"/>
                <w:color w:val="auto"/>
              </w:rPr>
            </w:pPr>
          </w:p>
        </w:tc>
        <w:tc>
          <w:tcPr>
            <w:tcW w:w="4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Time deposits under $250,000</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495,891</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397,102</w:t>
            </w:r>
          </w:p>
        </w:tc>
        <w:tc>
          <w:tcPr>
            <w:tcW w:w="80" w:type="dxa"/>
            <w:vAlign w:val="bottom"/>
            <w:shd w:val="clear" w:color="auto" w:fill="CFF0FC"/>
          </w:tcPr>
          <w:p>
            <w:pPr>
              <w:spacing w:after="0"/>
              <w:rPr>
                <w:sz w:val="20"/>
                <w:szCs w:val="20"/>
                <w:color w:val="auto"/>
              </w:rPr>
            </w:pPr>
          </w:p>
        </w:tc>
        <w:tc>
          <w:tcPr>
            <w:tcW w:w="1660" w:type="dxa"/>
            <w:vAlign w:val="bottom"/>
          </w:tcPr>
          <w:p>
            <w:pPr>
              <w:spacing w:after="0"/>
              <w:rPr>
                <w:sz w:val="20"/>
                <w:szCs w:val="20"/>
                <w:color w:val="auto"/>
              </w:rPr>
            </w:pPr>
          </w:p>
        </w:tc>
      </w:tr>
      <w:tr>
        <w:trPr>
          <w:trHeight w:val="239"/>
        </w:trPr>
        <w:tc>
          <w:tcPr>
            <w:tcW w:w="170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Time deposits of $250,000 or more</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62,089</w:t>
            </w:r>
          </w:p>
        </w:tc>
        <w:tc>
          <w:tcPr>
            <w:tcW w:w="2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74,377</w:t>
            </w: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7"/>
        </w:trPr>
        <w:tc>
          <w:tcPr>
            <w:tcW w:w="1700" w:type="dxa"/>
            <w:vAlign w:val="bottom"/>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38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557,980</w:t>
            </w:r>
          </w:p>
        </w:tc>
        <w:tc>
          <w:tcPr>
            <w:tcW w:w="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471,479</w:t>
            </w:r>
          </w:p>
        </w:tc>
        <w:tc>
          <w:tcPr>
            <w:tcW w:w="80" w:type="dxa"/>
            <w:vAlign w:val="bottom"/>
            <w:tcBorders>
              <w:bottom w:val="single" w:sz="8" w:color="CFF0FC"/>
            </w:tcBorders>
            <w:shd w:val="clear" w:color="auto" w:fill="CFF0FC"/>
          </w:tcPr>
          <w:p>
            <w:pPr>
              <w:spacing w:after="0"/>
              <w:rPr>
                <w:sz w:val="24"/>
                <w:szCs w:val="24"/>
                <w:color w:val="auto"/>
              </w:rPr>
            </w:pPr>
          </w:p>
        </w:tc>
        <w:tc>
          <w:tcPr>
            <w:tcW w:w="1660" w:type="dxa"/>
            <w:vAlign w:val="bottom"/>
          </w:tcPr>
          <w:p>
            <w:pPr>
              <w:spacing w:after="0"/>
              <w:rPr>
                <w:sz w:val="24"/>
                <w:szCs w:val="24"/>
                <w:color w:val="auto"/>
              </w:rPr>
            </w:pPr>
          </w:p>
        </w:tc>
      </w:tr>
      <w:tr>
        <w:trPr>
          <w:trHeight w:val="417"/>
        </w:trPr>
        <w:tc>
          <w:tcPr>
            <w:tcW w:w="6600" w:type="dxa"/>
            <w:vAlign w:val="bottom"/>
            <w:gridSpan w:val="4"/>
          </w:tcPr>
          <w:p>
            <w:pPr>
              <w:ind w:left="760"/>
              <w:spacing w:after="0"/>
              <w:rPr>
                <w:sz w:val="20"/>
                <w:szCs w:val="20"/>
                <w:color w:val="auto"/>
              </w:rPr>
            </w:pPr>
            <w:r>
              <w:rPr>
                <w:rFonts w:ascii="Times New Roman" w:cs="Times New Roman" w:eastAsia="Times New Roman" w:hAnsi="Times New Roman"/>
                <w:sz w:val="18"/>
                <w:szCs w:val="18"/>
                <w:color w:val="auto"/>
              </w:rPr>
              <w:t>At December 31, 2022 the scheduled maturities for time deposits are as follows:</w:t>
            </w: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45"/>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00" w:type="dxa"/>
            <w:vAlign w:val="bottom"/>
            <w:gridSpan w:val="7"/>
          </w:tcPr>
          <w:p>
            <w:pPr>
              <w:jc w:val="right"/>
              <w:ind w:right="2640"/>
              <w:spacing w:after="0"/>
              <w:rPr>
                <w:sz w:val="20"/>
                <w:szCs w:val="20"/>
                <w:color w:val="auto"/>
              </w:rPr>
            </w:pPr>
            <w:r>
              <w:rPr>
                <w:rFonts w:ascii="Times New Roman" w:cs="Times New Roman" w:eastAsia="Times New Roman" w:hAnsi="Times New Roman"/>
                <w:sz w:val="18"/>
                <w:szCs w:val="18"/>
                <w:color w:val="auto"/>
              </w:rPr>
              <w:t>(In Thousands)</w:t>
            </w:r>
          </w:p>
        </w:tc>
      </w:tr>
      <w:tr>
        <w:trPr>
          <w:trHeight w:val="27"/>
        </w:trPr>
        <w:tc>
          <w:tcPr>
            <w:tcW w:w="2260" w:type="dxa"/>
            <w:vAlign w:val="bottom"/>
            <w:gridSpan w:val="2"/>
          </w:tcPr>
          <w:p>
            <w:pPr>
              <w:spacing w:after="0"/>
              <w:rPr>
                <w:sz w:val="2"/>
                <w:szCs w:val="2"/>
                <w:color w:val="auto"/>
              </w:rPr>
            </w:pPr>
          </w:p>
        </w:tc>
        <w:tc>
          <w:tcPr>
            <w:tcW w:w="3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36"/>
        </w:trPr>
        <w:tc>
          <w:tcPr>
            <w:tcW w:w="2260" w:type="dxa"/>
            <w:vAlign w:val="bottom"/>
            <w:gridSpan w:val="2"/>
          </w:tcPr>
          <w:p>
            <w:pPr>
              <w:spacing w:after="0"/>
              <w:rPr>
                <w:sz w:val="20"/>
                <w:szCs w:val="20"/>
                <w:color w:val="auto"/>
              </w:rPr>
            </w:pPr>
          </w:p>
        </w:tc>
        <w:tc>
          <w:tcPr>
            <w:tcW w:w="3800" w:type="dxa"/>
            <w:vAlign w:val="bottom"/>
            <w:shd w:val="clear" w:color="auto" w:fill="CFF0FC"/>
          </w:tcPr>
          <w:p>
            <w:pPr>
              <w:jc w:val="center"/>
              <w:ind w:right="2990"/>
              <w:spacing w:after="0"/>
              <w:rPr>
                <w:sz w:val="20"/>
                <w:szCs w:val="20"/>
                <w:color w:val="auto"/>
              </w:rPr>
            </w:pPr>
            <w:r>
              <w:rPr>
                <w:rFonts w:ascii="Times New Roman" w:cs="Times New Roman" w:eastAsia="Times New Roman" w:hAnsi="Times New Roman"/>
                <w:sz w:val="18"/>
                <w:szCs w:val="18"/>
                <w:color w:val="auto"/>
                <w:w w:val="99"/>
              </w:rPr>
              <w:t>2023</w:t>
            </w:r>
          </w:p>
        </w:tc>
        <w:tc>
          <w:tcPr>
            <w:tcW w:w="5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383,052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34"/>
        </w:trPr>
        <w:tc>
          <w:tcPr>
            <w:tcW w:w="2260" w:type="dxa"/>
            <w:vAlign w:val="bottom"/>
            <w:gridSpan w:val="2"/>
          </w:tcPr>
          <w:p>
            <w:pPr>
              <w:spacing w:after="0"/>
              <w:rPr>
                <w:sz w:val="20"/>
                <w:szCs w:val="20"/>
                <w:color w:val="auto"/>
              </w:rPr>
            </w:pPr>
          </w:p>
        </w:tc>
        <w:tc>
          <w:tcPr>
            <w:tcW w:w="3800" w:type="dxa"/>
            <w:vAlign w:val="bottom"/>
          </w:tcPr>
          <w:p>
            <w:pPr>
              <w:jc w:val="center"/>
              <w:ind w:right="2990"/>
              <w:spacing w:after="0"/>
              <w:rPr>
                <w:sz w:val="20"/>
                <w:szCs w:val="20"/>
                <w:color w:val="auto"/>
              </w:rPr>
            </w:pPr>
            <w:r>
              <w:rPr>
                <w:rFonts w:ascii="Times New Roman" w:cs="Times New Roman" w:eastAsia="Times New Roman" w:hAnsi="Times New Roman"/>
                <w:sz w:val="18"/>
                <w:szCs w:val="18"/>
                <w:color w:val="auto"/>
                <w:w w:val="99"/>
              </w:rPr>
              <w:t>2024</w:t>
            </w: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91,267</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2"/>
        </w:trPr>
        <w:tc>
          <w:tcPr>
            <w:tcW w:w="2260" w:type="dxa"/>
            <w:vAlign w:val="bottom"/>
            <w:gridSpan w:val="2"/>
          </w:tcPr>
          <w:p>
            <w:pPr>
              <w:spacing w:after="0"/>
              <w:rPr>
                <w:sz w:val="21"/>
                <w:szCs w:val="21"/>
                <w:color w:val="auto"/>
              </w:rPr>
            </w:pPr>
          </w:p>
        </w:tc>
        <w:tc>
          <w:tcPr>
            <w:tcW w:w="3800" w:type="dxa"/>
            <w:vAlign w:val="bottom"/>
            <w:shd w:val="clear" w:color="auto" w:fill="CFF0FC"/>
          </w:tcPr>
          <w:p>
            <w:pPr>
              <w:jc w:val="center"/>
              <w:ind w:right="2990"/>
              <w:spacing w:after="0"/>
              <w:rPr>
                <w:sz w:val="20"/>
                <w:szCs w:val="20"/>
                <w:color w:val="auto"/>
              </w:rPr>
            </w:pPr>
            <w:r>
              <w:rPr>
                <w:rFonts w:ascii="Times New Roman" w:cs="Times New Roman" w:eastAsia="Times New Roman" w:hAnsi="Times New Roman"/>
                <w:sz w:val="18"/>
                <w:szCs w:val="18"/>
                <w:color w:val="auto"/>
                <w:w w:val="99"/>
              </w:rPr>
              <w:t>2025</w:t>
            </w:r>
          </w:p>
        </w:tc>
        <w:tc>
          <w:tcPr>
            <w:tcW w:w="5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62,412</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34"/>
        </w:trPr>
        <w:tc>
          <w:tcPr>
            <w:tcW w:w="2260" w:type="dxa"/>
            <w:vAlign w:val="bottom"/>
            <w:gridSpan w:val="2"/>
          </w:tcPr>
          <w:p>
            <w:pPr>
              <w:spacing w:after="0"/>
              <w:rPr>
                <w:sz w:val="20"/>
                <w:szCs w:val="20"/>
                <w:color w:val="auto"/>
              </w:rPr>
            </w:pPr>
          </w:p>
        </w:tc>
        <w:tc>
          <w:tcPr>
            <w:tcW w:w="3800" w:type="dxa"/>
            <w:vAlign w:val="bottom"/>
          </w:tcPr>
          <w:p>
            <w:pPr>
              <w:jc w:val="center"/>
              <w:ind w:right="2990"/>
              <w:spacing w:after="0"/>
              <w:rPr>
                <w:sz w:val="20"/>
                <w:szCs w:val="20"/>
                <w:color w:val="auto"/>
              </w:rPr>
            </w:pPr>
            <w:r>
              <w:rPr>
                <w:rFonts w:ascii="Times New Roman" w:cs="Times New Roman" w:eastAsia="Times New Roman" w:hAnsi="Times New Roman"/>
                <w:sz w:val="18"/>
                <w:szCs w:val="18"/>
                <w:color w:val="auto"/>
                <w:w w:val="99"/>
              </w:rPr>
              <w:t>2026</w:t>
            </w: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52"/>
        </w:trPr>
        <w:tc>
          <w:tcPr>
            <w:tcW w:w="2260" w:type="dxa"/>
            <w:vAlign w:val="bottom"/>
            <w:gridSpan w:val="2"/>
          </w:tcPr>
          <w:p>
            <w:pPr>
              <w:spacing w:after="0"/>
              <w:rPr>
                <w:sz w:val="21"/>
                <w:szCs w:val="21"/>
                <w:color w:val="auto"/>
              </w:rPr>
            </w:pPr>
          </w:p>
        </w:tc>
        <w:tc>
          <w:tcPr>
            <w:tcW w:w="3800" w:type="dxa"/>
            <w:vAlign w:val="bottom"/>
            <w:shd w:val="clear" w:color="auto" w:fill="CFF0FC"/>
          </w:tcPr>
          <w:p>
            <w:pPr>
              <w:jc w:val="center"/>
              <w:ind w:right="2990"/>
              <w:spacing w:after="0"/>
              <w:rPr>
                <w:sz w:val="20"/>
                <w:szCs w:val="20"/>
                <w:color w:val="auto"/>
              </w:rPr>
            </w:pPr>
            <w:r>
              <w:rPr>
                <w:rFonts w:ascii="Times New Roman" w:cs="Times New Roman" w:eastAsia="Times New Roman" w:hAnsi="Times New Roman"/>
                <w:sz w:val="18"/>
                <w:szCs w:val="18"/>
                <w:color w:val="auto"/>
                <w:w w:val="99"/>
              </w:rPr>
              <w:t>2027</w:t>
            </w:r>
          </w:p>
        </w:tc>
        <w:tc>
          <w:tcPr>
            <w:tcW w:w="54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7,068</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0" w:type="dxa"/>
            <w:vAlign w:val="bottom"/>
          </w:tcPr>
          <w:p>
            <w:pPr>
              <w:jc w:val="center"/>
              <w:ind w:right="295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72"/>
        </w:trPr>
        <w:tc>
          <w:tcPr>
            <w:tcW w:w="1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80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CFF0FC"/>
            </w:tcBorders>
            <w:shd w:val="clear" w:color="auto" w:fill="CFF0FC"/>
          </w:tcPr>
          <w:p>
            <w:pPr>
              <w:spacing w:after="0"/>
              <w:rPr>
                <w:sz w:val="23"/>
                <w:szCs w:val="23"/>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3"/>
                <w:szCs w:val="23"/>
                <w:color w:val="auto"/>
              </w:rPr>
            </w:pPr>
          </w:p>
        </w:tc>
        <w:tc>
          <w:tcPr>
            <w:tcW w:w="420" w:type="dxa"/>
            <w:vAlign w:val="bottom"/>
            <w:tcBorders>
              <w:bottom w:val="single" w:sz="8" w:color="auto"/>
            </w:tcBorders>
            <w:shd w:val="clear" w:color="auto" w:fill="CFF0FC"/>
          </w:tcPr>
          <w:p>
            <w:pPr>
              <w:spacing w:after="0"/>
              <w:rPr>
                <w:sz w:val="23"/>
                <w:szCs w:val="23"/>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557,980</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-1722120</wp:posOffset>
            </wp:positionV>
            <wp:extent cx="5143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-1705610</wp:posOffset>
            </wp:positionV>
            <wp:extent cx="514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-1722120</wp:posOffset>
            </wp:positionV>
            <wp:extent cx="431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-1705610</wp:posOffset>
            </wp:positionV>
            <wp:extent cx="431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-8255</wp:posOffset>
            </wp:positionV>
            <wp:extent cx="3429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Federal Funds Purchased and Securities Sold Under Agreement to Repurchase</w:t>
      </w:r>
    </w:p>
    <w:p>
      <w:pPr>
        <w:spacing w:after="0" w:line="121" w:lineRule="exact"/>
        <w:rPr>
          <w:sz w:val="20"/>
          <w:szCs w:val="20"/>
          <w:color w:val="auto"/>
        </w:rPr>
      </w:pPr>
    </w:p>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The Bank’s policy requires qualifying securities to be used as collateral for the underlying repurchase agreements. As of December 31, 2022 and 2021, securities with a market value of $43.6 million and $31.1 million, respectively, were pledged to secure the repurchase agreements. The table below presents the daily securities sold under agreement to repurchase and the term repurchase agreements. It does not include the Bank’s federal funds purchased.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gridSpan w:val="11"/>
          </w:tcPr>
          <w:p>
            <w:pPr>
              <w:jc w:val="center"/>
              <w:ind w:left="150"/>
              <w:spacing w:after="0"/>
              <w:rPr>
                <w:sz w:val="20"/>
                <w:szCs w:val="20"/>
                <w:color w:val="auto"/>
              </w:rPr>
            </w:pPr>
            <w:r>
              <w:rPr>
                <w:rFonts w:ascii="Times New Roman" w:cs="Times New Roman" w:eastAsia="Times New Roman" w:hAnsi="Times New Roman"/>
                <w:sz w:val="18"/>
                <w:szCs w:val="18"/>
                <w:color w:val="auto"/>
                <w:w w:val="99"/>
              </w:rPr>
              <w:t>Daily Securities Sold Under Agreement to Repurchase</w:t>
            </w: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86"/>
        </w:trPr>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4"/>
                <w:szCs w:val="24"/>
                <w:color w:val="auto"/>
              </w:rPr>
            </w:pPr>
          </w:p>
        </w:tc>
        <w:tc>
          <w:tcPr>
            <w:tcW w:w="21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Weighted</w:t>
            </w:r>
          </w:p>
        </w:tc>
        <w:tc>
          <w:tcPr>
            <w:tcW w:w="18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Maximum Amount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Approximate</w:t>
            </w:r>
          </w:p>
        </w:tc>
        <w:tc>
          <w:tcPr>
            <w:tcW w:w="200" w:type="dxa"/>
            <w:vAlign w:val="bottom"/>
          </w:tcPr>
          <w:p>
            <w:pPr>
              <w:spacing w:after="0"/>
              <w:rPr>
                <w:sz w:val="24"/>
                <w:szCs w:val="24"/>
                <w:color w:val="auto"/>
              </w:rPr>
            </w:pPr>
          </w:p>
        </w:tc>
        <w:tc>
          <w:tcPr>
            <w:tcW w:w="20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rPr>
              <w:t>Approximate</w:t>
            </w:r>
          </w:p>
        </w:tc>
      </w:tr>
      <w:tr>
        <w:trPr>
          <w:trHeight w:val="243"/>
        </w:trPr>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21"/>
                <w:szCs w:val="21"/>
                <w:color w:val="auto"/>
              </w:rPr>
            </w:pPr>
          </w:p>
        </w:tc>
        <w:tc>
          <w:tcPr>
            <w:tcW w:w="21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Average</w:t>
            </w:r>
          </w:p>
        </w:tc>
        <w:tc>
          <w:tcPr>
            <w:tcW w:w="18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21"/>
                <w:szCs w:val="21"/>
                <w:color w:val="auto"/>
              </w:rPr>
            </w:pPr>
          </w:p>
        </w:tc>
        <w:tc>
          <w:tcPr>
            <w:tcW w:w="20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Weighted Average</w:t>
            </w:r>
          </w:p>
        </w:tc>
      </w:tr>
      <w:tr>
        <w:trPr>
          <w:trHeight w:val="243"/>
        </w:trPr>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at End</w:t>
            </w:r>
          </w:p>
        </w:tc>
        <w:tc>
          <w:tcPr>
            <w:tcW w:w="220" w:type="dxa"/>
            <w:vAlign w:val="bottom"/>
          </w:tcPr>
          <w:p>
            <w:pPr>
              <w:spacing w:after="0"/>
              <w:rPr>
                <w:sz w:val="21"/>
                <w:szCs w:val="21"/>
                <w:color w:val="auto"/>
              </w:rPr>
            </w:pPr>
          </w:p>
        </w:tc>
        <w:tc>
          <w:tcPr>
            <w:tcW w:w="21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Rate End</w:t>
            </w:r>
          </w:p>
        </w:tc>
        <w:tc>
          <w:tcPr>
            <w:tcW w:w="182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Outstanding in</w:t>
            </w:r>
          </w:p>
        </w:tc>
        <w:tc>
          <w:tcPr>
            <w:tcW w:w="200" w:type="dxa"/>
            <w:vAlign w:val="bottom"/>
          </w:tcPr>
          <w:p>
            <w:pPr>
              <w:spacing w:after="0"/>
              <w:rPr>
                <w:sz w:val="21"/>
                <w:szCs w:val="21"/>
                <w:color w:val="auto"/>
              </w:rPr>
            </w:pPr>
          </w:p>
        </w:tc>
        <w:tc>
          <w:tcPr>
            <w:tcW w:w="20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rPr>
              <w:t>Interest Rate</w:t>
            </w:r>
          </w:p>
        </w:tc>
      </w:tr>
      <w:tr>
        <w:trPr>
          <w:trHeight w:val="250"/>
        </w:trPr>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Period (000's)</w:t>
            </w:r>
          </w:p>
        </w:tc>
        <w:tc>
          <w:tcPr>
            <w:tcW w:w="220" w:type="dxa"/>
            <w:vAlign w:val="bottom"/>
          </w:tcPr>
          <w:p>
            <w:pPr>
              <w:spacing w:after="0"/>
              <w:rPr>
                <w:sz w:val="21"/>
                <w:szCs w:val="21"/>
                <w:color w:val="auto"/>
              </w:rPr>
            </w:pPr>
          </w:p>
        </w:tc>
        <w:tc>
          <w:tcPr>
            <w:tcW w:w="214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of Period</w:t>
            </w:r>
          </w:p>
        </w:tc>
        <w:tc>
          <w:tcPr>
            <w:tcW w:w="18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Month End (000's)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Period (000's)</w:t>
            </w:r>
          </w:p>
        </w:tc>
        <w:tc>
          <w:tcPr>
            <w:tcW w:w="200" w:type="dxa"/>
            <w:vAlign w:val="bottom"/>
          </w:tcPr>
          <w:p>
            <w:pPr>
              <w:spacing w:after="0"/>
              <w:rPr>
                <w:sz w:val="21"/>
                <w:szCs w:val="21"/>
                <w:color w:val="auto"/>
              </w:rPr>
            </w:pPr>
          </w:p>
        </w:tc>
        <w:tc>
          <w:tcPr>
            <w:tcW w:w="20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rPr>
              <w:t>For the Period</w:t>
            </w:r>
          </w:p>
        </w:tc>
      </w:tr>
      <w:tr>
        <w:trPr>
          <w:trHeight w:val="234"/>
        </w:trPr>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0" w:type="dxa"/>
            <w:vAlign w:val="bottom"/>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tcBorders>
              <w:top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1,450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0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2360" w:type="dxa"/>
            <w:vAlign w:val="bottom"/>
            <w:gridSpan w:val="6"/>
          </w:tcPr>
          <w:p>
            <w:pPr>
              <w:jc w:val="right"/>
              <w:ind w:right="10"/>
              <w:spacing w:after="0"/>
              <w:rPr>
                <w:sz w:val="20"/>
                <w:szCs w:val="20"/>
                <w:color w:val="auto"/>
              </w:rPr>
            </w:pPr>
            <w:r>
              <w:rPr>
                <w:rFonts w:ascii="Times New Roman" w:cs="Times New Roman" w:eastAsia="Times New Roman" w:hAnsi="Times New Roman"/>
                <w:sz w:val="18"/>
                <w:szCs w:val="18"/>
                <w:color w:val="auto"/>
              </w:rPr>
              <w:t>0.70 % $</w:t>
            </w:r>
          </w:p>
        </w:tc>
        <w:tc>
          <w:tcPr>
            <w:tcW w:w="1640" w:type="dxa"/>
            <w:vAlign w:val="bottom"/>
          </w:tcPr>
          <w:p>
            <w:pPr>
              <w:ind w:left="1220"/>
              <w:spacing w:after="0"/>
              <w:rPr>
                <w:sz w:val="20"/>
                <w:szCs w:val="20"/>
                <w:color w:val="auto"/>
              </w:rPr>
            </w:pPr>
            <w:r>
              <w:rPr>
                <w:rFonts w:ascii="Times New Roman" w:cs="Times New Roman" w:eastAsia="Times New Roman" w:hAnsi="Times New Roman"/>
                <w:sz w:val="18"/>
                <w:szCs w:val="18"/>
                <w:color w:val="auto"/>
                <w:w w:val="98"/>
              </w:rPr>
              <w:t>1,991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675"/>
        </w:trPr>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80" w:type="dxa"/>
            <w:vAlign w:val="bottom"/>
            <w:gridSpan w:val="11"/>
          </w:tcPr>
          <w:p>
            <w:pPr>
              <w:jc w:val="center"/>
              <w:ind w:left="150"/>
              <w:spacing w:after="0"/>
              <w:rPr>
                <w:sz w:val="20"/>
                <w:szCs w:val="20"/>
                <w:color w:val="auto"/>
              </w:rPr>
            </w:pPr>
            <w:r>
              <w:rPr>
                <w:rFonts w:ascii="Times New Roman" w:cs="Times New Roman" w:eastAsia="Times New Roman" w:hAnsi="Times New Roman"/>
                <w:sz w:val="18"/>
                <w:szCs w:val="18"/>
                <w:color w:val="auto"/>
                <w:w w:val="99"/>
              </w:rPr>
              <w:t>Term CD's Sold Under Agreement to Repurchase</w:t>
            </w: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6"/>
        </w:trPr>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4"/>
                <w:szCs w:val="24"/>
                <w:color w:val="auto"/>
              </w:rPr>
            </w:pPr>
          </w:p>
        </w:tc>
        <w:tc>
          <w:tcPr>
            <w:tcW w:w="214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Weighted</w:t>
            </w:r>
          </w:p>
        </w:tc>
        <w:tc>
          <w:tcPr>
            <w:tcW w:w="18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Maximum Amount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Approximate</w:t>
            </w:r>
          </w:p>
        </w:tc>
        <w:tc>
          <w:tcPr>
            <w:tcW w:w="200" w:type="dxa"/>
            <w:vAlign w:val="bottom"/>
          </w:tcPr>
          <w:p>
            <w:pPr>
              <w:spacing w:after="0"/>
              <w:rPr>
                <w:sz w:val="24"/>
                <w:szCs w:val="24"/>
                <w:color w:val="auto"/>
              </w:rPr>
            </w:pPr>
          </w:p>
        </w:tc>
        <w:tc>
          <w:tcPr>
            <w:tcW w:w="20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rPr>
              <w:t>Approximate</w:t>
            </w:r>
          </w:p>
        </w:tc>
      </w:tr>
      <w:tr>
        <w:trPr>
          <w:trHeight w:val="243"/>
        </w:trPr>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Outstanding</w:t>
            </w:r>
          </w:p>
        </w:tc>
        <w:tc>
          <w:tcPr>
            <w:tcW w:w="220" w:type="dxa"/>
            <w:vAlign w:val="bottom"/>
          </w:tcPr>
          <w:p>
            <w:pPr>
              <w:spacing w:after="0"/>
              <w:rPr>
                <w:sz w:val="21"/>
                <w:szCs w:val="21"/>
                <w:color w:val="auto"/>
              </w:rPr>
            </w:pPr>
          </w:p>
        </w:tc>
        <w:tc>
          <w:tcPr>
            <w:tcW w:w="214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Average</w:t>
            </w:r>
          </w:p>
        </w:tc>
        <w:tc>
          <w:tcPr>
            <w:tcW w:w="18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Borrowings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Average</w:t>
            </w:r>
          </w:p>
        </w:tc>
        <w:tc>
          <w:tcPr>
            <w:tcW w:w="200" w:type="dxa"/>
            <w:vAlign w:val="bottom"/>
          </w:tcPr>
          <w:p>
            <w:pPr>
              <w:spacing w:after="0"/>
              <w:rPr>
                <w:sz w:val="21"/>
                <w:szCs w:val="21"/>
                <w:color w:val="auto"/>
              </w:rPr>
            </w:pPr>
          </w:p>
        </w:tc>
        <w:tc>
          <w:tcPr>
            <w:tcW w:w="20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w w:val="97"/>
              </w:rPr>
              <w:t>Weighted Average</w:t>
            </w:r>
          </w:p>
        </w:tc>
      </w:tr>
      <w:tr>
        <w:trPr>
          <w:trHeight w:val="243"/>
        </w:trPr>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at End</w:t>
            </w:r>
          </w:p>
        </w:tc>
        <w:tc>
          <w:tcPr>
            <w:tcW w:w="220" w:type="dxa"/>
            <w:vAlign w:val="bottom"/>
          </w:tcPr>
          <w:p>
            <w:pPr>
              <w:spacing w:after="0"/>
              <w:rPr>
                <w:sz w:val="21"/>
                <w:szCs w:val="21"/>
                <w:color w:val="auto"/>
              </w:rPr>
            </w:pPr>
          </w:p>
        </w:tc>
        <w:tc>
          <w:tcPr>
            <w:tcW w:w="214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Rate End</w:t>
            </w:r>
          </w:p>
        </w:tc>
        <w:tc>
          <w:tcPr>
            <w:tcW w:w="18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Outstanding</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Outstanding in</w:t>
            </w:r>
          </w:p>
        </w:tc>
        <w:tc>
          <w:tcPr>
            <w:tcW w:w="200" w:type="dxa"/>
            <w:vAlign w:val="bottom"/>
          </w:tcPr>
          <w:p>
            <w:pPr>
              <w:spacing w:after="0"/>
              <w:rPr>
                <w:sz w:val="21"/>
                <w:szCs w:val="21"/>
                <w:color w:val="auto"/>
              </w:rPr>
            </w:pPr>
          </w:p>
        </w:tc>
        <w:tc>
          <w:tcPr>
            <w:tcW w:w="20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rPr>
              <w:t>Interest Rate</w:t>
            </w:r>
          </w:p>
        </w:tc>
      </w:tr>
      <w:tr>
        <w:trPr>
          <w:trHeight w:val="250"/>
        </w:trPr>
        <w:tc>
          <w:tcPr>
            <w:tcW w:w="1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of Period (000's)</w:t>
            </w:r>
          </w:p>
        </w:tc>
        <w:tc>
          <w:tcPr>
            <w:tcW w:w="220" w:type="dxa"/>
            <w:vAlign w:val="bottom"/>
          </w:tcPr>
          <w:p>
            <w:pPr>
              <w:spacing w:after="0"/>
              <w:rPr>
                <w:sz w:val="21"/>
                <w:szCs w:val="21"/>
                <w:color w:val="auto"/>
              </w:rPr>
            </w:pPr>
          </w:p>
        </w:tc>
        <w:tc>
          <w:tcPr>
            <w:tcW w:w="2140" w:type="dxa"/>
            <w:vAlign w:val="bottom"/>
            <w:gridSpan w:val="5"/>
          </w:tcPr>
          <w:p>
            <w:pPr>
              <w:ind w:left="600"/>
              <w:spacing w:after="0"/>
              <w:rPr>
                <w:sz w:val="20"/>
                <w:szCs w:val="20"/>
                <w:color w:val="auto"/>
              </w:rPr>
            </w:pPr>
            <w:r>
              <w:rPr>
                <w:rFonts w:ascii="Times New Roman" w:cs="Times New Roman" w:eastAsia="Times New Roman" w:hAnsi="Times New Roman"/>
                <w:sz w:val="18"/>
                <w:szCs w:val="18"/>
                <w:color w:val="auto"/>
              </w:rPr>
              <w:t>of Period</w:t>
            </w:r>
          </w:p>
        </w:tc>
        <w:tc>
          <w:tcPr>
            <w:tcW w:w="18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Month End (000's)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Period (000's)</w:t>
            </w:r>
          </w:p>
        </w:tc>
        <w:tc>
          <w:tcPr>
            <w:tcW w:w="200" w:type="dxa"/>
            <w:vAlign w:val="bottom"/>
          </w:tcPr>
          <w:p>
            <w:pPr>
              <w:spacing w:after="0"/>
              <w:rPr>
                <w:sz w:val="21"/>
                <w:szCs w:val="21"/>
                <w:color w:val="auto"/>
              </w:rPr>
            </w:pPr>
          </w:p>
        </w:tc>
        <w:tc>
          <w:tcPr>
            <w:tcW w:w="2080" w:type="dxa"/>
            <w:vAlign w:val="bottom"/>
            <w:gridSpan w:val="2"/>
          </w:tcPr>
          <w:p>
            <w:pPr>
              <w:jc w:val="center"/>
              <w:ind w:right="70"/>
              <w:spacing w:after="0"/>
              <w:rPr>
                <w:sz w:val="20"/>
                <w:szCs w:val="20"/>
                <w:color w:val="auto"/>
              </w:rPr>
            </w:pPr>
            <w:r>
              <w:rPr>
                <w:rFonts w:ascii="Times New Roman" w:cs="Times New Roman" w:eastAsia="Times New Roman" w:hAnsi="Times New Roman"/>
                <w:sz w:val="18"/>
                <w:szCs w:val="18"/>
                <w:color w:val="auto"/>
              </w:rPr>
              <w:t>For the Period</w:t>
            </w:r>
          </w:p>
        </w:tc>
      </w:tr>
      <w:tr>
        <w:trPr>
          <w:trHeight w:val="234"/>
        </w:trPr>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220" w:type="dxa"/>
            <w:vAlign w:val="bottom"/>
          </w:tcPr>
          <w:p>
            <w:pPr>
              <w:spacing w:after="0"/>
              <w:rPr>
                <w:sz w:val="20"/>
                <w:szCs w:val="20"/>
                <w:color w:val="auto"/>
              </w:rPr>
            </w:pPr>
          </w:p>
        </w:tc>
        <w:tc>
          <w:tcPr>
            <w:tcW w:w="1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color w:val="auto"/>
                <w:w w:val="96"/>
              </w:rPr>
              <w:t>34,504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31,573</w:t>
            </w:r>
          </w:p>
        </w:tc>
        <w:tc>
          <w:tcPr>
            <w:tcW w:w="200" w:type="dxa"/>
            <w:vAlign w:val="bottom"/>
          </w:tcPr>
          <w:p>
            <w:pPr>
              <w:spacing w:after="0"/>
              <w:rPr>
                <w:sz w:val="20"/>
                <w:szCs w:val="20"/>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8"/>
        </w:trPr>
        <w:tc>
          <w:tcPr>
            <w:tcW w:w="16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28,206</w:t>
            </w:r>
          </w:p>
        </w:tc>
        <w:tc>
          <w:tcPr>
            <w:tcW w:w="236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1.00 % $</w:t>
            </w: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w w:val="96"/>
              </w:rPr>
              <w:t>28,362</w:t>
            </w:r>
          </w:p>
        </w:tc>
        <w:tc>
          <w:tcPr>
            <w:tcW w:w="1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28,315</w:t>
            </w: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-1816735</wp:posOffset>
            </wp:positionV>
            <wp:extent cx="7132320" cy="1543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1543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47" w:right="27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Company had $22.6 million of federal funds purchased as of December 31, 2022 and no federal funds purchased as of December 31, 2021. The $31.6 million in Securities Sold Under Agreements to Repurchase were comprised of U.S. Treasuries and government agency securities. The table below shows the remaining contractual maturity in the repurchase agreements and the collateral pledged as of December 31,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8"/>
              </w:rPr>
              <w:t>December 31, 2022</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8"/>
                <w:szCs w:val="18"/>
                <w:color w:val="auto"/>
                <w:w w:val="99"/>
              </w:rPr>
              <w:t>Remaining Contractual Maturity of the Agreements</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Overnight &amp;</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Greater Than</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Continuous</w:t>
            </w: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Up to 30 days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30-90 days</w:t>
            </w:r>
          </w:p>
        </w:tc>
        <w:tc>
          <w:tcPr>
            <w:tcW w:w="12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 days</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r>
      <w:tr>
        <w:trPr>
          <w:trHeight w:val="243"/>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Federal funds purchased</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280" w:type="dxa"/>
            <w:vAlign w:val="bottom"/>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22,573</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agreements</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Treasury &amp; agency securities</w:t>
            </w: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23,688</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54,206</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9"/>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-822325</wp:posOffset>
            </wp:positionV>
            <wp:extent cx="77470" cy="18859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-822325</wp:posOffset>
            </wp:positionV>
            <wp:extent cx="76835" cy="18859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-822325</wp:posOffset>
            </wp:positionV>
            <wp:extent cx="68580" cy="18859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-822325</wp:posOffset>
            </wp:positionV>
            <wp:extent cx="68580" cy="18859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18859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0" w:name="page91"/>
    <w:bookmarkEnd w:id="90"/>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Borrowings and Subordinated Notes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Short Term Debt</w:t>
      </w:r>
    </w:p>
    <w:p>
      <w:pPr>
        <w:spacing w:after="0" w:line="12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Due to the funding requirement for the acquisition of PFSB to be provided from the holding company, the Company secured borrowings from a correspondent bank. Two loans were secured, the first a $30 million 12-month term note and the second a 12-month line of credit for $10 million. Both loans were advanced on October 1, 2021. Interest on both loans is due quarterly and accrues at a rate of 2.50% per annum with reporting and capital covenants included. The structure of the acquisition required all accounting of the transaction to be recorded at the Bank level as Perpetual did not have a holding company. The Company advanced funds from the Bank to the Company to facilitate payoff of the term note and line of credit balance after regulatory approval was granted in the second quarter of 2022. The line of credit remained open for future liquidity needs.</w:t>
      </w:r>
    </w:p>
    <w:p>
      <w:pPr>
        <w:spacing w:after="0" w:line="189"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On September 29, 2022, the line of credit was advanced for $10 million for the acquisition of PFSL Interest on the line of credit is due quarterly and accrues at a rate of 5.50% per annum with reporting and capital covenants included. The line of credit matures on September 30, 2023.</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u w:val="single" w:color="auto"/>
          <w:color w:val="auto"/>
        </w:rPr>
        <w:t>Long Term Debt</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Federal Home Loan Bank Advances</w:t>
      </w:r>
    </w:p>
    <w:p>
      <w:pPr>
        <w:spacing w:after="0" w:line="121"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Long term debt consists of various loans from the Federal Home Loan Banks. Repayment structures vary, ranging from monthly installments, annual payments or upon maturity. Interest payments are due monthly. Total borrowings were $127.4 million excluding an additional $47 thousand for fair value related to the acquisitions for December 31, 2022 compared to $23.9 million excluding $197 thousand for fair value for December 31, 2021. With the acquisition of Peoples Federal Savings and Loan Bank, the Bank undertook $965 thousand in advances with varying maturity dates from 2022 through 2028. With the acquisition of Perpetual Federal Savings Bank, the Bank undertook $6 million in advances due in 2024. The advances were secured by a pledge of $232.9 and $193.2 million of mortgage loans as of December 31, 2022 and 2021, respectively under a blanket collateral agreement.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advances are subject to pre-payment penalties and the provisions and conditions of the credit policy of the Federal Home Loan Bank.</w:t>
      </w:r>
    </w:p>
    <w:p>
      <w:pPr>
        <w:spacing w:after="0" w:line="225"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Bank had access to $73.0 and $69.0 million unsecured borrowings through correspondent banks as of December 31, 2022 and December 31, 2021, respectively. The Bank also had access to $130.4 million and $94.2 million through a Cash Management Advance with the Federal Home Loan Bank as of December 31, 2022 and December 31, 2021 respectively. The Bank had unpledged securities, which could be sold or used as collateral, of $249.6 million and $313.6 million at the end of the same time periods, respectively. An additional $2.0 million at December 31, 2022, and $91.2 million at December 31, 2021, were available from the Federal Home Loan Bank based on current pledging. The table below shows the maturities of the borrowings exclusive of the fair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(In Thousands)</w:t>
            </w:r>
          </w:p>
        </w:tc>
        <w:tc>
          <w:tcPr>
            <w:tcW w:w="2800" w:type="dxa"/>
            <w:vAlign w:val="bottom"/>
          </w:tcPr>
          <w:p>
            <w:pPr>
              <w:spacing w:after="0"/>
              <w:rPr>
                <w:sz w:val="20"/>
                <w:szCs w:val="20"/>
                <w:color w:val="auto"/>
              </w:rPr>
            </w:pPr>
          </w:p>
        </w:tc>
      </w:tr>
      <w:tr>
        <w:trPr>
          <w:trHeight w:val="243"/>
        </w:trPr>
        <w:tc>
          <w:tcPr>
            <w:tcW w:w="2820" w:type="dxa"/>
            <w:vAlign w:val="bottom"/>
          </w:tcPr>
          <w:p>
            <w:pPr>
              <w:spacing w:after="0"/>
              <w:rPr>
                <w:sz w:val="21"/>
                <w:szCs w:val="21"/>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38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71,507</w:t>
            </w:r>
          </w:p>
        </w:tc>
        <w:tc>
          <w:tcPr>
            <w:tcW w:w="2800" w:type="dxa"/>
            <w:vAlign w:val="bottom"/>
          </w:tcPr>
          <w:p>
            <w:pPr>
              <w:spacing w:after="0"/>
              <w:rPr>
                <w:sz w:val="21"/>
                <w:szCs w:val="21"/>
                <w:color w:val="auto"/>
              </w:rPr>
            </w:pPr>
          </w:p>
        </w:tc>
      </w:tr>
      <w:tr>
        <w:trPr>
          <w:trHeight w:val="239"/>
        </w:trPr>
        <w:tc>
          <w:tcPr>
            <w:tcW w:w="28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2800" w:type="dxa"/>
            <w:vAlign w:val="bottom"/>
          </w:tcPr>
          <w:p>
            <w:pPr>
              <w:spacing w:after="0"/>
              <w:rPr>
                <w:sz w:val="20"/>
                <w:szCs w:val="20"/>
                <w:color w:val="auto"/>
              </w:rPr>
            </w:pPr>
          </w:p>
        </w:tc>
      </w:tr>
      <w:tr>
        <w:trPr>
          <w:trHeight w:val="247"/>
        </w:trPr>
        <w:tc>
          <w:tcPr>
            <w:tcW w:w="2820" w:type="dxa"/>
            <w:vAlign w:val="bottom"/>
          </w:tcPr>
          <w:p>
            <w:pPr>
              <w:spacing w:after="0"/>
              <w:rPr>
                <w:sz w:val="21"/>
                <w:szCs w:val="21"/>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w:t>
            </w:r>
          </w:p>
        </w:tc>
        <w:tc>
          <w:tcPr>
            <w:tcW w:w="2800" w:type="dxa"/>
            <w:vAlign w:val="bottom"/>
          </w:tcPr>
          <w:p>
            <w:pPr>
              <w:spacing w:after="0"/>
              <w:rPr>
                <w:sz w:val="21"/>
                <w:szCs w:val="21"/>
                <w:color w:val="auto"/>
              </w:rPr>
            </w:pPr>
          </w:p>
        </w:tc>
      </w:tr>
      <w:tr>
        <w:trPr>
          <w:trHeight w:val="239"/>
        </w:trPr>
        <w:tc>
          <w:tcPr>
            <w:tcW w:w="28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spacing w:after="0"/>
              <w:rPr>
                <w:sz w:val="20"/>
                <w:szCs w:val="20"/>
                <w:color w:val="auto"/>
              </w:rPr>
            </w:pPr>
          </w:p>
        </w:tc>
      </w:tr>
      <w:tr>
        <w:trPr>
          <w:trHeight w:val="247"/>
        </w:trPr>
        <w:tc>
          <w:tcPr>
            <w:tcW w:w="2820" w:type="dxa"/>
            <w:vAlign w:val="bottom"/>
          </w:tcPr>
          <w:p>
            <w:pPr>
              <w:spacing w:after="0"/>
              <w:rPr>
                <w:sz w:val="21"/>
                <w:szCs w:val="21"/>
                <w:color w:val="auto"/>
              </w:rPr>
            </w:pPr>
          </w:p>
        </w:tc>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2027</w:t>
            </w:r>
          </w:p>
        </w:tc>
        <w:tc>
          <w:tcPr>
            <w:tcW w:w="13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2800" w:type="dxa"/>
            <w:vAlign w:val="bottom"/>
          </w:tcPr>
          <w:p>
            <w:pPr>
              <w:spacing w:after="0"/>
              <w:rPr>
                <w:sz w:val="21"/>
                <w:szCs w:val="21"/>
                <w:color w:val="auto"/>
              </w:rPr>
            </w:pPr>
          </w:p>
        </w:tc>
      </w:tr>
      <w:tr>
        <w:trPr>
          <w:trHeight w:val="243"/>
        </w:trPr>
        <w:tc>
          <w:tcPr>
            <w:tcW w:w="2820" w:type="dxa"/>
            <w:vAlign w:val="bottom"/>
          </w:tcPr>
          <w:p>
            <w:pPr>
              <w:spacing w:after="0"/>
              <w:rPr>
                <w:sz w:val="21"/>
                <w:szCs w:val="21"/>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2800" w:type="dxa"/>
            <w:vAlign w:val="bottom"/>
          </w:tcPr>
          <w:p>
            <w:pPr>
              <w:spacing w:after="0"/>
              <w:rPr>
                <w:sz w:val="21"/>
                <w:szCs w:val="21"/>
                <w:color w:val="auto"/>
              </w:rPr>
            </w:pPr>
          </w:p>
        </w:tc>
      </w:tr>
      <w:tr>
        <w:trPr>
          <w:trHeight w:val="277"/>
        </w:trPr>
        <w:tc>
          <w:tcPr>
            <w:tcW w:w="2820" w:type="dxa"/>
            <w:vAlign w:val="bottom"/>
          </w:tcPr>
          <w:p>
            <w:pPr>
              <w:spacing w:after="0"/>
              <w:rPr>
                <w:sz w:val="24"/>
                <w:szCs w:val="24"/>
                <w:color w:val="auto"/>
              </w:rPr>
            </w:pPr>
          </w:p>
        </w:tc>
        <w:tc>
          <w:tcPr>
            <w:tcW w:w="1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127,438</w:t>
            </w:r>
          </w:p>
        </w:tc>
        <w:tc>
          <w:tcPr>
            <w:tcW w:w="2800" w:type="dxa"/>
            <w:vAlign w:val="bottom"/>
          </w:tcPr>
          <w:p>
            <w:pPr>
              <w:spacing w:after="0"/>
              <w:rPr>
                <w:sz w:val="24"/>
                <w:szCs w:val="24"/>
                <w:color w:val="auto"/>
              </w:rPr>
            </w:pPr>
          </w:p>
        </w:tc>
      </w:tr>
      <w:tr>
        <w:trPr>
          <w:trHeight w:val="845"/>
        </w:trPr>
        <w:tc>
          <w:tcPr>
            <w:tcW w:w="28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4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-659130</wp:posOffset>
            </wp:positionV>
            <wp:extent cx="342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-642620</wp:posOffset>
            </wp:positionV>
            <wp:extent cx="3429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3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Subordinated Notes</w:t>
      </w:r>
    </w:p>
    <w:p>
      <w:pPr>
        <w:spacing w:after="0" w:line="121"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On July 30, 2021, the Company announced the completion of a private placement of $35 million aggregate principal amount of its 3.25% fixed-to-floating rate subordinated notes due July 30, 2031 (the “Notes”) to various accredited investors (the “Offering”). The price for the Notes was 100% of the principal amount of the Notes. The Notes are intended to qualify as Tier 2 capital for regulatory purposes. The Company intends to use the net proceeds from the Offering for general corporate purposes, including financing acquisitions and organic growth.</w:t>
      </w:r>
    </w:p>
    <w:p>
      <w:pPr>
        <w:spacing w:after="0" w:line="180" w:lineRule="exact"/>
        <w:rPr>
          <w:sz w:val="20"/>
          <w:szCs w:val="20"/>
          <w:color w:val="auto"/>
        </w:rPr>
      </w:pPr>
    </w:p>
    <w:p>
      <w:pPr>
        <w:jc w:val="both"/>
        <w:ind w:left="740"/>
        <w:spacing w:after="0" w:line="256" w:lineRule="auto"/>
        <w:rPr>
          <w:sz w:val="20"/>
          <w:szCs w:val="20"/>
          <w:color w:val="auto"/>
        </w:rPr>
      </w:pPr>
      <w:r>
        <w:rPr>
          <w:rFonts w:ascii="Times New Roman" w:cs="Times New Roman" w:eastAsia="Times New Roman" w:hAnsi="Times New Roman"/>
          <w:sz w:val="18"/>
          <w:szCs w:val="18"/>
          <w:color w:val="auto"/>
        </w:rPr>
        <w:t>Interest on the Notes will accrue at a rate equal to (i) 3.25% per annum from the original issue date to, but excluding, the five-year anniversary, payable semi-annually in arrears, and (ii) a floating rate per annum equal to a benchmark rate, which is expected to be the Three-Month Term SOFR (as defined in the Notes), plus a spread of 263 basis points from and including the five-year anniversary until maturity, payable quarterly in arrears. Beginning on or after the fifth anniversary of the issue date through maturity, the Notes may be redeemed, at the Company’s option, on any scheduled interest payment date. Any redemption will be at a redemption price equal to 100% of the principal amount of Notes being redeemed, plus accrued and unpaid interest.</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60" w:type="dxa"/>
            <w:vAlign w:val="bottom"/>
            <w:gridSpan w:val="6"/>
          </w:tcPr>
          <w:p>
            <w:pPr>
              <w:jc w:val="right"/>
              <w:ind w:right="1190"/>
              <w:spacing w:after="0"/>
              <w:rPr>
                <w:sz w:val="20"/>
                <w:szCs w:val="20"/>
                <w:color w:val="auto"/>
              </w:rPr>
            </w:pPr>
            <w:r>
              <w:rPr>
                <w:rFonts w:ascii="Times New Roman" w:cs="Times New Roman" w:eastAsia="Times New Roman" w:hAnsi="Times New Roman"/>
                <w:sz w:val="18"/>
                <w:szCs w:val="18"/>
                <w:color w:val="auto"/>
              </w:rPr>
              <w:t>December 31, 2022</w:t>
            </w:r>
          </w:p>
        </w:tc>
        <w:tc>
          <w:tcPr>
            <w:tcW w:w="2840" w:type="dxa"/>
            <w:vAlign w:val="bottom"/>
            <w:gridSpan w:val="5"/>
          </w:tcPr>
          <w:p>
            <w:pPr>
              <w:jc w:val="right"/>
              <w:ind w:right="801"/>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25"/>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Unamortized Note</w:t>
            </w: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Unamortized Note</w:t>
            </w:r>
          </w:p>
        </w:tc>
      </w:tr>
      <w:tr>
        <w:trPr>
          <w:trHeight w:val="24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Principal</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w w:val="99"/>
              </w:rPr>
              <w:t>Issuance Costs</w:t>
            </w: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Issuance Costs</w:t>
            </w:r>
          </w:p>
        </w:tc>
      </w:tr>
      <w:tr>
        <w:trPr>
          <w:trHeight w:val="243"/>
        </w:trPr>
        <w:tc>
          <w:tcPr>
            <w:tcW w:w="25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Subordinated Notes</w:t>
            </w:r>
          </w:p>
        </w:tc>
        <w:tc>
          <w:tcPr>
            <w:tcW w:w="12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components of income tax expense (benefit) for the years ended December 31 are as follows: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5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r>
      <w:tr>
        <w:trPr>
          <w:trHeight w:val="241"/>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20" w:type="dxa"/>
            <w:vAlign w:val="bottom"/>
          </w:tcPr>
          <w:p>
            <w:pPr>
              <w:spacing w:after="0"/>
              <w:rPr>
                <w:sz w:val="20"/>
                <w:szCs w:val="20"/>
                <w:color w:val="auto"/>
              </w:rPr>
            </w:pP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2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w:t>
            </w:r>
          </w:p>
        </w:tc>
        <w:tc>
          <w:tcPr>
            <w:tcW w:w="8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6,802</w:t>
            </w:r>
          </w:p>
        </w:tc>
        <w:tc>
          <w:tcPr>
            <w:tcW w:w="8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2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(1,746 )</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(1,596 )</w:t>
            </w:r>
          </w:p>
        </w:tc>
      </w:tr>
      <w:tr>
        <w:trPr>
          <w:trHeight w:val="243"/>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(56 )</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(95 )</w:t>
            </w:r>
          </w:p>
        </w:tc>
      </w:tr>
      <w:tr>
        <w:trPr>
          <w:trHeight w:val="20"/>
        </w:trPr>
        <w:tc>
          <w:tcPr>
            <w:tcW w:w="5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37"/>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(1,805 </w:t>
            </w:r>
            <w:r>
              <w:rPr>
                <w:rFonts w:ascii="Times New Roman" w:cs="Times New Roman" w:eastAsia="Times New Roman" w:hAnsi="Times New Roman"/>
                <w:sz w:val="18"/>
                <w:szCs w:val="18"/>
                <w:color w:val="auto"/>
                <w:highlight w:val="white"/>
              </w:rPr>
              <w:t>)</w:t>
            </w: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xml:space="preserve">(1,691 </w:t>
            </w:r>
            <w:r>
              <w:rPr>
                <w:rFonts w:ascii="Times New Roman" w:cs="Times New Roman" w:eastAsia="Times New Roman" w:hAnsi="Times New Roman"/>
                <w:sz w:val="18"/>
                <w:szCs w:val="18"/>
                <w:color w:val="auto"/>
                <w:highlight w:val="white"/>
              </w:rPr>
              <w:t>)</w:t>
            </w:r>
          </w:p>
        </w:tc>
      </w:tr>
      <w:tr>
        <w:trPr>
          <w:trHeight w:val="281"/>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-976630</wp:posOffset>
            </wp:positionV>
            <wp:extent cx="59690" cy="16319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9690" cy="16319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-976630</wp:posOffset>
            </wp:positionV>
            <wp:extent cx="51435" cy="16319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-976630</wp:posOffset>
            </wp:positionV>
            <wp:extent cx="51435" cy="16319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 cy="16319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-350520</wp:posOffset>
            </wp:positionV>
            <wp:extent cx="59690" cy="1714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5969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969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514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514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reconciliation of the statutory federal income tax rate to the effective tax rate:</w:t>
      </w:r>
    </w:p>
    <w:p>
      <w:pPr>
        <w:spacing w:after="0" w:line="239" w:lineRule="exact"/>
        <w:rPr>
          <w:sz w:val="20"/>
          <w:szCs w:val="20"/>
          <w:color w:val="auto"/>
        </w:rPr>
      </w:pPr>
    </w:p>
    <w:tbl>
      <w:tblPr>
        <w:tblLayout w:type="fixed"/>
        <w:tblInd w:w="76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11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r>
      <w:tr>
        <w:trPr>
          <w:trHeight w:val="241"/>
        </w:trPr>
        <w:tc>
          <w:tcPr>
            <w:tcW w:w="380" w:type="dxa"/>
            <w:vAlign w:val="bottom"/>
          </w:tcPr>
          <w:p>
            <w:pPr>
              <w:spacing w:after="0"/>
              <w:rPr>
                <w:sz w:val="20"/>
                <w:szCs w:val="20"/>
                <w:color w:val="auto"/>
              </w:rPr>
            </w:pPr>
          </w:p>
        </w:tc>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income tax at statutory rates</w:t>
            </w:r>
          </w:p>
        </w:tc>
        <w:tc>
          <w:tcPr>
            <w:tcW w:w="320" w:type="dxa"/>
            <w:vAlign w:val="bottom"/>
            <w:tcBorders>
              <w:top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2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5,294</w:t>
            </w:r>
          </w:p>
        </w:tc>
        <w:tc>
          <w:tcPr>
            <w:tcW w:w="80" w:type="dxa"/>
            <w:vAlign w:val="bottom"/>
            <w:shd w:val="clear" w:color="auto" w:fill="CFF0FC"/>
          </w:tcPr>
          <w:p>
            <w:pPr>
              <w:spacing w:after="0"/>
              <w:rPr>
                <w:sz w:val="20"/>
                <w:szCs w:val="20"/>
                <w:color w:val="auto"/>
              </w:rPr>
            </w:pPr>
          </w:p>
        </w:tc>
      </w:tr>
      <w:tr>
        <w:trPr>
          <w:trHeight w:val="239"/>
        </w:trPr>
        <w:tc>
          <w:tcPr>
            <w:tcW w:w="38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resulting from:</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2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32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FF0FC"/>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 exempt interest</w:t>
            </w:r>
          </w:p>
        </w:tc>
        <w:tc>
          <w:tcPr>
            <w:tcW w:w="32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Pr>
          <w:p>
            <w:pPr>
              <w:spacing w:after="0"/>
              <w:rPr>
                <w:sz w:val="20"/>
                <w:szCs w:val="20"/>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(146 )</w:t>
            </w:r>
          </w:p>
        </w:tc>
      </w:tr>
      <w:tr>
        <w:trPr>
          <w:trHeight w:val="247"/>
        </w:trPr>
        <w:tc>
          <w:tcPr>
            <w:tcW w:w="380" w:type="dxa"/>
            <w:vAlign w:val="bottom"/>
          </w:tcPr>
          <w:p>
            <w:pPr>
              <w:spacing w:after="0"/>
              <w:rPr>
                <w:sz w:val="21"/>
                <w:szCs w:val="21"/>
                <w:color w:val="auto"/>
              </w:rPr>
            </w:pPr>
          </w:p>
        </w:tc>
        <w:tc>
          <w:tcPr>
            <w:tcW w:w="52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Section 831 deduction</w:t>
            </w:r>
          </w:p>
        </w:tc>
        <w:tc>
          <w:tcPr>
            <w:tcW w:w="320" w:type="dxa"/>
            <w:vAlign w:val="bottom"/>
            <w:shd w:val="clear" w:color="auto" w:fill="CFF0FC"/>
          </w:tcPr>
          <w:p>
            <w:pPr>
              <w:spacing w:after="0"/>
              <w:rPr>
                <w:sz w:val="21"/>
                <w:szCs w:val="21"/>
                <w:color w:val="auto"/>
              </w:rPr>
            </w:pPr>
          </w:p>
        </w:tc>
        <w:tc>
          <w:tcPr>
            <w:tcW w:w="90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(270 )</w:t>
            </w: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(294 )</w:t>
            </w:r>
          </w:p>
        </w:tc>
        <w:tc>
          <w:tcPr>
            <w:tcW w:w="100" w:type="dxa"/>
            <w:vAlign w:val="bottom"/>
            <w:shd w:val="clear" w:color="auto" w:fill="CFF0FC"/>
          </w:tcPr>
          <w:p>
            <w:pPr>
              <w:spacing w:after="0"/>
              <w:rPr>
                <w:sz w:val="21"/>
                <w:szCs w:val="21"/>
                <w:color w:val="auto"/>
              </w:rPr>
            </w:pPr>
          </w:p>
        </w:tc>
        <w:tc>
          <w:tcPr>
            <w:tcW w:w="106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(266 )</w:t>
            </w:r>
          </w:p>
        </w:tc>
      </w:tr>
      <w:tr>
        <w:trPr>
          <w:trHeight w:val="239"/>
        </w:trPr>
        <w:tc>
          <w:tcPr>
            <w:tcW w:w="380" w:type="dxa"/>
            <w:vAlign w:val="bottom"/>
          </w:tcPr>
          <w:p>
            <w:pPr>
              <w:spacing w:after="0"/>
              <w:rPr>
                <w:sz w:val="20"/>
                <w:szCs w:val="20"/>
                <w:color w:val="auto"/>
              </w:rPr>
            </w:pPr>
          </w:p>
        </w:tc>
        <w:tc>
          <w:tcPr>
            <w:tcW w:w="5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(365 )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(101 )</w:t>
            </w:r>
          </w:p>
        </w:tc>
      </w:tr>
      <w:tr>
        <w:trPr>
          <w:trHeight w:val="281"/>
        </w:trPr>
        <w:tc>
          <w:tcPr>
            <w:tcW w:w="380" w:type="dxa"/>
            <w:vAlign w:val="bottom"/>
          </w:tcPr>
          <w:p>
            <w:pPr>
              <w:spacing w:after="0"/>
              <w:rPr>
                <w:sz w:val="24"/>
                <w:szCs w:val="24"/>
                <w:color w:val="auto"/>
              </w:rPr>
            </w:pPr>
          </w:p>
        </w:tc>
        <w:tc>
          <w:tcPr>
            <w:tcW w:w="52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Income Tax</w:t>
            </w: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7,960</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20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5,111</w:t>
            </w:r>
          </w:p>
        </w:tc>
        <w:tc>
          <w:tcPr>
            <w:tcW w:w="80" w:type="dxa"/>
            <w:vAlign w:val="bottom"/>
            <w:tcBorders>
              <w:bottom w:val="single" w:sz="8" w:color="CFF0FC"/>
            </w:tcBorders>
            <w:shd w:val="clear" w:color="auto" w:fill="CFF0FC"/>
          </w:tcPr>
          <w:p>
            <w:pPr>
              <w:spacing w:after="0"/>
              <w:rPr>
                <w:sz w:val="24"/>
                <w:szCs w:val="24"/>
                <w:color w:val="auto"/>
              </w:rPr>
            </w:pPr>
          </w:p>
        </w:tc>
      </w:tr>
      <w:tr>
        <w:trPr>
          <w:trHeight w:val="413"/>
        </w:trPr>
        <w:tc>
          <w:tcPr>
            <w:tcW w:w="59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9"/>
              </w:rPr>
              <w:t>Deferred tax assets and liabilities at December 31 are comprised of the following:</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gridSpan w:val="5"/>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320" w:type="dxa"/>
            <w:vAlign w:val="bottom"/>
          </w:tcPr>
          <w:p>
            <w:pPr>
              <w:spacing w:after="0"/>
              <w:rPr>
                <w:sz w:val="20"/>
                <w:szCs w:val="20"/>
                <w:color w:val="auto"/>
              </w:rPr>
            </w:pPr>
          </w:p>
        </w:tc>
        <w:tc>
          <w:tcPr>
            <w:tcW w:w="7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60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3,629</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unrealized loss on available-for-sale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10,163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Fair value adjustments</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1,913</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1"/>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20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7,226</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Accreted discounts on bonds</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FHLB stock dividends</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amortization</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1,282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7"/>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Mortgage servicing rights</w:t>
            </w:r>
          </w:p>
        </w:tc>
        <w:tc>
          <w:tcPr>
            <w:tcW w:w="3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9"/>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6"/>
        </w:trPr>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4,326</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1"/>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3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FF0FC"/>
          </w:tcPr>
          <w:p>
            <w:pPr>
              <w:spacing w:after="0"/>
              <w:rPr>
                <w:sz w:val="24"/>
                <w:szCs w:val="24"/>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20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bottom w:val="single" w:sz="8" w:color="auto"/>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spacing w:after="0"/>
              <w:rPr>
                <w:sz w:val="24"/>
                <w:szCs w:val="2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2,900</w:t>
            </w:r>
          </w:p>
        </w:tc>
        <w:tc>
          <w:tcPr>
            <w:tcW w:w="80" w:type="dxa"/>
            <w:vAlign w:val="bottom"/>
            <w:tcBorders>
              <w:bottom w:val="single" w:sz="8" w:color="CFF0FC"/>
            </w:tcBorders>
            <w:shd w:val="clear" w:color="auto" w:fill="CFF0FC"/>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-3436620</wp:posOffset>
            </wp:positionV>
            <wp:extent cx="596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-3419475</wp:posOffset>
            </wp:positionV>
            <wp:extent cx="596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-3436620</wp:posOffset>
            </wp:positionV>
            <wp:extent cx="5143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-3419475</wp:posOffset>
            </wp:positionV>
            <wp:extent cx="5143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-3436620</wp:posOffset>
            </wp:positionV>
            <wp:extent cx="5143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-3419475</wp:posOffset>
            </wp:positionV>
            <wp:extent cx="5143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-351155</wp:posOffset>
            </wp:positionV>
            <wp:extent cx="51435" cy="1714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-351155</wp:posOffset>
            </wp:positionV>
            <wp:extent cx="43180" cy="1714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3180"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5143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5143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As part of the Perpetual acquisition, a net operating loss (NOL) carryforward was acquired that is subject to a Section 382 limitation. At the end of 2021, $377,807 of this NOL remained. This NOL was used in 2022 and no balance remains. The Peoples Federal Savings and Loan acquisition included a NOL of $2,789,124. At the end of 2022, $2,638,002 of this NOL remained.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Corporation has additional paid-in capital that is considered restricted resulting from the acquisition of Perpetual in 2021 of approximately $2,779,000 and from the acquisition of Peoples in 2022 of approximately $2,174,000. No deferred tax liability is required to be recorded for the Corporation’s tax bad debt reserves arising before December 31, 1987, unless it is apparent that the reserves will reverse in the near future. Unrecognized deferred taxes on these reserves would total $1,040,000. If the portion of retained earnings representing these reserves is used for any purpose other than to absorb bad debts, it will be added to future taxable income and the related tax will be recognized as expense.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Employee Benefit Plans</w:t>
      </w:r>
    </w:p>
    <w:p>
      <w:pPr>
        <w:spacing w:after="0" w:line="121"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Bank has established a 401(k) profit sharing plan which allows eligible employees to save at a minimum one percent of eligible compensation on a pre-tax or post-tax basis, subject to certain Internal Revenue Service limitations. The Bank will match 50% of employee 401(k) contributions up to six percent of total eligible compensation. In addition, the Bank may make a discretionary contribution from time to time as is deemed advisable. A participant is 100% vested in the participant’s deferral contributions. Employer matching contributions are funded annually and are immediately vested. Beginning in 2022, nonelective employer contributions are immediately vested at 100%. Employees are immediately eligible upon hire to contribute to the plan and receive matching contributions. In order to be eligible for discretionary contributions, employees must work 1,000 hours in the plan year and be employed on the last day of the year. Contributions expensed for the 401(k) profit sharing plan for both the employer matching contribution and the discretionary contribution were $1.7 million, $1.5 million and $1.0 million for 2022, 2021 and 2020, respectively.</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Restricted Stock Awards</w:t>
      </w:r>
    </w:p>
    <w:p>
      <w:pPr>
        <w:spacing w:after="0" w:line="121"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The Company has a Long-Term Stock Incentive Plan under which 56,496 shares of the Company’s restricted stock were issued to 109 employees during 2022, 48,750 shares of restricted stock were issued to 96 employees during 2021 and 37,382 shares of restricted stock were issued to 92 employees during 2020. Under the plan, the shares generally vest 100% in three years. During the 3 year vesting period, the employees receive dividends or dividend equivalent compensation on the shares. Due to employee termination, there were 8,000, 2,575 and 2,175 shares forfeited during 2022, 2021 and 2020, respectively. During 2022, three employees retired and received 3,775 shares from the shares awarded in 2019, 2020 and 2021. In 2021, seven employees retired and received 4,425 shares from the shares awarded in 2018, 2019 and 2020. During 2020, due to retirement, eight employees received 10,890 shares from awards granted in 2017, 2018, 2019 and 2020. In 2022, 26,900 shares awarded in 2019 were 100% vested and 60 employees received the stock. During 2021, 18,845 shares awarded in 2018 were 100% vested and 50 employees received the stock. During 2020, 21,340 shares awarded in 2017 were 100% vested and 53 employees received the stock. One employee received accelerated vesting of 1,050 shares awarded in 2019, 2018 and 2017. Also during 2020, 1,600 shares awarded in 2019 were 100% vested and three employees received the stock. One employee received immediate vesting of 551 shares of stock. Compensation expense applicable to the restricted stock awards totaled $899 thousand, $822 thousand and $1.0 million for the years ending December 31, 2022, 2021 and 2020, respectively.</w:t>
      </w:r>
    </w:p>
    <w:p>
      <w:pPr>
        <w:spacing w:after="0" w:line="187"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details of the restricted shares issued, vested, and forfeited for the years ending December 31, 2021, 2021 and 2020.</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Year Ended December 31,</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760" w:type="dxa"/>
            <w:vAlign w:val="bottom"/>
          </w:tcPr>
          <w:p>
            <w:pPr>
              <w:spacing w:after="0"/>
              <w:rPr>
                <w:sz w:val="20"/>
                <w:szCs w:val="20"/>
                <w:color w:val="auto"/>
              </w:rPr>
            </w:pP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2022</w:t>
            </w:r>
          </w:p>
        </w:tc>
        <w:tc>
          <w:tcPr>
            <w:tcW w:w="98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3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w w:val="94"/>
              </w:rPr>
              <w:t>2020</w:t>
            </w:r>
          </w:p>
        </w:tc>
        <w:tc>
          <w:tcPr>
            <w:tcW w:w="100" w:type="dxa"/>
            <w:vAlign w:val="bottom"/>
          </w:tcPr>
          <w:p>
            <w:pPr>
              <w:spacing w:after="0"/>
              <w:rPr>
                <w:sz w:val="20"/>
                <w:szCs w:val="20"/>
                <w:color w:val="auto"/>
              </w:rPr>
            </w:pPr>
          </w:p>
        </w:tc>
      </w:tr>
      <w:tr>
        <w:trPr>
          <w:trHeight w:val="209"/>
        </w:trPr>
        <w:tc>
          <w:tcPr>
            <w:tcW w:w="3760" w:type="dxa"/>
            <w:vAlign w:val="bottom"/>
          </w:tcPr>
          <w:p>
            <w:pPr>
              <w:spacing w:after="0"/>
              <w:rPr>
                <w:sz w:val="18"/>
                <w:szCs w:val="18"/>
                <w:color w:val="auto"/>
              </w:rPr>
            </w:pPr>
          </w:p>
        </w:tc>
        <w:tc>
          <w:tcPr>
            <w:tcW w:w="1360" w:type="dxa"/>
            <w:vAlign w:val="bottom"/>
            <w:tcBorders>
              <w:top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Number of</w:t>
            </w:r>
          </w:p>
        </w:tc>
        <w:tc>
          <w:tcPr>
            <w:tcW w:w="9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99"/>
              </w:rPr>
              <w:t>Number of</w:t>
            </w:r>
          </w:p>
        </w:tc>
        <w:tc>
          <w:tcPr>
            <w:tcW w:w="240" w:type="dxa"/>
            <w:vAlign w:val="bottom"/>
          </w:tcPr>
          <w:p>
            <w:pPr>
              <w:spacing w:after="0"/>
              <w:rPr>
                <w:sz w:val="18"/>
                <w:szCs w:val="18"/>
                <w:color w:val="auto"/>
              </w:rPr>
            </w:pPr>
          </w:p>
        </w:tc>
        <w:tc>
          <w:tcPr>
            <w:tcW w:w="132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Number of</w:t>
            </w:r>
          </w:p>
        </w:tc>
        <w:tc>
          <w:tcPr>
            <w:tcW w:w="9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99"/>
              </w:rPr>
              <w:t>Number of</w:t>
            </w:r>
          </w:p>
        </w:tc>
        <w:tc>
          <w:tcPr>
            <w:tcW w:w="220" w:type="dxa"/>
            <w:vAlign w:val="bottom"/>
          </w:tcPr>
          <w:p>
            <w:pPr>
              <w:spacing w:after="0"/>
              <w:rPr>
                <w:sz w:val="18"/>
                <w:szCs w:val="18"/>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Number of</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r>
      <w:tr>
        <w:trPr>
          <w:trHeight w:val="241"/>
        </w:trPr>
        <w:tc>
          <w:tcPr>
            <w:tcW w:w="3760" w:type="dxa"/>
            <w:vAlign w:val="bottom"/>
          </w:tcPr>
          <w:p>
            <w:pPr>
              <w:spacing w:after="0"/>
              <w:rPr>
                <w:sz w:val="20"/>
                <w:szCs w:val="20"/>
                <w:color w:val="auto"/>
              </w:rPr>
            </w:pPr>
          </w:p>
        </w:tc>
        <w:tc>
          <w:tcPr>
            <w:tcW w:w="13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Shares</w:t>
            </w:r>
          </w:p>
        </w:tc>
        <w:tc>
          <w:tcPr>
            <w:tcW w:w="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Employees</w:t>
            </w:r>
          </w:p>
        </w:tc>
        <w:tc>
          <w:tcPr>
            <w:tcW w:w="240" w:type="dxa"/>
            <w:vAlign w:val="bottom"/>
          </w:tcPr>
          <w:p>
            <w:pPr>
              <w:spacing w:after="0"/>
              <w:rPr>
                <w:sz w:val="20"/>
                <w:szCs w:val="20"/>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Shares</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Employees</w:t>
            </w:r>
          </w:p>
        </w:tc>
        <w:tc>
          <w:tcPr>
            <w:tcW w:w="22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Shares</w:t>
            </w:r>
          </w:p>
        </w:tc>
        <w:tc>
          <w:tcPr>
            <w:tcW w:w="2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Employees</w:t>
            </w:r>
          </w:p>
        </w:tc>
        <w:tc>
          <w:tcPr>
            <w:tcW w:w="100" w:type="dxa"/>
            <w:vAlign w:val="bottom"/>
          </w:tcPr>
          <w:p>
            <w:pPr>
              <w:spacing w:after="0"/>
              <w:rPr>
                <w:sz w:val="20"/>
                <w:szCs w:val="20"/>
                <w:color w:val="auto"/>
              </w:rPr>
            </w:pPr>
          </w:p>
        </w:tc>
      </w:tr>
      <w:tr>
        <w:trPr>
          <w:trHeight w:val="243"/>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shares issued</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56,496</w:t>
            </w: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shd w:val="clear" w:color="auto" w:fill="CFF0FC"/>
          </w:tcPr>
          <w:p>
            <w:pPr>
              <w:spacing w:after="0"/>
              <w:rPr>
                <w:sz w:val="21"/>
                <w:szCs w:val="21"/>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37,382</w:t>
            </w:r>
          </w:p>
        </w:tc>
        <w:tc>
          <w:tcPr>
            <w:tcW w:w="220" w:type="dxa"/>
            <w:vAlign w:val="bottom"/>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 vested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18,845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23,491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shares awarded due to retirement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shares awarded for other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shares forfeited</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756"/>
        </w:trPr>
        <w:tc>
          <w:tcPr>
            <w:tcW w:w="3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37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35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activity of restricted stock awards as of December 31: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Year Ended December 31,</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9"/>
        </w:trPr>
        <w:tc>
          <w:tcPr>
            <w:tcW w:w="382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Pr>
          <w:p>
            <w:pPr>
              <w:spacing w:after="0"/>
              <w:rPr>
                <w:sz w:val="20"/>
                <w:szCs w:val="20"/>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60" w:type="dxa"/>
            <w:vAlign w:val="bottom"/>
          </w:tcPr>
          <w:p>
            <w:pPr>
              <w:spacing w:after="0"/>
              <w:rPr>
                <w:sz w:val="20"/>
                <w:szCs w:val="20"/>
                <w:color w:val="auto"/>
              </w:rPr>
            </w:pPr>
          </w:p>
        </w:tc>
        <w:tc>
          <w:tcPr>
            <w:tcW w:w="162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2020</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8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7"/>
              </w:rPr>
              <w:t>Weighted</w:t>
            </w:r>
          </w:p>
        </w:tc>
        <w:tc>
          <w:tcPr>
            <w:tcW w:w="2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average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average</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average</w:t>
            </w:r>
          </w:p>
        </w:tc>
        <w:tc>
          <w:tcPr>
            <w:tcW w:w="10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Number of</w:t>
            </w:r>
          </w:p>
        </w:tc>
        <w:tc>
          <w:tcPr>
            <w:tcW w:w="140" w:type="dxa"/>
            <w:vAlign w:val="bottom"/>
          </w:tcPr>
          <w:p>
            <w:pPr>
              <w:spacing w:after="0"/>
              <w:rPr>
                <w:sz w:val="18"/>
                <w:szCs w:val="18"/>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fair value</w:t>
            </w:r>
          </w:p>
        </w:tc>
        <w:tc>
          <w:tcPr>
            <w:tcW w:w="22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fair value</w:t>
            </w:r>
          </w:p>
        </w:tc>
        <w:tc>
          <w:tcPr>
            <w:tcW w:w="22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Number of</w:t>
            </w:r>
          </w:p>
        </w:tc>
        <w:tc>
          <w:tcPr>
            <w:tcW w:w="120" w:type="dxa"/>
            <w:vAlign w:val="bottom"/>
          </w:tcPr>
          <w:p>
            <w:pPr>
              <w:spacing w:after="0"/>
              <w:rPr>
                <w:sz w:val="18"/>
                <w:szCs w:val="18"/>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fair value</w:t>
            </w:r>
          </w:p>
        </w:tc>
        <w:tc>
          <w:tcPr>
            <w:tcW w:w="100" w:type="dxa"/>
            <w:vAlign w:val="bottom"/>
          </w:tcPr>
          <w:p>
            <w:pPr>
              <w:spacing w:after="0"/>
              <w:rPr>
                <w:sz w:val="18"/>
                <w:szCs w:val="18"/>
                <w:color w:val="auto"/>
              </w:rPr>
            </w:pPr>
          </w:p>
        </w:tc>
      </w:tr>
      <w:tr>
        <w:trPr>
          <w:trHeight w:val="241"/>
        </w:trPr>
        <w:tc>
          <w:tcPr>
            <w:tcW w:w="382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Shares</w:t>
            </w:r>
          </w:p>
        </w:tc>
        <w:tc>
          <w:tcPr>
            <w:tcW w:w="140" w:type="dxa"/>
            <w:vAlign w:val="bottom"/>
          </w:tcPr>
          <w:p>
            <w:pPr>
              <w:spacing w:after="0"/>
              <w:rPr>
                <w:sz w:val="20"/>
                <w:szCs w:val="20"/>
                <w:color w:val="auto"/>
              </w:rPr>
            </w:pPr>
          </w:p>
        </w:tc>
        <w:tc>
          <w:tcPr>
            <w:tcW w:w="9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per award</w:t>
            </w:r>
          </w:p>
        </w:tc>
        <w:tc>
          <w:tcPr>
            <w:tcW w:w="22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8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per award</w:t>
            </w:r>
          </w:p>
        </w:tc>
        <w:tc>
          <w:tcPr>
            <w:tcW w:w="22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8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per award</w:t>
            </w:r>
          </w:p>
        </w:tc>
        <w:tc>
          <w:tcPr>
            <w:tcW w:w="100" w:type="dxa"/>
            <w:vAlign w:val="bottom"/>
          </w:tcPr>
          <w:p>
            <w:pPr>
              <w:spacing w:after="0"/>
              <w:rPr>
                <w:sz w:val="20"/>
                <w:szCs w:val="20"/>
                <w:color w:val="auto"/>
              </w:rPr>
            </w:pPr>
          </w:p>
        </w:tc>
      </w:tr>
      <w:tr>
        <w:trPr>
          <w:trHeight w:val="243"/>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111,131</w:t>
            </w:r>
          </w:p>
        </w:tc>
        <w:tc>
          <w:tcPr>
            <w:tcW w:w="24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2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88,226</w:t>
            </w:r>
          </w:p>
        </w:tc>
        <w:tc>
          <w:tcPr>
            <w:tcW w:w="20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220" w:type="dxa"/>
            <w:vAlign w:val="bottom"/>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88,450</w:t>
            </w:r>
          </w:p>
        </w:tc>
        <w:tc>
          <w:tcPr>
            <w:tcW w:w="22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100" w:type="dxa"/>
            <w:vAlign w:val="bottom"/>
            <w:shd w:val="clear" w:color="auto" w:fill="CFF0FC"/>
          </w:tcPr>
          <w:p>
            <w:pPr>
              <w:spacing w:after="0"/>
              <w:rPr>
                <w:sz w:val="21"/>
                <w:szCs w:val="21"/>
                <w:color w:val="auto"/>
              </w:rPr>
            </w:pPr>
          </w:p>
        </w:tc>
      </w:tr>
      <w:tr>
        <w:trPr>
          <w:trHeight w:val="23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48,750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37,382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Pr>
          <w:p>
            <w:pPr>
              <w:spacing w:after="0"/>
              <w:rPr>
                <w:sz w:val="20"/>
                <w:szCs w:val="20"/>
                <w:color w:val="auto"/>
              </w:rPr>
            </w:pPr>
          </w:p>
        </w:tc>
      </w:tr>
      <w:tr>
        <w:trPr>
          <w:trHeight w:val="247"/>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(30,675 )</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5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(23,270 )</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w:t>
            </w:r>
          </w:p>
        </w:tc>
        <w:tc>
          <w:tcPr>
            <w:tcW w:w="15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(35,431 )</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shd w:val="clear" w:color="auto" w:fill="CFF0FC"/>
          </w:tcPr>
          <w:p>
            <w:pPr>
              <w:spacing w:after="0"/>
              <w:rPr>
                <w:sz w:val="21"/>
                <w:szCs w:val="21"/>
                <w:color w:val="auto"/>
              </w:rPr>
            </w:pPr>
          </w:p>
        </w:tc>
      </w:tr>
      <w:tr>
        <w:trPr>
          <w:trHeight w:val="24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(8,000 )</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(2,575 )</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(2,175 )</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Pr>
          <w:p>
            <w:pPr>
              <w:spacing w:after="0"/>
              <w:rPr>
                <w:sz w:val="21"/>
                <w:szCs w:val="21"/>
                <w:color w:val="auto"/>
              </w:rPr>
            </w:pPr>
          </w:p>
        </w:tc>
      </w:tr>
      <w:tr>
        <w:trPr>
          <w:trHeight w:val="277"/>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end of period</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128,952</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2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111,131</w:t>
            </w:r>
          </w:p>
        </w:tc>
        <w:tc>
          <w:tcPr>
            <w:tcW w:w="2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2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88,226</w:t>
            </w:r>
          </w:p>
        </w:tc>
        <w:tc>
          <w:tcPr>
            <w:tcW w:w="2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-25400</wp:posOffset>
            </wp:positionV>
            <wp:extent cx="7747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-8255</wp:posOffset>
            </wp:positionV>
            <wp:extent cx="7747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-8255</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-25400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As of December 31, 2022, there was $2.1 million of unrecognized compensation cost related to the nonvested portion of restricted stock awards under the plan to be recognized over the next three years.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48"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Basic earnings per share is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in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194"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approximately $4,000, rounded to the nearest whole Share on an annual basis commencing on June 5, 2020 and thereafter on the first Friday of June in each year. The value for the Shares is to be based upon the closing price for Shares on June 4, 2020 and thereafter on the first Thursday in June each year. On June 5, 2020, each Director received 176 shares. On November 20, 2020, a new director received 20 prorated shares. On June 4, 2021, ten Directors received approximately $6,000 worth of shares which equated to 272 shares while four Directors received a prorated dollar value of shares. On October 1, 2021, a new Director was added as a result of the Perpetual Federal Savings Bank acquisition and received 68 prorated shares worth approximately $1,523. On June 3, 2022, twelve Directors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each received $10,013 which equated to 240 shares. The use of stock for Directors' retainer, does not have an effect on diluted earnings per share as it is immediately vested.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presents basic and diluted earnings per share for the years ended December 31, 2021, 2020, and 2019.</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36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Year Ended</w:t>
            </w: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December 31,</w:t>
            </w:r>
          </w:p>
        </w:tc>
        <w:tc>
          <w:tcPr>
            <w:tcW w:w="240" w:type="dxa"/>
            <w:vAlign w:val="bottom"/>
          </w:tcPr>
          <w:p>
            <w:pPr>
              <w:spacing w:after="0"/>
              <w:rPr>
                <w:sz w:val="20"/>
                <w:szCs w:val="20"/>
                <w:color w:val="auto"/>
              </w:rPr>
            </w:pP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2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distributed earnings allocated to</w:t>
            </w: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2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Less: undistributed earnings allocated to</w:t>
            </w:r>
          </w:p>
        </w:tc>
        <w:tc>
          <w:tcPr>
            <w:tcW w:w="220" w:type="dxa"/>
            <w:vAlign w:val="bottom"/>
          </w:tcPr>
          <w:p>
            <w:pPr>
              <w:spacing w:after="0"/>
              <w:rPr>
                <w:sz w:val="18"/>
                <w:szCs w:val="18"/>
                <w:color w:val="auto"/>
              </w:rPr>
            </w:pPr>
          </w:p>
        </w:tc>
        <w:tc>
          <w:tcPr>
            <w:tcW w:w="16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(187 )</w:t>
            </w:r>
          </w:p>
        </w:tc>
        <w:tc>
          <w:tcPr>
            <w:tcW w:w="240" w:type="dxa"/>
            <w:vAlign w:val="bottom"/>
          </w:tcPr>
          <w:p>
            <w:pPr>
              <w:spacing w:after="0"/>
              <w:rPr>
                <w:sz w:val="18"/>
                <w:szCs w:val="18"/>
                <w:color w:val="auto"/>
              </w:rPr>
            </w:pPr>
          </w:p>
        </w:tc>
        <w:tc>
          <w:tcPr>
            <w:tcW w:w="1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(121 )</w:t>
            </w:r>
          </w:p>
        </w:tc>
        <w:tc>
          <w:tcPr>
            <w:tcW w:w="200" w:type="dxa"/>
            <w:vAlign w:val="bottom"/>
          </w:tcPr>
          <w:p>
            <w:pPr>
              <w:spacing w:after="0"/>
              <w:rPr>
                <w:sz w:val="18"/>
                <w:szCs w:val="18"/>
                <w:color w:val="auto"/>
              </w:rPr>
            </w:pPr>
          </w:p>
        </w:tc>
        <w:tc>
          <w:tcPr>
            <w:tcW w:w="15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(96 )</w:t>
            </w:r>
          </w:p>
        </w:tc>
        <w:tc>
          <w:tcPr>
            <w:tcW w:w="0" w:type="dxa"/>
            <w:vAlign w:val="bottom"/>
          </w:tcPr>
          <w:p>
            <w:pPr>
              <w:spacing w:after="0"/>
              <w:rPr>
                <w:sz w:val="1"/>
                <w:szCs w:val="1"/>
                <w:color w:val="auto"/>
              </w:rPr>
            </w:pPr>
          </w:p>
        </w:tc>
      </w:tr>
      <w:tr>
        <w:trPr>
          <w:trHeight w:val="234"/>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participating securities</w:t>
            </w:r>
          </w:p>
        </w:tc>
        <w:tc>
          <w:tcPr>
            <w:tcW w:w="220" w:type="dxa"/>
            <w:vAlign w:val="bottom"/>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60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earnings available to common</w:t>
            </w:r>
          </w:p>
        </w:tc>
        <w:tc>
          <w:tcPr>
            <w:tcW w:w="22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32,231</w:t>
            </w: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23,304</w:t>
            </w:r>
          </w:p>
        </w:tc>
        <w:tc>
          <w:tcPr>
            <w:tcW w:w="100" w:type="dxa"/>
            <w:vAlign w:val="bottom"/>
            <w:shd w:val="clear" w:color="auto" w:fill="CFF0FC"/>
          </w:tcPr>
          <w:p>
            <w:pPr>
              <w:spacing w:after="0"/>
              <w:rPr>
                <w:sz w:val="17"/>
                <w:szCs w:val="17"/>
                <w:color w:val="auto"/>
              </w:rPr>
            </w:pPr>
          </w:p>
        </w:tc>
        <w:tc>
          <w:tcPr>
            <w:tcW w:w="200" w:type="dxa"/>
            <w:vAlign w:val="bottom"/>
            <w:tcBorders>
              <w:top w:val="single" w:sz="8" w:color="auto"/>
            </w:tcBorders>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36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220" w:type="dxa"/>
            <w:vAlign w:val="bottom"/>
            <w:tcBorders>
              <w:bottom w:val="single" w:sz="8" w:color="auto"/>
            </w:tcBorders>
            <w:vMerge w:val="continue"/>
            <w:shd w:val="clear" w:color="auto" w:fill="CFF0FC"/>
          </w:tcPr>
          <w:p>
            <w:pPr>
              <w:spacing w:after="0"/>
              <w:rPr>
                <w:sz w:val="21"/>
                <w:szCs w:val="21"/>
                <w:color w:val="auto"/>
              </w:rPr>
            </w:pPr>
          </w:p>
        </w:tc>
        <w:tc>
          <w:tcPr>
            <w:tcW w:w="15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48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vMerge w:val="continue"/>
            <w:shd w:val="clear" w:color="auto" w:fill="CFF0FC"/>
          </w:tcPr>
          <w:p>
            <w:pPr>
              <w:spacing w:after="0"/>
              <w:rPr>
                <w:sz w:val="21"/>
                <w:szCs w:val="21"/>
                <w:color w:val="auto"/>
              </w:rPr>
            </w:pPr>
          </w:p>
        </w:tc>
        <w:tc>
          <w:tcPr>
            <w:tcW w:w="1460" w:type="dxa"/>
            <w:vAlign w:val="bottom"/>
            <w:tcBorders>
              <w:bottom w:val="single" w:sz="8" w:color="auto"/>
            </w:tcBorders>
            <w:vMerge w:val="continue"/>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2"/>
        </w:trPr>
        <w:tc>
          <w:tcPr>
            <w:tcW w:w="360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including participating securities</w:t>
            </w:r>
          </w:p>
        </w:tc>
        <w:tc>
          <w:tcPr>
            <w:tcW w:w="2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13,206,713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11,664,852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11,146,270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average unvested restricted shares</w:t>
            </w:r>
          </w:p>
        </w:tc>
        <w:tc>
          <w:tcPr>
            <w:tcW w:w="220" w:type="dxa"/>
            <w:vAlign w:val="bottom"/>
            <w:shd w:val="clear" w:color="auto" w:fill="CFF0FC"/>
          </w:tcPr>
          <w:p>
            <w:pPr>
              <w:spacing w:after="0"/>
              <w:rPr>
                <w:sz w:val="21"/>
                <w:szCs w:val="21"/>
                <w:color w:val="auto"/>
              </w:rPr>
            </w:pPr>
          </w:p>
        </w:tc>
        <w:tc>
          <w:tcPr>
            <w:tcW w:w="1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(115,291 )</w:t>
            </w:r>
          </w:p>
        </w:tc>
        <w:tc>
          <w:tcPr>
            <w:tcW w:w="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(94,634 )</w:t>
            </w:r>
          </w:p>
        </w:tc>
        <w:tc>
          <w:tcPr>
            <w:tcW w:w="20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(84,879 )</w:t>
            </w:r>
          </w:p>
        </w:tc>
        <w:tc>
          <w:tcPr>
            <w:tcW w:w="0" w:type="dxa"/>
            <w:vAlign w:val="bottom"/>
          </w:tcPr>
          <w:p>
            <w:pPr>
              <w:spacing w:after="0"/>
              <w:rPr>
                <w:sz w:val="1"/>
                <w:szCs w:val="1"/>
                <w:color w:val="auto"/>
              </w:rPr>
            </w:pPr>
          </w:p>
        </w:tc>
      </w:tr>
      <w:tr>
        <w:trPr>
          <w:trHeight w:val="237"/>
        </w:trPr>
        <w:tc>
          <w:tcPr>
            <w:tcW w:w="3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13,091,422</w:t>
            </w:r>
          </w:p>
        </w:tc>
        <w:tc>
          <w:tcPr>
            <w:tcW w:w="1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11,570,218</w:t>
            </w:r>
          </w:p>
        </w:tc>
        <w:tc>
          <w:tcPr>
            <w:tcW w:w="10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11,061,391</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earnings per share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-839470</wp:posOffset>
            </wp:positionV>
            <wp:extent cx="2322830" cy="3175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322830" cy="31750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-368300</wp:posOffset>
            </wp:positionV>
            <wp:extent cx="60325" cy="18859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-368300</wp:posOffset>
            </wp:positionV>
            <wp:extent cx="60325" cy="18859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-368300</wp:posOffset>
            </wp:positionV>
            <wp:extent cx="51435" cy="1885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-25400</wp:posOffset>
            </wp:positionV>
            <wp:extent cx="6032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-8255</wp:posOffset>
            </wp:positionV>
            <wp:extent cx="6032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-25400</wp:posOffset>
            </wp:positionV>
            <wp:extent cx="6032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6032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the Bank has granted loans to senior officers and directors and their affiliated companies amounting to $20.2 million and $20.1 million at December 31, 2022 and 2021, respectively. Two new loans were approved during 2022 of which no additional borrowings were utilized. During 2022, subsequent advances totaled $12.5 million and payments of $21.9 million were received. The difference in related borrowings amounted to $151 thousand, net increase. Deposits of directors, executive officers and companies in which they have a direct or indirect ownership as of December 31, 2022 and 2021, amounted to $41.5 million and $43.7 million, respectively.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Off Balance Sheet Activities</w:t>
      </w:r>
    </w:p>
    <w:p>
      <w:pPr>
        <w:spacing w:after="0" w:line="11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Credit Related Financial Instruments</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Bank is a party to credit related financial instruments with off-balance-sheet risk in the normal course of business to meet the financing need of its customers. These financial instruments include commitments to extend credit, Standby Letters of Credit, and Commercial Letters of Credit. Such commitments involve, to varying degrees, elements of credit and interest rate risk in excess of the amount recognized in the consolidated balance sheets.</w:t>
      </w:r>
    </w:p>
    <w:p>
      <w:pPr>
        <w:spacing w:after="0" w:line="180"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Bank's exposure to credit loss is represented by the contractual amount of these commitments. The Bank follows the same credit policies in making commitments as it does for on-balance-sheet instruments. The allowance for credit losses as it relates to unfunded loan commitments (AULC) is included under other liabilities. The AULC as of both December 31, 2022 and 2021 was $1.0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December 31, 2022 and 2021, the following financial instruments were outstanding whose contract amounts represent credit risk:</w:t>
      </w:r>
    </w:p>
    <w:p>
      <w:pPr>
        <w:spacing w:after="0" w:line="239" w:lineRule="exact"/>
        <w:rPr>
          <w:sz w:val="20"/>
          <w:szCs w:val="20"/>
          <w:color w:val="auto"/>
        </w:rPr>
      </w:pPr>
    </w:p>
    <w:tbl>
      <w:tblPr>
        <w:tblLayout w:type="fixed"/>
        <w:tblInd w:w="1700" w:type="dxa"/>
        <w:tblCellMar>
          <w:top w:w="0" w:type="dxa"/>
          <w:left w:w="0" w:type="dxa"/>
          <w:bottom w:w="0" w:type="dxa"/>
          <w:right w:w="0" w:type="dxa"/>
        </w:tblCellMar>
      </w:tblPr>
      <w:tr>
        <w:trPr>
          <w:trHeight w:val="241"/>
        </w:trPr>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(In Thousands)</w:t>
            </w:r>
          </w:p>
        </w:tc>
        <w:tc>
          <w:tcPr>
            <w:tcW w:w="80" w:type="dxa"/>
            <w:vAlign w:val="bottom"/>
          </w:tcPr>
          <w:p>
            <w:pPr>
              <w:spacing w:after="0"/>
              <w:rPr>
                <w:sz w:val="20"/>
                <w:szCs w:val="20"/>
                <w:color w:val="auto"/>
              </w:rPr>
            </w:pPr>
          </w:p>
        </w:tc>
      </w:tr>
      <w:tr>
        <w:trPr>
          <w:trHeight w:val="239"/>
        </w:trPr>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41"/>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691,501</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557,094</w:t>
            </w:r>
          </w:p>
        </w:tc>
        <w:tc>
          <w:tcPr>
            <w:tcW w:w="80" w:type="dxa"/>
            <w:vAlign w:val="bottom"/>
            <w:shd w:val="clear" w:color="auto" w:fill="CFF0FC"/>
          </w:tcPr>
          <w:p>
            <w:pPr>
              <w:spacing w:after="0"/>
              <w:rPr>
                <w:sz w:val="20"/>
                <w:szCs w:val="20"/>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Credit card arrangements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8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80" w:type="dxa"/>
            <w:vAlign w:val="bottom"/>
            <w:shd w:val="clear" w:color="auto" w:fill="CFF0FC"/>
          </w:tcPr>
          <w:p>
            <w:pPr>
              <w:spacing w:after="0"/>
              <w:rPr>
                <w:sz w:val="21"/>
                <w:szCs w:val="21"/>
                <w:color w:val="auto"/>
              </w:rPr>
            </w:pPr>
          </w:p>
        </w:tc>
      </w:tr>
    </w:tbl>
    <w:p>
      <w:pPr>
        <w:spacing w:after="0" w:line="198"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Commitments to extend credit, credit card arrangements and Standby Letters of Credit all include exposure to some credit loss in the event of nonperformance of the customer. The Bank’s credit policies and procedures for credit commitments and financial guarantees are the same as those for extensions of credit that are recorded in the financial statements. Due to the fact that these instruments have fixed maturity dates, and because many of them expire without being drawn upon, they generally do not present any significant liquidity risk to the Bank. On May 1, 2022, the Bank sold the credit card portfolio thus eliminating credit risk for 2022.</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Collateral Requirements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To reduce credit risk related to the use of credit-related financial instruments, the Bank might deem it necessary to obtain collateral. The amount and nature of the collateral obtained is based on the Bank's credit evaluation of the customer. Collateral held varies but may include cash, securities, accounts receivable, inventory, property, plant, and real estate.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121"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Various legal claims also arise from time to time in the normal course of business, which, in the opinion of management, will have no material effect on the Company’s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Minimum Regulatory Capital Requirements</w:t>
      </w:r>
    </w:p>
    <w:p>
      <w:pPr>
        <w:spacing w:after="0" w:line="121"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Bank is subject to various regulatory capital requirements administered by the federal banking agencies. Failure to meet minimum capital requirements can initiate certain mandatory and possibly additional discretionary actions by regulators that, if undertaken, could have a direct material effect on the Company's financial statements. Under capital adequacy guidelines and the regulatory framework for prompt corrective action, the Bank must meet specific capital guidelines that involve quantitative measures of their assets, liabilities and certain off balance-sheet items as calculated under regulatory accounting practices.</w:t>
      </w:r>
    </w:p>
    <w:p>
      <w:pPr>
        <w:spacing w:after="0" w:line="183" w:lineRule="exact"/>
        <w:rPr>
          <w:sz w:val="20"/>
          <w:szCs w:val="20"/>
          <w:color w:val="auto"/>
        </w:rPr>
      </w:pPr>
    </w:p>
    <w:p>
      <w:pPr>
        <w:jc w:val="both"/>
        <w:ind w:left="760" w:right="20"/>
        <w:spacing w:after="0" w:line="282" w:lineRule="auto"/>
        <w:rPr>
          <w:sz w:val="20"/>
          <w:szCs w:val="20"/>
          <w:color w:val="auto"/>
        </w:rPr>
      </w:pPr>
      <w:r>
        <w:rPr>
          <w:rFonts w:ascii="Times New Roman" w:cs="Times New Roman" w:eastAsia="Times New Roman" w:hAnsi="Times New Roman"/>
          <w:sz w:val="18"/>
          <w:szCs w:val="18"/>
          <w:color w:val="auto"/>
        </w:rPr>
        <w:t>The capital amounts and classification are also subject to qualitative judgments by the regulators about components, risk weightings, and other factors. Prompt corrective action provisions are not applicable to bank holding companies.</w:t>
      </w:r>
    </w:p>
    <w:p>
      <w:pPr>
        <w:spacing w:after="0" w:line="16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the Basel III Capital Rules, the comprehensive capital framework for U.S. banking organizations, to ensure capital adequacy require the maintenance of minimum amounts and ratios (set forth in the table below) of Common Equity Tier 1 capital, Tier 1 capital and Total capital (as defined in the regulations) to risk-weighted assets (as defined), and of Tier 1 capital to adjusted quarterly average assets (as defined).</w:t>
      </w:r>
    </w:p>
    <w:p>
      <w:pPr>
        <w:spacing w:after="0" w:line="18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In connection with the adoption of the Basel III Capital Rules, we elected to opt-out of the requirement to include most components of accumulated other comprehensive income in Common Equity Tier 1.</w:t>
      </w:r>
    </w:p>
    <w:p>
      <w:pPr>
        <w:spacing w:after="0" w:line="162"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Common Equity Tier 1 is reduced by goodwill and other intangible assets, net of associated deferred tax liabilities, and subject to transition provisions.</w:t>
      </w:r>
    </w:p>
    <w:p>
      <w:pPr>
        <w:spacing w:after="0" w:line="162"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Common Equity Tier 1, Tier 1 and Total capital ratios are calculated by dividing the respective capital amounts by risk-weighted assets. Risk-weighted assets are calculated based on regulatory requirements and include total assets, with certain exclusions, allocated by risk weight category, and certain off-balance-sheet items, among other things. The leverage ratio is calculated by dividing Tier 1 capital by adjusted quarterly average total assets, which exclude goodwill and other intangible assets, among other things.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The Basel III Capital Rules require the Bank to maintain (i) a minimum ratio of Common Equity Tier 1 capital to risk-weighted assets of at least 4.5%, plus a 2.5% “capital conservation buffer” (which is added to the 4.5% Common Equity Tier 1 capital ratio, effectively resulting in a minimum ratio of Common Equity Tier 1 capital to risk-weighted assets of at least 7.0%), (ii) a minimum ratio of Tier 1 capital to risk-weighted assets of at least 6.0%, plus the capital conservation buffer (which is added to the 6.0% Tier 1 capital ratio, effectively resulting in a minimum Tier 1 capital ratio of 8.5%), (iii) a minimum ratio of Total capital (that is, Tier 1 plus Tier 2) to risk-weighted assets of at least 8.0%, plus the capital conservation buffer (which is added to the 8.0% total capital ratio, effectively resulting in a minimum total capital ratio of 10.5%) and (iv) a minimum leverage ratio of 4.0%, calculated as the ratio of Tier 1 capital to average quarterly assets.</w:t>
      </w:r>
    </w:p>
    <w:p>
      <w:pPr>
        <w:spacing w:after="0" w:line="189" w:lineRule="exact"/>
        <w:rPr>
          <w:sz w:val="20"/>
          <w:szCs w:val="20"/>
          <w:color w:val="auto"/>
        </w:rPr>
      </w:pPr>
    </w:p>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The capital conservation buffer is designed to absorb losses during periods of economic stress and, as detailed above, effectively increases the minimum required risk-weighted capital ratios. Banking institutions with a ratio of Common Equity Tier 1 capital to risk-weighted assets below the effective minimum (4.5% plus the capital conservation buffer) will face constraints on dividends, equity repurchases and compensation based on the amount of the shortfall.</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Management believes, as of December 31, 2022, that the Bank meets all the capital adequacy requirements to which it is subject.</w:t>
      </w:r>
    </w:p>
    <w:p>
      <w:pPr>
        <w:spacing w:after="0" w:line="225" w:lineRule="exact"/>
        <w:rPr>
          <w:sz w:val="20"/>
          <w:szCs w:val="20"/>
          <w:color w:val="auto"/>
        </w:rPr>
      </w:pPr>
    </w:p>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As of December 31, 2022, the most recent notification from the FDIC indicated the Bank was categorized as well capitalized under the regulatory framework for prompt corrective action. To remain categorized as well capitalized, the Bank will have to maintain minimum total risk-based, Tier I risk-based, Common Equity Tier 1 and Tier I leverage ratios as disclosed in the table to follow. There are no conditions or events since the most recent notification that management believes have changed the Bank’s prompt corrective action category.</w:t>
      </w:r>
    </w:p>
    <w:p>
      <w:pPr>
        <w:spacing w:after="0" w:line="180" w:lineRule="exact"/>
        <w:rPr>
          <w:sz w:val="20"/>
          <w:szCs w:val="20"/>
          <w:color w:val="auto"/>
        </w:rPr>
      </w:pPr>
    </w:p>
    <w:p>
      <w:pPr>
        <w:jc w:val="both"/>
        <w:ind w:left="760" w:right="60"/>
        <w:spacing w:after="0" w:line="261" w:lineRule="auto"/>
        <w:rPr>
          <w:sz w:val="20"/>
          <w:szCs w:val="20"/>
          <w:color w:val="auto"/>
        </w:rPr>
      </w:pPr>
      <w:r>
        <w:rPr>
          <w:rFonts w:ascii="Times New Roman" w:cs="Times New Roman" w:eastAsia="Times New Roman" w:hAnsi="Times New Roman"/>
          <w:sz w:val="18"/>
          <w:szCs w:val="18"/>
          <w:color w:val="auto"/>
        </w:rPr>
        <w:t>The following tables present actual and required capital ratios as of December 31, 2022 and December 31, 2021 under the Basel III Capital Rules. The minimum required capital amounts presented include the minimum required capital levels as of December 31, 2022 and December 31, 2021. Capital levels required to be considered well capitalized are based upon prompt corrective action regulations, as amended to reflect the changes under the Basel III Capital Rules.</w:t>
      </w:r>
    </w:p>
    <w:p>
      <w:pPr>
        <w:spacing w:after="0" w:line="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Bank’s actual and required capital amounts and ratios as of December 31, 2022 and December 31, 2021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Required to be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Minimum Capital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Considered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Actual</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Required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Well-Capitalized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(000's)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(000's)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(000's)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2022</w:t>
            </w:r>
          </w:p>
        </w:tc>
        <w:tc>
          <w:tcPr>
            <w:tcW w:w="280" w:type="dxa"/>
            <w:vAlign w:val="bottom"/>
          </w:tcPr>
          <w:p>
            <w:pPr>
              <w:spacing w:after="0"/>
              <w:rPr>
                <w:sz w:val="21"/>
                <w:szCs w:val="21"/>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1"/>
                <w:szCs w:val="21"/>
                <w:color w:val="auto"/>
              </w:rPr>
            </w:pPr>
          </w:p>
        </w:tc>
        <w:tc>
          <w:tcPr>
            <w:tcW w:w="138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Ratio</w:t>
            </w: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1"/>
                <w:szCs w:val="21"/>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Ratio</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1"/>
                <w:szCs w:val="21"/>
                <w:color w:val="auto"/>
              </w:rPr>
            </w:pPr>
          </w:p>
        </w:tc>
        <w:tc>
          <w:tcPr>
            <w:tcW w:w="10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Ratio</w:t>
            </w:r>
          </w:p>
        </w:tc>
      </w:tr>
      <w:tr>
        <w:trPr>
          <w:trHeight w:val="205"/>
        </w:trPr>
        <w:tc>
          <w:tcPr>
            <w:tcW w:w="29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Equity Tier 1 Capital</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259,510</w:t>
            </w:r>
          </w:p>
        </w:tc>
        <w:tc>
          <w:tcPr>
            <w:tcW w:w="16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rPr>
              <w:t>11.15 %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104,763</w:t>
            </w:r>
          </w:p>
        </w:tc>
        <w:tc>
          <w:tcPr>
            <w:tcW w:w="14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4.50 %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151,324</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Risk-Based Capital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281,085</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12.07 %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186,245</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232,806</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259,510</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11.15 %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139,684</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186,245</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Leverage Capital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Adjusted Total Assets)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259,510</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9.03 %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114,972</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143,714</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662"/>
        </w:trPr>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29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-1653540</wp:posOffset>
            </wp:positionV>
            <wp:extent cx="7132320" cy="2914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29146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47" w:right="27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Required to be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Minimum Capital</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Considered</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9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Actual</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Required</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Well-Capitalized</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34"/>
        </w:trPr>
        <w:tc>
          <w:tcPr>
            <w:tcW w:w="2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(000's)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7"/>
              </w:rPr>
              <w:t>(000's)</w:t>
            </w: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7"/>
              </w:rPr>
              <w:t>(000's)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2"/>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2021</w:t>
            </w:r>
          </w:p>
        </w:tc>
        <w:tc>
          <w:tcPr>
            <w:tcW w:w="280" w:type="dxa"/>
            <w:vAlign w:val="bottom"/>
          </w:tcPr>
          <w:p>
            <w:pPr>
              <w:spacing w:after="0"/>
              <w:rPr>
                <w:sz w:val="21"/>
                <w:szCs w:val="21"/>
                <w:color w:val="auto"/>
              </w:rPr>
            </w:pP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Pr>
          <w:p>
            <w:pPr>
              <w:spacing w:after="0"/>
              <w:rPr>
                <w:sz w:val="21"/>
                <w:szCs w:val="21"/>
                <w:color w:val="auto"/>
              </w:rPr>
            </w:pPr>
          </w:p>
        </w:tc>
        <w:tc>
          <w:tcPr>
            <w:tcW w:w="13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Ratio</w:t>
            </w:r>
          </w:p>
        </w:tc>
        <w:tc>
          <w:tcPr>
            <w:tcW w:w="12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21"/>
                <w:szCs w:val="21"/>
                <w:color w:val="auto"/>
              </w:rPr>
            </w:pPr>
          </w:p>
        </w:tc>
        <w:tc>
          <w:tcPr>
            <w:tcW w:w="120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Ratio</w:t>
            </w:r>
          </w:p>
        </w:tc>
        <w:tc>
          <w:tcPr>
            <w:tcW w:w="1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1"/>
                <w:szCs w:val="21"/>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Ratio</w:t>
            </w:r>
          </w:p>
        </w:tc>
      </w:tr>
      <w:tr>
        <w:trPr>
          <w:trHeight w:val="205"/>
        </w:trPr>
        <w:tc>
          <w:tcPr>
            <w:tcW w:w="29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Equity Tier 1 Capital</w:t>
            </w:r>
          </w:p>
        </w:tc>
        <w:tc>
          <w:tcPr>
            <w:tcW w:w="2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256,943</w:t>
            </w:r>
          </w:p>
        </w:tc>
        <w:tc>
          <w:tcPr>
            <w:tcW w:w="162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14.26 %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81,074</w:t>
            </w:r>
          </w:p>
        </w:tc>
        <w:tc>
          <w:tcPr>
            <w:tcW w:w="140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4.50 %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117,112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Risk-Based Capital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274,226</w:t>
            </w:r>
          </w:p>
        </w:tc>
        <w:tc>
          <w:tcPr>
            <w:tcW w:w="13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15.22 %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144,138</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180,173</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Capital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Risk Weighted Assets)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256,943</w:t>
            </w:r>
          </w:p>
        </w:tc>
        <w:tc>
          <w:tcPr>
            <w:tcW w:w="13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14.26 %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108,104</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144,138</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25"/>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Tier 1 Leverage Capital</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4"/>
        </w:trPr>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Adjusted Total Assets)</w:t>
            </w:r>
          </w:p>
        </w:tc>
        <w:tc>
          <w:tcPr>
            <w:tcW w:w="2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256,943</w:t>
            </w:r>
          </w:p>
        </w:tc>
        <w:tc>
          <w:tcPr>
            <w:tcW w:w="13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10.25 %</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100,317</w:t>
            </w:r>
          </w:p>
        </w:tc>
        <w:tc>
          <w:tcPr>
            <w:tcW w:w="12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29146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29146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above tables exclude the capital conservation buffer requirements.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Restrictions of Dividends &amp; Inter-company Borrowings</w:t>
      </w:r>
    </w:p>
    <w:p>
      <w:pPr>
        <w:spacing w:after="0" w:line="121" w:lineRule="exact"/>
        <w:rPr>
          <w:sz w:val="20"/>
          <w:szCs w:val="20"/>
          <w:color w:val="auto"/>
        </w:rPr>
      </w:pPr>
    </w:p>
    <w:p>
      <w:pPr>
        <w:jc w:val="both"/>
        <w:ind w:left="760" w:right="60"/>
        <w:spacing w:after="0" w:line="255" w:lineRule="auto"/>
        <w:rPr>
          <w:sz w:val="20"/>
          <w:szCs w:val="20"/>
          <w:color w:val="auto"/>
        </w:rPr>
      </w:pPr>
      <w:r>
        <w:rPr>
          <w:rFonts w:ascii="Times New Roman" w:cs="Times New Roman" w:eastAsia="Times New Roman" w:hAnsi="Times New Roman"/>
          <w:sz w:val="18"/>
          <w:szCs w:val="18"/>
          <w:color w:val="auto"/>
        </w:rPr>
        <w:t>The Bank is restricted as to the amount of dividends that can be paid. Dividends declared by the Bank that exceed the net income for the current year plus retained income for the preceding two years must be approved by federal and state regulatory agencies. Under this formula and excluding the $40 million of a special one time dividend approved by the Federal Reserve for the acquisition of Perpetual Federal Saving Bank, dividends of $42.9 million may be paid without prior regulatory approval. Regardless of formal regulatory restrictions, the Bank may not pay dividends that would result in its capital levels being reduced below the minimum requirements shown above. Under current Federal Reserve regulations, the Bank is limited as to the amount and type of loans it may make to the Company. These loans are subject to qualifying collateral requirements on which the amount of the loan may be based.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Fair Value of Financial Instruments</w:t>
      </w:r>
    </w:p>
    <w:p>
      <w:pPr>
        <w:spacing w:after="0" w:line="121" w:lineRule="exact"/>
        <w:rPr>
          <w:sz w:val="20"/>
          <w:szCs w:val="20"/>
          <w:color w:val="auto"/>
        </w:rPr>
      </w:pPr>
    </w:p>
    <w:p>
      <w:pPr>
        <w:jc w:val="both"/>
        <w:ind w:left="760" w:right="60"/>
        <w:spacing w:after="0" w:line="258" w:lineRule="auto"/>
        <w:rPr>
          <w:sz w:val="20"/>
          <w:szCs w:val="20"/>
          <w:color w:val="auto"/>
        </w:rPr>
      </w:pPr>
      <w:r>
        <w:rPr>
          <w:rFonts w:ascii="Times New Roman" w:cs="Times New Roman" w:eastAsia="Times New Roman" w:hAnsi="Times New Roman"/>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47" w:right="279"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4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estimated fair values, and related carrying or notional amounts, for on and off-balance sheet financial instruments as of December 31, 2022 and 2021, are reflected below. The aggregate fair values in the table below do not represent the total market value of the Bank’s assets and liabilities. The table excludes the following: Bank Premises and Equipment, Goodwill, Mortgage Servicing Rights, Other Real Estate Owned, Other Assets, Other Liabilities and Accrued Expenses.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5"/>
          </w:tcPr>
          <w:p>
            <w:pPr>
              <w:jc w:val="right"/>
              <w:ind w:right="255"/>
              <w:spacing w:after="0"/>
              <w:rPr>
                <w:sz w:val="20"/>
                <w:szCs w:val="20"/>
                <w:color w:val="auto"/>
              </w:rPr>
            </w:pPr>
            <w:r>
              <w:rPr>
                <w:rFonts w:ascii="Times New Roman" w:cs="Times New Roman" w:eastAsia="Times New Roman" w:hAnsi="Times New Roman"/>
                <w:sz w:val="17"/>
                <w:szCs w:val="17"/>
                <w:color w:val="auto"/>
              </w:rPr>
              <w:t>(In Thousands)</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2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color w:val="auto"/>
              </w:rPr>
              <w:t>December 31, 2022</w:t>
            </w:r>
          </w:p>
        </w:tc>
        <w:tc>
          <w:tcPr>
            <w:tcW w:w="5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7"/>
          </w:tcPr>
          <w:p>
            <w:pPr>
              <w:jc w:val="right"/>
              <w:ind w:right="375"/>
              <w:spacing w:after="0"/>
              <w:rPr>
                <w:sz w:val="20"/>
                <w:szCs w:val="20"/>
                <w:color w:val="auto"/>
              </w:rPr>
            </w:pPr>
            <w:r>
              <w:rPr>
                <w:rFonts w:ascii="Times New Roman" w:cs="Times New Roman" w:eastAsia="Times New Roman" w:hAnsi="Times New Roman"/>
                <w:sz w:val="17"/>
                <w:szCs w:val="17"/>
                <w:color w:val="auto"/>
              </w:rPr>
              <w:t>December 31, 2021</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250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Carrying</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Fair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7"/>
                <w:szCs w:val="17"/>
                <w:color w:val="auto"/>
                <w:w w:val="99"/>
              </w:rPr>
              <w:t>Carrying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Fair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2500" w:type="dxa"/>
            <w:vAlign w:val="bottom"/>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Amount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Value</w:t>
            </w:r>
          </w:p>
        </w:tc>
        <w:tc>
          <w:tcPr>
            <w:tcW w:w="240" w:type="dxa"/>
            <w:vAlign w:val="bottom"/>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Level 1</w:t>
            </w:r>
          </w:p>
        </w:tc>
        <w:tc>
          <w:tcPr>
            <w:tcW w:w="260" w:type="dxa"/>
            <w:vAlign w:val="bottom"/>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Level 2</w:t>
            </w:r>
          </w:p>
        </w:tc>
        <w:tc>
          <w:tcPr>
            <w:tcW w:w="240" w:type="dxa"/>
            <w:vAlign w:val="bottom"/>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Level 3</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Amount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93"/>
              </w:rPr>
              <w:t>Value</w:t>
            </w:r>
          </w:p>
        </w:tc>
        <w:tc>
          <w:tcPr>
            <w:tcW w:w="220" w:type="dxa"/>
            <w:vAlign w:val="bottom"/>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Level 1</w:t>
            </w:r>
          </w:p>
        </w:tc>
        <w:tc>
          <w:tcPr>
            <w:tcW w:w="220" w:type="dxa"/>
            <w:vAlign w:val="bottom"/>
          </w:tcPr>
          <w:p>
            <w:pPr>
              <w:spacing w:after="0"/>
              <w:rPr>
                <w:sz w:val="20"/>
                <w:szCs w:val="20"/>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Level 2</w:t>
            </w:r>
          </w:p>
        </w:tc>
        <w:tc>
          <w:tcPr>
            <w:tcW w:w="200" w:type="dxa"/>
            <w:vAlign w:val="bottom"/>
          </w:tcPr>
          <w:p>
            <w:pPr>
              <w:spacing w:after="0"/>
              <w:rPr>
                <w:sz w:val="20"/>
                <w:szCs w:val="20"/>
                <w:color w:val="auto"/>
              </w:rPr>
            </w:pPr>
          </w:p>
        </w:tc>
        <w:tc>
          <w:tcPr>
            <w:tcW w:w="720" w:type="dxa"/>
            <w:vAlign w:val="bottom"/>
            <w:tcBorders>
              <w:bottom w:val="single" w:sz="8" w:color="auto"/>
            </w:tcBorders>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Level 3</w:t>
            </w:r>
          </w:p>
        </w:tc>
        <w:tc>
          <w:tcPr>
            <w:tcW w:w="100" w:type="dxa"/>
            <w:vAlign w:val="bottom"/>
          </w:tcPr>
          <w:p>
            <w:pPr>
              <w:spacing w:after="0"/>
              <w:rPr>
                <w:sz w:val="20"/>
                <w:szCs w:val="20"/>
                <w:color w:val="auto"/>
              </w:rPr>
            </w:pPr>
          </w:p>
        </w:tc>
      </w:tr>
      <w:tr>
        <w:trPr>
          <w:trHeight w:val="230"/>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1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tcBorders>
              <w:right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4"/>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180,82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180,82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8"/>
              </w:rPr>
              <w:t>180,82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84,409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84,409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84,409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20"/>
                <w:szCs w:val="20"/>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37"/>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Interest-bearing time deposits</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4,440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10,913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10,933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10,933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r>
      <w:tr>
        <w:trPr>
          <w:trHeight w:val="194"/>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390,78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390,78</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292,76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429,93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429,93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8"/>
              </w:rPr>
              <w:t>335,98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Securities - available-for-sale</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94,678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3,345</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89,177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4,773</w:t>
            </w:r>
          </w:p>
        </w:tc>
        <w:tc>
          <w:tcPr>
            <w:tcW w:w="100" w:type="dxa"/>
            <w:vAlign w:val="bottom"/>
          </w:tcPr>
          <w:p>
            <w:pPr>
              <w:spacing w:after="0"/>
              <w:rPr>
                <w:sz w:val="20"/>
                <w:szCs w:val="20"/>
                <w:color w:val="auto"/>
              </w:rPr>
            </w:pPr>
          </w:p>
        </w:tc>
      </w:tr>
      <w:tr>
        <w:trPr>
          <w:trHeight w:val="237"/>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securities</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9,799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9,799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9,799</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8,162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8,162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8,162</w:t>
            </w:r>
          </w:p>
        </w:tc>
        <w:tc>
          <w:tcPr>
            <w:tcW w:w="100" w:type="dxa"/>
            <w:vAlign w:val="bottom"/>
            <w:shd w:val="clear" w:color="auto" w:fill="CFF0FC"/>
          </w:tcPr>
          <w:p>
            <w:pPr>
              <w:spacing w:after="0"/>
              <w:rPr>
                <w:sz w:val="20"/>
                <w:szCs w:val="20"/>
                <w:color w:val="auto"/>
              </w:rPr>
            </w:pPr>
          </w:p>
        </w:tc>
      </w:tr>
      <w:tr>
        <w:trPr>
          <w:trHeight w:val="226"/>
        </w:trPr>
        <w:tc>
          <w:tcPr>
            <w:tcW w:w="2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Loans held for sale</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7,844</w:t>
            </w:r>
          </w:p>
        </w:tc>
        <w:tc>
          <w:tcPr>
            <w:tcW w:w="100" w:type="dxa"/>
            <w:vAlign w:val="bottom"/>
          </w:tcPr>
          <w:p>
            <w:pPr>
              <w:spacing w:after="0"/>
              <w:rPr>
                <w:sz w:val="19"/>
                <w:szCs w:val="19"/>
                <w:color w:val="auto"/>
              </w:rPr>
            </w:pPr>
          </w:p>
        </w:tc>
      </w:tr>
      <w:tr>
        <w:trPr>
          <w:trHeight w:val="198"/>
        </w:trPr>
        <w:tc>
          <w:tcPr>
            <w:tcW w:w="2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2,336,0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2,171,1</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2,171,</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1,841,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1,864,3</w:t>
            </w:r>
          </w:p>
        </w:tc>
        <w:tc>
          <w:tcPr>
            <w:tcW w:w="100" w:type="dxa"/>
            <w:vAlign w:val="bottom"/>
            <w:shd w:val="clear" w:color="auto" w:fill="CFF0FC"/>
          </w:tcPr>
          <w:p>
            <w:pPr>
              <w:spacing w:after="0"/>
              <w:rPr>
                <w:sz w:val="17"/>
                <w:szCs w:val="17"/>
                <w:color w:val="auto"/>
              </w:rPr>
            </w:pPr>
          </w:p>
        </w:tc>
      </w:tr>
      <w:tr>
        <w:trPr>
          <w:trHeight w:val="238"/>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Loans, net</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00" w:type="dxa"/>
            <w:vAlign w:val="bottom"/>
            <w:shd w:val="clear" w:color="auto" w:fill="CFF0FC"/>
          </w:tcPr>
          <w:p>
            <w:pPr>
              <w:spacing w:after="0"/>
              <w:rPr>
                <w:sz w:val="20"/>
                <w:szCs w:val="20"/>
                <w:color w:val="auto"/>
              </w:rPr>
            </w:pPr>
          </w:p>
        </w:tc>
      </w:tr>
      <w:tr>
        <w:trPr>
          <w:trHeight w:val="226"/>
        </w:trPr>
        <w:tc>
          <w:tcPr>
            <w:tcW w:w="2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Interest receivable</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10,440</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7,209</w:t>
            </w:r>
          </w:p>
        </w:tc>
        <w:tc>
          <w:tcPr>
            <w:tcW w:w="100" w:type="dxa"/>
            <w:vAlign w:val="bottom"/>
          </w:tcPr>
          <w:p>
            <w:pPr>
              <w:spacing w:after="0"/>
              <w:rPr>
                <w:sz w:val="19"/>
                <w:szCs w:val="19"/>
                <w:color w:val="auto"/>
              </w:rPr>
            </w:pPr>
          </w:p>
        </w:tc>
      </w:tr>
      <w:tr>
        <w:trPr>
          <w:trHeight w:val="233"/>
        </w:trPr>
        <w:tc>
          <w:tcPr>
            <w:tcW w:w="25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6"/>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Financial Liabilities: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2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1,378,0</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7"/>
              </w:rPr>
              <w:t>1,377,9</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1,377,</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1,248,</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1,248,0</w:t>
            </w:r>
          </w:p>
        </w:tc>
        <w:tc>
          <w:tcPr>
            <w:tcW w:w="100" w:type="dxa"/>
            <w:vAlign w:val="bottom"/>
            <w:shd w:val="clear" w:color="auto" w:fill="CFF0FC"/>
          </w:tcPr>
          <w:p>
            <w:pPr>
              <w:spacing w:after="0"/>
              <w:rPr>
                <w:sz w:val="17"/>
                <w:szCs w:val="17"/>
                <w:color w:val="auto"/>
              </w:rPr>
            </w:pPr>
          </w:p>
        </w:tc>
      </w:tr>
      <w:tr>
        <w:trPr>
          <w:trHeight w:val="238"/>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Interest bearing deposits</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220" w:type="dxa"/>
            <w:vAlign w:val="bottom"/>
            <w:tcBorders>
              <w:right w:val="single" w:sz="8" w:color="auto"/>
            </w:tcBorders>
            <w:shd w:val="clear" w:color="auto" w:fill="CFF0FC"/>
          </w:tcPr>
          <w:p>
            <w:pPr>
              <w:spacing w:after="0"/>
              <w:rPr>
                <w:sz w:val="20"/>
                <w:szCs w:val="20"/>
                <w:color w:val="auto"/>
              </w:rPr>
            </w:pPr>
          </w:p>
        </w:tc>
        <w:tc>
          <w:tcPr>
            <w:tcW w:w="2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shd w:val="clear" w:color="auto" w:fill="CFF0FC"/>
          </w:tcPr>
          <w:p>
            <w:pPr>
              <w:spacing w:after="0"/>
              <w:rPr>
                <w:sz w:val="20"/>
                <w:szCs w:val="20"/>
                <w:color w:val="auto"/>
              </w:rPr>
            </w:pPr>
          </w:p>
        </w:tc>
      </w:tr>
      <w:tr>
        <w:trPr>
          <w:trHeight w:val="194"/>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532,79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532,79</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532,79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473,68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473,68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w w:val="98"/>
              </w:rPr>
              <w:t>473,68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Noninterest bearing deposits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02"/>
        </w:trPr>
        <w:tc>
          <w:tcPr>
            <w:tcW w:w="2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557,98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543,73</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543,73</w:t>
            </w: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471,47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475,81</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7"/>
        </w:trPr>
        <w:tc>
          <w:tcPr>
            <w:tcW w:w="2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Time deposits</w:t>
            </w:r>
          </w:p>
        </w:tc>
        <w:tc>
          <w:tcPr>
            <w:tcW w:w="1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Borders>
              <w:bottom w:val="single" w:sz="8" w:color="CFF0FC"/>
              <w:right w:val="single" w:sz="8" w:color="auto"/>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475,810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9"/>
        </w:trPr>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2,468,8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97"/>
              </w:rPr>
              <w:t>2,454,4</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532,79</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1,921,</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2,193,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2,197,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w w:val="98"/>
              </w:rPr>
              <w:t>473,68</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1,723,8</w:t>
            </w:r>
          </w:p>
        </w:tc>
        <w:tc>
          <w:tcPr>
            <w:tcW w:w="100" w:type="dxa"/>
            <w:vAlign w:val="bottom"/>
          </w:tcPr>
          <w:p>
            <w:pPr>
              <w:spacing w:after="0"/>
              <w:rPr>
                <w:sz w:val="16"/>
                <w:szCs w:val="16"/>
                <w:color w:val="auto"/>
              </w:rPr>
            </w:pPr>
          </w:p>
        </w:tc>
      </w:tr>
      <w:tr>
        <w:trPr>
          <w:trHeight w:val="230"/>
        </w:trPr>
        <w:tc>
          <w:tcPr>
            <w:tcW w:w="2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Deposits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20"/>
                <w:szCs w:val="20"/>
                <w:color w:val="auto"/>
              </w:rPr>
            </w:pPr>
          </w:p>
        </w:tc>
      </w:tr>
      <w:tr>
        <w:trPr>
          <w:trHeight w:val="202"/>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Fed funds purchased and</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5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securities sold under</w:t>
            </w: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tcBorders>
              <w:right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25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7"/>
                <w:szCs w:val="17"/>
                <w:color w:val="auto"/>
              </w:rPr>
              <w:t>agreement to repurchase</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54,206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54,206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54,206</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29,268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29,268</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29,268</w:t>
            </w:r>
          </w:p>
        </w:tc>
        <w:tc>
          <w:tcPr>
            <w:tcW w:w="100" w:type="dxa"/>
            <w:vAlign w:val="bottom"/>
            <w:shd w:val="clear" w:color="auto" w:fill="CFF0FC"/>
          </w:tcPr>
          <w:p>
            <w:pPr>
              <w:spacing w:after="0"/>
              <w:rPr>
                <w:sz w:val="20"/>
                <w:szCs w:val="20"/>
                <w:color w:val="auto"/>
              </w:rPr>
            </w:pPr>
          </w:p>
        </w:tc>
      </w:tr>
      <w:tr>
        <w:trPr>
          <w:trHeight w:val="194"/>
        </w:trPr>
        <w:tc>
          <w:tcPr>
            <w:tcW w:w="2500" w:type="dxa"/>
            <w:vAlign w:val="bottom"/>
          </w:tcPr>
          <w:p>
            <w:pPr>
              <w:ind w:left="200"/>
              <w:spacing w:after="0" w:line="194" w:lineRule="exact"/>
              <w:rPr>
                <w:sz w:val="20"/>
                <w:szCs w:val="20"/>
                <w:color w:val="auto"/>
              </w:rPr>
            </w:pPr>
            <w:r>
              <w:rPr>
                <w:rFonts w:ascii="Times New Roman" w:cs="Times New Roman" w:eastAsia="Times New Roman" w:hAnsi="Times New Roman"/>
                <w:sz w:val="17"/>
                <w:szCs w:val="17"/>
                <w:color w:val="auto"/>
              </w:rPr>
              <w:t>Federal Home Loan Bank</w:t>
            </w:r>
          </w:p>
        </w:tc>
        <w:tc>
          <w:tcPr>
            <w:tcW w:w="100" w:type="dxa"/>
            <w:vAlign w:val="bottom"/>
          </w:tcPr>
          <w:p>
            <w:pPr>
              <w:spacing w:after="0"/>
              <w:rPr>
                <w:sz w:val="16"/>
                <w:szCs w:val="16"/>
                <w:color w:val="auto"/>
              </w:rPr>
            </w:pPr>
          </w:p>
        </w:tc>
        <w:tc>
          <w:tcPr>
            <w:tcW w:w="56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127,48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125,76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125,76</w:t>
            </w:r>
          </w:p>
        </w:tc>
        <w:tc>
          <w:tcPr>
            <w:tcW w:w="2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5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advances</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24,305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24,305</w:t>
            </w:r>
          </w:p>
        </w:tc>
        <w:tc>
          <w:tcPr>
            <w:tcW w:w="100" w:type="dxa"/>
            <w:vAlign w:val="bottom"/>
          </w:tcPr>
          <w:p>
            <w:pPr>
              <w:spacing w:after="0"/>
              <w:rPr>
                <w:sz w:val="20"/>
                <w:szCs w:val="20"/>
                <w:color w:val="auto"/>
              </w:rPr>
            </w:pPr>
          </w:p>
        </w:tc>
      </w:tr>
      <w:tr>
        <w:trPr>
          <w:trHeight w:val="237"/>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Other borrowings</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8"/>
              </w:rPr>
              <w:t>40,000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r>
      <w:tr>
        <w:trPr>
          <w:trHeight w:val="226"/>
        </w:trPr>
        <w:tc>
          <w:tcPr>
            <w:tcW w:w="25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Subordinated notes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34,586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30,993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34,471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35,000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r>
        <w:trPr>
          <w:trHeight w:val="233"/>
        </w:trPr>
        <w:tc>
          <w:tcPr>
            <w:tcW w:w="2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Interest payable</w:t>
            </w:r>
          </w:p>
        </w:tc>
        <w:tc>
          <w:tcPr>
            <w:tcW w:w="100" w:type="dxa"/>
            <w:vAlign w:val="bottom"/>
            <w:shd w:val="clear" w:color="auto" w:fill="CFF0FC"/>
          </w:tcPr>
          <w:p>
            <w:pPr>
              <w:spacing w:after="0"/>
              <w:rPr>
                <w:sz w:val="20"/>
                <w:szCs w:val="20"/>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1,739</w:t>
            </w:r>
          </w:p>
        </w:tc>
        <w:tc>
          <w:tcPr>
            <w:tcW w:w="220" w:type="dxa"/>
            <w:vAlign w:val="bottom"/>
            <w:tcBorders>
              <w:right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1,125</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-1396365</wp:posOffset>
            </wp:positionV>
            <wp:extent cx="76835" cy="2825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-1396365</wp:posOffset>
            </wp:positionV>
            <wp:extent cx="76835" cy="2825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-1396365</wp:posOffset>
            </wp:positionV>
            <wp:extent cx="76835" cy="2825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-1396365</wp:posOffset>
            </wp:positionV>
            <wp:extent cx="76835" cy="28257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-1396365</wp:posOffset>
            </wp:positionV>
            <wp:extent cx="68580" cy="28257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-1396365</wp:posOffset>
            </wp:positionV>
            <wp:extent cx="68580" cy="28257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-1396365</wp:posOffset>
            </wp:positionV>
            <wp:extent cx="68580" cy="28257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-1396365</wp:posOffset>
            </wp:positionV>
            <wp:extent cx="68580" cy="28257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-1396365</wp:posOffset>
            </wp:positionV>
            <wp:extent cx="68580" cy="28257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28257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28257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measured at fair value on a recurring basis at December 31, 2022 and 2021, and the valuation techniques used by the Company to determine those fair values. There were no changes to valuation techniques during 2022.</w:t>
      </w:r>
    </w:p>
    <w:p>
      <w:pPr>
        <w:spacing w:after="0" w:line="176"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In general, fair values determined by Level 1 inputs use quoted prices in active markets for identical assets or liabilities in active markets that the Company has the ability to access.</w:t>
      </w:r>
    </w:p>
    <w:p>
      <w:pPr>
        <w:spacing w:after="0" w:line="162"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Available-for-sale securities - When quoted prices are available in an active market, securities are valued using the quoted price and are classified as Level 1. The quoted prices are not adjusted.</w:t>
      </w:r>
    </w:p>
    <w:p>
      <w:pPr>
        <w:spacing w:after="0" w:line="162"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76"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83"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Level 3 inputs are unobservable inputs, including inputs that are available in situations where there is little, if any, market activity for the related asset or liability. The Bank holds ten local municipals that the Bank evaluates based on the credit strength of the underlying project. The fair value is determined by valuing similar credit payment streams at similar rates.</w:t>
      </w:r>
    </w:p>
    <w:p>
      <w:pPr>
        <w:spacing w:after="0" w:line="176"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assets measured at fair value on a recurring basis as of December 31, 2022 and December 31, 2021 segregated by level or the valuation inputs within the fair value hierarchy utilized to measure fair value.</w:t>
      </w:r>
    </w:p>
    <w:p>
      <w:pPr>
        <w:spacing w:after="0" w:line="17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u w:val="single" w:color="auto"/>
          <w:color w:val="auto"/>
        </w:rPr>
        <w:t>Assets and Liabilities Measured at Fair Value on a Recurring Basis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color w:val="auto"/>
                <w:w w:val="98"/>
              </w:rPr>
              <w:t>Significant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Significant</w:t>
            </w: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Active Markets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color w:val="auto"/>
                <w:w w:val="99"/>
              </w:rPr>
              <w:t>Observable</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9"/>
              </w:rPr>
              <w:t>Observable</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for Identical</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4"/>
          </w:tcPr>
          <w:p>
            <w:pPr>
              <w:jc w:val="center"/>
              <w:ind w:right="740"/>
              <w:spacing w:after="0"/>
              <w:rPr>
                <w:sz w:val="20"/>
                <w:szCs w:val="20"/>
                <w:color w:val="auto"/>
              </w:rPr>
            </w:pPr>
            <w:r>
              <w:rPr>
                <w:rFonts w:ascii="Times New Roman" w:cs="Times New Roman" w:eastAsia="Times New Roman" w:hAnsi="Times New Roman"/>
                <w:sz w:val="18"/>
                <w:szCs w:val="18"/>
                <w:color w:val="auto"/>
              </w:rPr>
              <w:t>Inputs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Inputs</w:t>
            </w:r>
          </w:p>
        </w:tc>
        <w:tc>
          <w:tcPr>
            <w:tcW w:w="1120" w:type="dxa"/>
            <w:vAlign w:val="bottom"/>
          </w:tcPr>
          <w:p>
            <w:pPr>
              <w:spacing w:after="0"/>
              <w:rPr>
                <w:sz w:val="21"/>
                <w:szCs w:val="21"/>
                <w:color w:val="auto"/>
              </w:rPr>
            </w:pPr>
          </w:p>
        </w:tc>
      </w:tr>
      <w:tr>
        <w:trPr>
          <w:trHeight w:val="257"/>
        </w:trPr>
        <w:tc>
          <w:tcPr>
            <w:tcW w:w="1140" w:type="dxa"/>
            <w:vAlign w:val="bottom"/>
          </w:tcPr>
          <w:p>
            <w:pPr>
              <w:spacing w:after="0"/>
              <w:rPr>
                <w:sz w:val="22"/>
                <w:szCs w:val="22"/>
                <w:color w:val="auto"/>
              </w:rPr>
            </w:pPr>
          </w:p>
        </w:tc>
        <w:tc>
          <w:tcPr>
            <w:tcW w:w="37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December 31, 2022</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Assets (Level 1)</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6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(Level 3)</w:t>
            </w:r>
          </w:p>
        </w:tc>
        <w:tc>
          <w:tcPr>
            <w:tcW w:w="1120" w:type="dxa"/>
            <w:vAlign w:val="bottom"/>
          </w:tcPr>
          <w:p>
            <w:pPr>
              <w:spacing w:after="0"/>
              <w:rPr>
                <w:sz w:val="22"/>
                <w:szCs w:val="22"/>
                <w:color w:val="auto"/>
              </w:rPr>
            </w:pPr>
          </w:p>
        </w:tc>
      </w:tr>
      <w:tr>
        <w:trPr>
          <w:trHeight w:val="236"/>
        </w:trPr>
        <w:tc>
          <w:tcPr>
            <w:tcW w:w="1140" w:type="dxa"/>
            <w:vAlign w:val="bottom"/>
          </w:tcPr>
          <w:p>
            <w:pPr>
              <w:spacing w:after="0"/>
              <w:rPr>
                <w:sz w:val="20"/>
                <w:szCs w:val="20"/>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Assets-(Securities Available-for-Sale)</w:t>
            </w:r>
          </w:p>
        </w:tc>
        <w:tc>
          <w:tcPr>
            <w:tcW w:w="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6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94,678</w:t>
            </w:r>
          </w:p>
        </w:tc>
        <w:tc>
          <w:tcPr>
            <w:tcW w:w="20" w:type="dxa"/>
            <w:vAlign w:val="bottom"/>
          </w:tcPr>
          <w:p>
            <w:pPr>
              <w:spacing w:after="0"/>
              <w:rPr>
                <w:sz w:val="20"/>
                <w:szCs w:val="20"/>
                <w:color w:val="auto"/>
              </w:rPr>
            </w:pPr>
          </w:p>
        </w:tc>
        <w:tc>
          <w:tcPr>
            <w:tcW w:w="5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139,767</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66,072</w:t>
            </w: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94,678</w:t>
            </w:r>
          </w:p>
        </w:tc>
        <w:tc>
          <w:tcPr>
            <w:tcW w:w="2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30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292,766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26"/>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8"/>
              </w:rPr>
              <w:t>Quoted Prices in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Significant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Significant</w:t>
            </w:r>
          </w:p>
        </w:tc>
        <w:tc>
          <w:tcPr>
            <w:tcW w:w="112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8"/>
              </w:rPr>
              <w:t>Active Markets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Observable</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Observable</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for Identical</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Inputs</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Inputs</w:t>
            </w:r>
          </w:p>
        </w:tc>
        <w:tc>
          <w:tcPr>
            <w:tcW w:w="1120" w:type="dxa"/>
            <w:vAlign w:val="bottom"/>
          </w:tcPr>
          <w:p>
            <w:pPr>
              <w:spacing w:after="0"/>
              <w:rPr>
                <w:sz w:val="21"/>
                <w:szCs w:val="21"/>
                <w:color w:val="auto"/>
              </w:rPr>
            </w:pPr>
          </w:p>
        </w:tc>
      </w:tr>
      <w:tr>
        <w:trPr>
          <w:trHeight w:val="256"/>
        </w:trPr>
        <w:tc>
          <w:tcPr>
            <w:tcW w:w="1140" w:type="dxa"/>
            <w:vAlign w:val="bottom"/>
          </w:tcPr>
          <w:p>
            <w:pPr>
              <w:spacing w:after="0"/>
              <w:rPr>
                <w:sz w:val="22"/>
                <w:szCs w:val="22"/>
                <w:color w:val="auto"/>
              </w:rPr>
            </w:pPr>
          </w:p>
        </w:tc>
        <w:tc>
          <w:tcPr>
            <w:tcW w:w="376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December 31, 2021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Assets (Level 1)</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(Level 3)</w:t>
            </w:r>
          </w:p>
        </w:tc>
        <w:tc>
          <w:tcPr>
            <w:tcW w:w="1120" w:type="dxa"/>
            <w:vAlign w:val="bottom"/>
          </w:tcPr>
          <w:p>
            <w:pPr>
              <w:spacing w:after="0"/>
              <w:rPr>
                <w:sz w:val="22"/>
                <w:szCs w:val="22"/>
                <w:color w:val="auto"/>
              </w:rPr>
            </w:pPr>
          </w:p>
        </w:tc>
      </w:tr>
      <w:tr>
        <w:trPr>
          <w:trHeight w:val="237"/>
        </w:trPr>
        <w:tc>
          <w:tcPr>
            <w:tcW w:w="1140" w:type="dxa"/>
            <w:vAlign w:val="bottom"/>
          </w:tcPr>
          <w:p>
            <w:pPr>
              <w:spacing w:after="0"/>
              <w:rPr>
                <w:sz w:val="20"/>
                <w:szCs w:val="20"/>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Assets-(Securities Available-for-Sale)</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U.S. Treasury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89,177</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agencies</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156,886</w:t>
            </w: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117,927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State and local governments</w:t>
            </w:r>
          </w:p>
        </w:tc>
        <w:tc>
          <w:tcPr>
            <w:tcW w:w="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61,168</w:t>
            </w:r>
          </w:p>
        </w:tc>
        <w:tc>
          <w:tcPr>
            <w:tcW w:w="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80" w:type="dxa"/>
            <w:vAlign w:val="bottom"/>
            <w:tcBorders>
              <w:bottom w:val="single" w:sz="8" w:color="CFF0FC"/>
            </w:tcBorders>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Securities Available-for-Sale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20"/>
                <w:szCs w:val="20"/>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w w:val="96"/>
              </w:rPr>
              <w:t>89,177</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335,981</w:t>
            </w:r>
          </w:p>
        </w:tc>
        <w:tc>
          <w:tcPr>
            <w:tcW w:w="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49"/>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8"/>
                <w:szCs w:val="18"/>
                <w:color w:val="auto"/>
              </w:rPr>
              <w:t>(In Thousands)</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780" w:type="dxa"/>
            <w:vAlign w:val="bottom"/>
            <w:gridSpan w:val="17"/>
          </w:tcPr>
          <w:p>
            <w:pPr>
              <w:jc w:val="center"/>
              <w:ind w:right="23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5"/>
        </w:trPr>
        <w:tc>
          <w:tcPr>
            <w:tcW w:w="11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00" w:type="dxa"/>
            <w:vAlign w:val="bottom"/>
            <w:tcBorders>
              <w:bottom w:val="single" w:sz="8" w:color="auto"/>
            </w:tcBorders>
            <w:gridSpan w:val="14"/>
          </w:tcPr>
          <w:p>
            <w:pPr>
              <w:jc w:val="center"/>
              <w:ind w:left="99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gridSpan w:val="6"/>
          </w:tcPr>
          <w:p>
            <w:pPr>
              <w:jc w:val="center"/>
              <w:ind w:right="18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8"/>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Governments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5"/>
          </w:tcPr>
          <w:p>
            <w:pPr>
              <w:jc w:val="center"/>
              <w:ind w:right="480"/>
              <w:spacing w:after="0"/>
              <w:rPr>
                <w:sz w:val="20"/>
                <w:szCs w:val="20"/>
                <w:color w:val="auto"/>
              </w:rPr>
            </w:pPr>
            <w:r>
              <w:rPr>
                <w:rFonts w:ascii="Times New Roman" w:cs="Times New Roman" w:eastAsia="Times New Roman" w:hAnsi="Times New Roman"/>
                <w:sz w:val="18"/>
                <w:szCs w:val="18"/>
                <w:color w:val="auto"/>
              </w:rPr>
              <w:t>Governments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rPr>
              <w:t>Governments</w:t>
            </w:r>
          </w:p>
        </w:tc>
        <w:tc>
          <w:tcPr>
            <w:tcW w:w="112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Tax-Exempt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6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6"/>
              </w:rPr>
              <w:t>Taxable</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Total</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60" w:type="dxa"/>
            <w:vAlign w:val="bottom"/>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0" w:type="dxa"/>
            <w:vAlign w:val="bottom"/>
            <w:tcBorders>
              <w:top w:val="single" w:sz="8" w:color="auto"/>
            </w:tcBorders>
            <w:shd w:val="clear" w:color="auto" w:fill="CFF0FC"/>
          </w:tcPr>
          <w:p>
            <w:pPr>
              <w:spacing w:after="0"/>
              <w:rPr>
                <w:sz w:val="21"/>
                <w:szCs w:val="21"/>
                <w:color w:val="auto"/>
              </w:rPr>
            </w:pPr>
          </w:p>
        </w:tc>
        <w:tc>
          <w:tcPr>
            <w:tcW w:w="220" w:type="dxa"/>
            <w:vAlign w:val="bottom"/>
            <w:gridSpan w:val="2"/>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2,466</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tcBorders>
              <w:top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FF0FC"/>
          </w:tcPr>
          <w:p>
            <w:pPr>
              <w:spacing w:after="0"/>
              <w:rPr>
                <w:sz w:val="21"/>
                <w:szCs w:val="21"/>
                <w:color w:val="auto"/>
              </w:rPr>
            </w:pPr>
          </w:p>
        </w:tc>
        <w:tc>
          <w:tcPr>
            <w:tcW w:w="10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Change in Market 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color w:val="auto"/>
              </w:rPr>
              <w:t>(76 )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(203 )</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(279 )</w:t>
            </w: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1140" w:type="dxa"/>
            <w:vAlign w:val="bottom"/>
          </w:tcPr>
          <w:p>
            <w:pPr>
              <w:spacing w:after="0"/>
              <w:rPr>
                <w:sz w:val="21"/>
                <w:szCs w:val="21"/>
                <w:color w:val="auto"/>
              </w:rPr>
            </w:pPr>
          </w:p>
        </w:tc>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(160 )</w:t>
            </w: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(160 )</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and Adjustments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(989 )</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(989 )</w:t>
            </w: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3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bottom w:val="single" w:sz="8" w:color="CFF0FC"/>
            </w:tcBorders>
            <w:gridSpan w:val="2"/>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1,274</w:t>
            </w:r>
          </w:p>
        </w:tc>
        <w:tc>
          <w:tcPr>
            <w:tcW w:w="1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844"/>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-4876800</wp:posOffset>
            </wp:positionV>
            <wp:extent cx="59690" cy="18859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-4876800</wp:posOffset>
            </wp:positionV>
            <wp:extent cx="51435" cy="18859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-4876800</wp:posOffset>
            </wp:positionV>
            <wp:extent cx="51435" cy="18859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-3154045</wp:posOffset>
            </wp:positionV>
            <wp:extent cx="60325" cy="18859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-3154045</wp:posOffset>
            </wp:positionV>
            <wp:extent cx="51435" cy="18859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-3154045</wp:posOffset>
            </wp:positionV>
            <wp:extent cx="51435" cy="18859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-650875</wp:posOffset>
            </wp:positionV>
            <wp:extent cx="6032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-633730</wp:posOffset>
            </wp:positionV>
            <wp:extent cx="60325"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-650875</wp:posOffset>
            </wp:positionV>
            <wp:extent cx="6032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-633730</wp:posOffset>
            </wp:positionV>
            <wp:extent cx="6032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-650875</wp:posOffset>
            </wp:positionV>
            <wp:extent cx="5143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-633730</wp:posOffset>
            </wp:positionV>
            <wp:extent cx="5143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56" w:lineRule="exact"/>
        <w:rPr>
          <w:sz w:val="20"/>
          <w:szCs w:val="20"/>
          <w:color w:val="auto"/>
        </w:rPr>
      </w:pPr>
    </w:p>
    <w:tbl>
      <w:tblPr>
        <w:tblLayout w:type="fixed"/>
        <w:tblInd w:w="112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4"/>
        </w:trPr>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920" w:type="dxa"/>
            <w:vAlign w:val="bottom"/>
            <w:gridSpan w:val="7"/>
          </w:tcPr>
          <w:p>
            <w:pPr>
              <w:jc w:val="center"/>
              <w:ind w:right="90"/>
              <w:spacing w:after="0"/>
              <w:rPr>
                <w:sz w:val="20"/>
                <w:szCs w:val="20"/>
                <w:color w:val="auto"/>
              </w:rPr>
            </w:pPr>
            <w:r>
              <w:rPr>
                <w:rFonts w:ascii="Times New Roman" w:cs="Times New Roman" w:eastAsia="Times New Roman" w:hAnsi="Times New Roman"/>
                <w:sz w:val="18"/>
                <w:szCs w:val="18"/>
                <w:color w:val="auto"/>
                <w:w w:val="99"/>
              </w:rPr>
              <w:t>Fair Value Measurements Using Significant</w:t>
            </w:r>
          </w:p>
        </w:tc>
        <w:tc>
          <w:tcPr>
            <w:tcW w:w="80" w:type="dxa"/>
            <w:vAlign w:val="bottom"/>
          </w:tcPr>
          <w:p>
            <w:pPr>
              <w:spacing w:after="0"/>
              <w:rPr>
                <w:sz w:val="20"/>
                <w:szCs w:val="20"/>
                <w:color w:val="auto"/>
              </w:rPr>
            </w:pPr>
          </w:p>
        </w:tc>
      </w:tr>
      <w:tr>
        <w:trPr>
          <w:trHeight w:val="245"/>
        </w:trPr>
        <w:tc>
          <w:tcPr>
            <w:tcW w:w="3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540" w:type="dxa"/>
            <w:vAlign w:val="bottom"/>
            <w:tcBorders>
              <w:bottom w:val="single" w:sz="8" w:color="auto"/>
            </w:tcBorders>
            <w:gridSpan w:val="6"/>
          </w:tcPr>
          <w:p>
            <w:pPr>
              <w:jc w:val="center"/>
              <w:ind w:left="1130"/>
              <w:spacing w:after="0"/>
              <w:rPr>
                <w:sz w:val="20"/>
                <w:szCs w:val="20"/>
                <w:color w:val="auto"/>
              </w:rPr>
            </w:pPr>
            <w:r>
              <w:rPr>
                <w:rFonts w:ascii="Times New Roman" w:cs="Times New Roman" w:eastAsia="Times New Roman" w:hAnsi="Times New Roman"/>
                <w:sz w:val="18"/>
                <w:szCs w:val="18"/>
                <w:color w:val="auto"/>
                <w:w w:val="99"/>
              </w:rPr>
              <w:t>Unobservable Inputs (Level 3)</w:t>
            </w:r>
          </w:p>
        </w:tc>
        <w:tc>
          <w:tcPr>
            <w:tcW w:w="13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34"/>
        </w:trPr>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160" w:type="dxa"/>
            <w:vAlign w:val="bottom"/>
          </w:tcPr>
          <w:p>
            <w:pPr>
              <w:spacing w:after="0"/>
              <w:rPr>
                <w:sz w:val="20"/>
                <w:szCs w:val="20"/>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140" w:type="dxa"/>
            <w:vAlign w:val="bottom"/>
          </w:tcPr>
          <w:p>
            <w:pPr>
              <w:spacing w:after="0"/>
              <w:rPr>
                <w:sz w:val="20"/>
                <w:szCs w:val="20"/>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State and Local</w:t>
            </w:r>
          </w:p>
        </w:tc>
        <w:tc>
          <w:tcPr>
            <w:tcW w:w="80" w:type="dxa"/>
            <w:vAlign w:val="bottom"/>
          </w:tcPr>
          <w:p>
            <w:pPr>
              <w:spacing w:after="0"/>
              <w:rPr>
                <w:sz w:val="20"/>
                <w:szCs w:val="20"/>
                <w:color w:val="auto"/>
              </w:rPr>
            </w:pPr>
          </w:p>
        </w:tc>
      </w:tr>
      <w:tr>
        <w:trPr>
          <w:trHeight w:val="238"/>
        </w:trPr>
        <w:tc>
          <w:tcPr>
            <w:tcW w:w="3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Governments</w:t>
            </w:r>
          </w:p>
        </w:tc>
        <w:tc>
          <w:tcPr>
            <w:tcW w:w="16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Governments</w:t>
            </w: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Governments</w:t>
            </w:r>
          </w:p>
        </w:tc>
      </w:tr>
      <w:tr>
        <w:trPr>
          <w:trHeight w:val="250"/>
        </w:trPr>
        <w:tc>
          <w:tcPr>
            <w:tcW w:w="3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Tax-Exempt</w:t>
            </w:r>
          </w:p>
        </w:tc>
        <w:tc>
          <w:tcPr>
            <w:tcW w:w="160" w:type="dxa"/>
            <w:vAlign w:val="bottom"/>
          </w:tcPr>
          <w:p>
            <w:pPr>
              <w:spacing w:after="0"/>
              <w:rPr>
                <w:sz w:val="21"/>
                <w:szCs w:val="21"/>
                <w:color w:val="auto"/>
              </w:rPr>
            </w:pPr>
          </w:p>
        </w:tc>
        <w:tc>
          <w:tcPr>
            <w:tcW w:w="16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6"/>
              </w:rPr>
              <w:t>Taxable</w:t>
            </w:r>
          </w:p>
        </w:tc>
        <w:tc>
          <w:tcPr>
            <w:tcW w:w="140" w:type="dxa"/>
            <w:vAlign w:val="bottom"/>
          </w:tcPr>
          <w:p>
            <w:pPr>
              <w:spacing w:after="0"/>
              <w:rPr>
                <w:sz w:val="21"/>
                <w:szCs w:val="21"/>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24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80" w:type="dxa"/>
            <w:vAlign w:val="bottom"/>
            <w:shd w:val="clear" w:color="auto" w:fill="CFF0FC"/>
          </w:tcPr>
          <w:p>
            <w:pPr>
              <w:spacing w:after="0"/>
              <w:rPr>
                <w:sz w:val="21"/>
                <w:szCs w:val="21"/>
                <w:color w:val="auto"/>
              </w:rPr>
            </w:pPr>
          </w:p>
        </w:tc>
      </w:tr>
      <w:tr>
        <w:trPr>
          <w:trHeight w:val="23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Change in Market Value</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(96 )</w:t>
            </w:r>
          </w:p>
        </w:tc>
        <w:tc>
          <w:tcPr>
            <w:tcW w:w="1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r>
      <w:tr>
        <w:trPr>
          <w:trHeight w:val="247"/>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80" w:type="dxa"/>
            <w:vAlign w:val="bottom"/>
            <w:shd w:val="clear" w:color="auto" w:fill="CFF0FC"/>
          </w:tcPr>
          <w:p>
            <w:pPr>
              <w:spacing w:after="0"/>
              <w:rPr>
                <w:sz w:val="21"/>
                <w:szCs w:val="21"/>
                <w:color w:val="auto"/>
              </w:rPr>
            </w:pPr>
          </w:p>
        </w:tc>
      </w:tr>
      <w:tr>
        <w:trPr>
          <w:trHeight w:val="239"/>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47"/>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Payments &amp; Maturities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r>
      <w:tr>
        <w:trPr>
          <w:trHeight w:val="243"/>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and Adjustments</w:t>
            </w:r>
          </w:p>
        </w:tc>
        <w:tc>
          <w:tcPr>
            <w:tcW w:w="16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(155 )</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(155 )</w:t>
            </w:r>
          </w:p>
        </w:tc>
      </w:tr>
      <w:tr>
        <w:trPr>
          <w:trHeight w:val="277"/>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2,307</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4124325</wp:posOffset>
            </wp:positionH>
            <wp:positionV relativeFrom="paragraph">
              <wp:posOffset>-24765</wp:posOffset>
            </wp:positionV>
            <wp:extent cx="6032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4124325</wp:posOffset>
            </wp:positionH>
            <wp:positionV relativeFrom="paragraph">
              <wp:posOffset>-7620</wp:posOffset>
            </wp:positionV>
            <wp:extent cx="6032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5255895</wp:posOffset>
            </wp:positionH>
            <wp:positionV relativeFrom="paragraph">
              <wp:posOffset>-24765</wp:posOffset>
            </wp:positionV>
            <wp:extent cx="6032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5255895</wp:posOffset>
            </wp:positionH>
            <wp:positionV relativeFrom="paragraph">
              <wp:posOffset>-7620</wp:posOffset>
            </wp:positionV>
            <wp:extent cx="6032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-24765</wp:posOffset>
            </wp:positionV>
            <wp:extent cx="5143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-7620</wp:posOffset>
            </wp:positionV>
            <wp:extent cx="5143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Most of the Company’s available for sale securities, including any bonds issued by local municipalities, have CUSIP numbers or have similar characteristics of those in the municipal markets, making them marketable and comparable as Level 2.</w:t>
      </w:r>
    </w:p>
    <w:p>
      <w:pPr>
        <w:spacing w:after="0" w:line="162" w:lineRule="exact"/>
        <w:rPr>
          <w:sz w:val="20"/>
          <w:szCs w:val="20"/>
          <w:color w:val="auto"/>
        </w:rPr>
      </w:pPr>
    </w:p>
    <w:p>
      <w:pPr>
        <w:jc w:val="both"/>
        <w:ind w:left="740"/>
        <w:spacing w:after="0" w:line="282" w:lineRule="auto"/>
        <w:rPr>
          <w:sz w:val="20"/>
          <w:szCs w:val="20"/>
          <w:color w:val="auto"/>
        </w:rPr>
      </w:pPr>
      <w:r>
        <w:rPr>
          <w:rFonts w:ascii="Times New Roman" w:cs="Times New Roman" w:eastAsia="Times New Roman" w:hAnsi="Times New Roman"/>
          <w:sz w:val="18"/>
          <w:szCs w:val="18"/>
          <w:color w:val="auto"/>
        </w:rPr>
        <w:t>There was one security transferred out of Level 3 to Level 2 in 2022 and no transfers into or out of Level 3 during 2021. The 2021 tax exempt purchases were included in the acquisition of Ossian State Bank.</w:t>
      </w:r>
    </w:p>
    <w:p>
      <w:pPr>
        <w:spacing w:after="0" w:line="162"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The Company also has assets that, under certain conditions, are subject to measurement at fair value on a non-recurring basis. At December 31, 2022 and 2021,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83" w:lineRule="exact"/>
        <w:rPr>
          <w:sz w:val="20"/>
          <w:szCs w:val="20"/>
          <w:color w:val="auto"/>
        </w:rPr>
      </w:pPr>
    </w:p>
    <w:p>
      <w:pPr>
        <w:jc w:val="both"/>
        <w:ind w:left="740"/>
        <w:spacing w:after="0" w:line="266" w:lineRule="auto"/>
        <w:rPr>
          <w:sz w:val="20"/>
          <w:szCs w:val="20"/>
          <w:color w:val="auto"/>
        </w:rPr>
      </w:pPr>
      <w:r>
        <w:rPr>
          <w:rFonts w:ascii="Times New Roman" w:cs="Times New Roman" w:eastAsia="Times New Roman" w:hAnsi="Times New Roman"/>
          <w:sz w:val="18"/>
          <w:szCs w:val="18"/>
          <w:color w:val="auto"/>
        </w:rPr>
        <w:t>At December 31, 2022 and 2021, collateral dependent impaired loans categorized as Level 3 were $2,667 and $8,527 thousand, respectively. The specific allocation for collateral dependent impaired loans was $1,996 thousand as of December 31, 2022 and $2,184 thousand as of December 31, 2021, respectively, which are accounted for in the allowance for loan losses (see Note 4).</w:t>
      </w:r>
    </w:p>
    <w:p>
      <w:pPr>
        <w:spacing w:after="0" w:line="176" w:lineRule="exact"/>
        <w:rPr>
          <w:sz w:val="20"/>
          <w:szCs w:val="20"/>
          <w:color w:val="auto"/>
        </w:rPr>
      </w:pPr>
    </w:p>
    <w:p>
      <w:pPr>
        <w:jc w:val="both"/>
        <w:ind w:left="740"/>
        <w:spacing w:after="0" w:line="261" w:lineRule="auto"/>
        <w:rPr>
          <w:sz w:val="20"/>
          <w:szCs w:val="20"/>
          <w:color w:val="auto"/>
        </w:rPr>
      </w:pPr>
      <w:r>
        <w:rPr>
          <w:rFonts w:ascii="Times New Roman" w:cs="Times New Roman" w:eastAsia="Times New Roman" w:hAnsi="Times New Roman"/>
          <w:sz w:val="18"/>
          <w:szCs w:val="18"/>
          <w:color w:val="auto"/>
        </w:rPr>
        <w:t>During 2021, impairment was recognized on mortgage servicing rights based upon the independent third party’s quarterly valuations. A valuation allowance was established by strata to quantify the likely impairment of the value of the mortgage servicing rights to the Company. If the carrying amount of an individual strata exceeds the fair value, impairment was recorded on that strata so the servicing asset was carried at fair value. In 2022, the valuation allowance was reversed as all strata were positive.</w:t>
      </w:r>
    </w:p>
    <w:p>
      <w:pPr>
        <w:spacing w:after="0" w:line="180" w:lineRule="exact"/>
        <w:rPr>
          <w:sz w:val="20"/>
          <w:szCs w:val="20"/>
          <w:color w:val="auto"/>
        </w:rPr>
      </w:pPr>
    </w:p>
    <w:p>
      <w:pPr>
        <w:jc w:val="both"/>
        <w:ind w:left="740"/>
        <w:spacing w:after="0" w:line="258" w:lineRule="auto"/>
        <w:rPr>
          <w:sz w:val="20"/>
          <w:szCs w:val="20"/>
          <w:color w:val="auto"/>
        </w:rPr>
      </w:pPr>
      <w:r>
        <w:rPr>
          <w:rFonts w:ascii="Times New Roman" w:cs="Times New Roman" w:eastAsia="Times New Roman" w:hAnsi="Times New Roman"/>
          <w:sz w:val="18"/>
          <w:szCs w:val="18"/>
          <w:color w:val="auto"/>
        </w:rPr>
        <w:t>Other real estate is reported at the lower of either the fair value of the real estate, minus the estimated costs to sell the asset, or the cost of the asset. The determination of the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47" w:right="33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collateral dependent impaired loans and other real estate owned as recorded at fair value:</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31"/>
        </w:trPr>
        <w:tc>
          <w:tcPr>
            <w:tcW w:w="204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4"/>
          </w:tcPr>
          <w:p>
            <w:pPr>
              <w:jc w:val="center"/>
              <w:ind w:left="55"/>
              <w:spacing w:after="0"/>
              <w:rPr>
                <w:sz w:val="20"/>
                <w:szCs w:val="20"/>
                <w:color w:val="auto"/>
              </w:rPr>
            </w:pPr>
            <w:r>
              <w:rPr>
                <w:rFonts w:ascii="Times New Roman" w:cs="Times New Roman" w:eastAsia="Times New Roman" w:hAnsi="Times New Roman"/>
                <w:sz w:val="17"/>
                <w:szCs w:val="17"/>
                <w:color w:val="auto"/>
              </w:rPr>
              <w:t>($ in Thousands)</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6"/>
        </w:trPr>
        <w:tc>
          <w:tcPr>
            <w:tcW w:w="20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660" w:type="dxa"/>
            <w:vAlign w:val="bottom"/>
            <w:tcBorders>
              <w:bottom w:val="single" w:sz="8" w:color="auto"/>
            </w:tcBorders>
            <w:gridSpan w:val="10"/>
          </w:tcPr>
          <w:p>
            <w:pPr>
              <w:jc w:val="center"/>
              <w:ind w:right="1195"/>
              <w:spacing w:after="0"/>
              <w:rPr>
                <w:sz w:val="20"/>
                <w:szCs w:val="20"/>
                <w:color w:val="auto"/>
              </w:rPr>
            </w:pPr>
            <w:r>
              <w:rPr>
                <w:rFonts w:ascii="Times New Roman" w:cs="Times New Roman" w:eastAsia="Times New Roman" w:hAnsi="Times New Roman"/>
                <w:sz w:val="17"/>
                <w:szCs w:val="17"/>
                <w:color w:val="auto"/>
              </w:rPr>
              <w:t>Assets Measured at Fair Value on a Nonrecurring Basis at December 31, 2022</w:t>
            </w:r>
          </w:p>
        </w:tc>
        <w:tc>
          <w:tcPr>
            <w:tcW w:w="100" w:type="dxa"/>
            <w:vAlign w:val="bottom"/>
          </w:tcPr>
          <w:p>
            <w:pPr>
              <w:spacing w:after="0"/>
              <w:rPr>
                <w:sz w:val="19"/>
                <w:szCs w:val="19"/>
                <w:color w:val="auto"/>
              </w:rPr>
            </w:pPr>
          </w:p>
        </w:tc>
      </w:tr>
      <w:tr>
        <w:trPr>
          <w:trHeight w:val="218"/>
        </w:trPr>
        <w:tc>
          <w:tcPr>
            <w:tcW w:w="2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Quoted Prices in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Markets for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auto"/>
              </w:rPr>
              <w:t>Significant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Significant</w:t>
            </w:r>
          </w:p>
        </w:tc>
        <w:tc>
          <w:tcPr>
            <w:tcW w:w="100" w:type="dxa"/>
            <w:vAlign w:val="bottom"/>
          </w:tcPr>
          <w:p>
            <w:pPr>
              <w:spacing w:after="0"/>
              <w:rPr>
                <w:sz w:val="19"/>
                <w:szCs w:val="19"/>
                <w:color w:val="auto"/>
              </w:rPr>
            </w:pPr>
          </w:p>
        </w:tc>
      </w:tr>
      <w:tr>
        <w:trPr>
          <w:trHeight w:val="229"/>
        </w:trPr>
        <w:tc>
          <w:tcPr>
            <w:tcW w:w="2040" w:type="dxa"/>
            <w:vAlign w:val="bottom"/>
          </w:tcPr>
          <w:p>
            <w:pPr>
              <w:spacing w:after="0"/>
              <w:rPr>
                <w:sz w:val="19"/>
                <w:szCs w:val="19"/>
                <w:color w:val="auto"/>
              </w:rPr>
            </w:pPr>
          </w:p>
        </w:tc>
        <w:tc>
          <w:tcPr>
            <w:tcW w:w="130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Balance at</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w w:val="97"/>
              </w:rPr>
              <w:t>Identical</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auto"/>
                <w:w w:val="99"/>
              </w:rPr>
              <w:t>Observable Inputs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9"/>
              </w:rPr>
              <w:t>Unobservable Inputs</w:t>
            </w:r>
          </w:p>
        </w:tc>
        <w:tc>
          <w:tcPr>
            <w:tcW w:w="100" w:type="dxa"/>
            <w:vAlign w:val="bottom"/>
          </w:tcPr>
          <w:p>
            <w:pPr>
              <w:spacing w:after="0"/>
              <w:rPr>
                <w:sz w:val="19"/>
                <w:szCs w:val="19"/>
                <w:color w:val="auto"/>
              </w:rPr>
            </w:pPr>
          </w:p>
        </w:tc>
      </w:tr>
      <w:tr>
        <w:trPr>
          <w:trHeight w:val="239"/>
        </w:trPr>
        <w:tc>
          <w:tcPr>
            <w:tcW w:w="2040" w:type="dxa"/>
            <w:vAlign w:val="bottom"/>
          </w:tcPr>
          <w:p>
            <w:pPr>
              <w:spacing w:after="0"/>
              <w:rPr>
                <w:sz w:val="20"/>
                <w:szCs w:val="20"/>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December 31, 2022</w:t>
            </w: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7"/>
                <w:szCs w:val="17"/>
                <w:color w:val="auto"/>
              </w:rPr>
              <w:t>Assets (Level 1)</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ind w:left="95"/>
              <w:spacing w:after="0"/>
              <w:rPr>
                <w:sz w:val="20"/>
                <w:szCs w:val="20"/>
                <w:color w:val="auto"/>
              </w:rPr>
            </w:pPr>
            <w:r>
              <w:rPr>
                <w:rFonts w:ascii="Times New Roman" w:cs="Times New Roman" w:eastAsia="Times New Roman" w:hAnsi="Times New Roman"/>
                <w:sz w:val="17"/>
                <w:szCs w:val="17"/>
                <w:color w:val="auto"/>
              </w:rPr>
              <w:t>(Level 2)</w:t>
            </w:r>
          </w:p>
        </w:tc>
        <w:tc>
          <w:tcPr>
            <w:tcW w:w="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rPr>
              <w:t>(Level 3)</w:t>
            </w:r>
          </w:p>
        </w:tc>
        <w:tc>
          <w:tcPr>
            <w:tcW w:w="100" w:type="dxa"/>
            <w:vAlign w:val="bottom"/>
          </w:tcPr>
          <w:p>
            <w:pPr>
              <w:spacing w:after="0"/>
              <w:rPr>
                <w:sz w:val="20"/>
                <w:szCs w:val="20"/>
                <w:color w:val="auto"/>
              </w:rPr>
            </w:pPr>
          </w:p>
        </w:tc>
      </w:tr>
      <w:tr>
        <w:trPr>
          <w:trHeight w:val="194"/>
        </w:trPr>
        <w:tc>
          <w:tcPr>
            <w:tcW w:w="20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Collateral dependent</w:t>
            </w:r>
          </w:p>
        </w:tc>
        <w:tc>
          <w:tcPr>
            <w:tcW w:w="1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impaired</w:t>
            </w:r>
          </w:p>
        </w:tc>
        <w:tc>
          <w:tcPr>
            <w:tcW w:w="1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2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loans</w:t>
            </w:r>
          </w:p>
        </w:tc>
        <w:tc>
          <w:tcPr>
            <w:tcW w:w="1300" w:type="dxa"/>
            <w:vAlign w:val="bottom"/>
            <w:shd w:val="clear" w:color="auto" w:fill="CFF0FC"/>
          </w:tcPr>
          <w:p>
            <w:pPr>
              <w:jc w:val="right"/>
              <w:ind w:right="111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1860" w:type="dxa"/>
            <w:vAlign w:val="bottom"/>
            <w:gridSpan w:val="2"/>
            <w:shd w:val="clear" w:color="auto" w:fill="CFF0FC"/>
          </w:tcPr>
          <w:p>
            <w:pPr>
              <w:jc w:val="right"/>
              <w:ind w:right="14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shd w:val="clear" w:color="auto" w:fill="CFF0FC"/>
          </w:tcPr>
          <w:p>
            <w:pPr>
              <w:jc w:val="right"/>
              <w:ind w:right="14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100" w:type="dxa"/>
            <w:vAlign w:val="bottom"/>
            <w:shd w:val="clear" w:color="auto" w:fill="CFF0FC"/>
          </w:tcPr>
          <w:p>
            <w:pPr>
              <w:spacing w:after="0"/>
              <w:rPr>
                <w:sz w:val="20"/>
                <w:szCs w:val="20"/>
                <w:color w:val="auto"/>
              </w:rPr>
            </w:pP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Mortgage servicing rights</w:t>
            </w: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r>
      <w:tr>
        <w:trPr>
          <w:trHeight w:val="198"/>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real estate owned -</w:t>
            </w:r>
          </w:p>
        </w:tc>
        <w:tc>
          <w:tcPr>
            <w:tcW w:w="1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2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residential</w:t>
            </w:r>
          </w:p>
        </w:tc>
        <w:tc>
          <w:tcPr>
            <w:tcW w:w="13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20"/>
                <w:szCs w:val="20"/>
                <w:color w:val="auto"/>
              </w:rPr>
            </w:pPr>
          </w:p>
        </w:tc>
      </w:tr>
      <w:tr>
        <w:trPr>
          <w:trHeight w:val="655"/>
        </w:trPr>
        <w:tc>
          <w:tcPr>
            <w:tcW w:w="2040" w:type="dxa"/>
            <w:vAlign w:val="bottom"/>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4"/>
          </w:tcPr>
          <w:p>
            <w:pPr>
              <w:jc w:val="center"/>
              <w:ind w:left="55"/>
              <w:spacing w:after="0"/>
              <w:rPr>
                <w:sz w:val="20"/>
                <w:szCs w:val="20"/>
                <w:color w:val="auto"/>
              </w:rPr>
            </w:pPr>
            <w:r>
              <w:rPr>
                <w:rFonts w:ascii="Times New Roman" w:cs="Times New Roman" w:eastAsia="Times New Roman" w:hAnsi="Times New Roman"/>
                <w:sz w:val="17"/>
                <w:szCs w:val="17"/>
                <w:color w:val="auto"/>
              </w:rPr>
              <w:t>($ in Thousands)</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6"/>
        </w:trPr>
        <w:tc>
          <w:tcPr>
            <w:tcW w:w="204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6660" w:type="dxa"/>
            <w:vAlign w:val="bottom"/>
            <w:tcBorders>
              <w:bottom w:val="single" w:sz="8" w:color="auto"/>
            </w:tcBorders>
            <w:gridSpan w:val="10"/>
          </w:tcPr>
          <w:p>
            <w:pPr>
              <w:jc w:val="center"/>
              <w:ind w:right="1195"/>
              <w:spacing w:after="0"/>
              <w:rPr>
                <w:sz w:val="20"/>
                <w:szCs w:val="20"/>
                <w:color w:val="auto"/>
              </w:rPr>
            </w:pPr>
            <w:r>
              <w:rPr>
                <w:rFonts w:ascii="Times New Roman" w:cs="Times New Roman" w:eastAsia="Times New Roman" w:hAnsi="Times New Roman"/>
                <w:sz w:val="17"/>
                <w:szCs w:val="17"/>
                <w:color w:val="auto"/>
              </w:rPr>
              <w:t>Assets Measured at Fair Value on a Nonrecurring Basis at December 31, 2021</w:t>
            </w:r>
          </w:p>
        </w:tc>
        <w:tc>
          <w:tcPr>
            <w:tcW w:w="100" w:type="dxa"/>
            <w:vAlign w:val="bottom"/>
          </w:tcPr>
          <w:p>
            <w:pPr>
              <w:spacing w:after="0"/>
              <w:rPr>
                <w:sz w:val="19"/>
                <w:szCs w:val="19"/>
                <w:color w:val="auto"/>
              </w:rPr>
            </w:pPr>
          </w:p>
        </w:tc>
      </w:tr>
      <w:tr>
        <w:trPr>
          <w:trHeight w:val="218"/>
        </w:trPr>
        <w:tc>
          <w:tcPr>
            <w:tcW w:w="2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Quoted Prices in</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rPr>
              <w:t>Markets for</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auto"/>
              </w:rPr>
              <w:t>Significant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Significant</w:t>
            </w:r>
          </w:p>
        </w:tc>
        <w:tc>
          <w:tcPr>
            <w:tcW w:w="100" w:type="dxa"/>
            <w:vAlign w:val="bottom"/>
          </w:tcPr>
          <w:p>
            <w:pPr>
              <w:spacing w:after="0"/>
              <w:rPr>
                <w:sz w:val="19"/>
                <w:szCs w:val="19"/>
                <w:color w:val="auto"/>
              </w:rPr>
            </w:pPr>
          </w:p>
        </w:tc>
      </w:tr>
      <w:tr>
        <w:trPr>
          <w:trHeight w:val="230"/>
        </w:trPr>
        <w:tc>
          <w:tcPr>
            <w:tcW w:w="2040" w:type="dxa"/>
            <w:vAlign w:val="bottom"/>
          </w:tcPr>
          <w:p>
            <w:pPr>
              <w:spacing w:after="0"/>
              <w:rPr>
                <w:sz w:val="19"/>
                <w:szCs w:val="19"/>
                <w:color w:val="auto"/>
              </w:rPr>
            </w:pPr>
          </w:p>
        </w:tc>
        <w:tc>
          <w:tcPr>
            <w:tcW w:w="130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Balance at</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center"/>
              <w:ind w:left="115"/>
              <w:spacing w:after="0"/>
              <w:rPr>
                <w:sz w:val="20"/>
                <w:szCs w:val="20"/>
                <w:color w:val="auto"/>
              </w:rPr>
            </w:pPr>
            <w:r>
              <w:rPr>
                <w:rFonts w:ascii="Times New Roman" w:cs="Times New Roman" w:eastAsia="Times New Roman" w:hAnsi="Times New Roman"/>
                <w:sz w:val="17"/>
                <w:szCs w:val="17"/>
                <w:color w:val="auto"/>
                <w:w w:val="97"/>
              </w:rPr>
              <w:t>Identical</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center"/>
              <w:ind w:left="95"/>
              <w:spacing w:after="0"/>
              <w:rPr>
                <w:sz w:val="20"/>
                <w:szCs w:val="20"/>
                <w:color w:val="auto"/>
              </w:rPr>
            </w:pPr>
            <w:r>
              <w:rPr>
                <w:rFonts w:ascii="Times New Roman" w:cs="Times New Roman" w:eastAsia="Times New Roman" w:hAnsi="Times New Roman"/>
                <w:sz w:val="17"/>
                <w:szCs w:val="17"/>
                <w:color w:val="auto"/>
                <w:w w:val="99"/>
              </w:rPr>
              <w:t>Observable Inputs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w w:val="99"/>
              </w:rPr>
              <w:t>Unobservable Inputs</w:t>
            </w:r>
          </w:p>
        </w:tc>
        <w:tc>
          <w:tcPr>
            <w:tcW w:w="100" w:type="dxa"/>
            <w:vAlign w:val="bottom"/>
          </w:tcPr>
          <w:p>
            <w:pPr>
              <w:spacing w:after="0"/>
              <w:rPr>
                <w:sz w:val="19"/>
                <w:szCs w:val="19"/>
                <w:color w:val="auto"/>
              </w:rPr>
            </w:pPr>
          </w:p>
        </w:tc>
      </w:tr>
      <w:tr>
        <w:trPr>
          <w:trHeight w:val="238"/>
        </w:trPr>
        <w:tc>
          <w:tcPr>
            <w:tcW w:w="2040" w:type="dxa"/>
            <w:vAlign w:val="bottom"/>
          </w:tcPr>
          <w:p>
            <w:pPr>
              <w:spacing w:after="0"/>
              <w:rPr>
                <w:sz w:val="20"/>
                <w:szCs w:val="20"/>
                <w:color w:val="auto"/>
              </w:rPr>
            </w:pPr>
          </w:p>
        </w:tc>
        <w:tc>
          <w:tcPr>
            <w:tcW w:w="1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color w:val="auto"/>
              </w:rPr>
              <w:t>December 31, 2021</w:t>
            </w: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center"/>
              <w:ind w:left="135"/>
              <w:spacing w:after="0"/>
              <w:rPr>
                <w:sz w:val="20"/>
                <w:szCs w:val="20"/>
                <w:color w:val="auto"/>
              </w:rPr>
            </w:pPr>
            <w:r>
              <w:rPr>
                <w:rFonts w:ascii="Times New Roman" w:cs="Times New Roman" w:eastAsia="Times New Roman" w:hAnsi="Times New Roman"/>
                <w:sz w:val="17"/>
                <w:szCs w:val="17"/>
                <w:color w:val="auto"/>
              </w:rPr>
              <w:t>Assets (Level 1)</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center"/>
              <w:ind w:left="95"/>
              <w:spacing w:after="0"/>
              <w:rPr>
                <w:sz w:val="20"/>
                <w:szCs w:val="20"/>
                <w:color w:val="auto"/>
              </w:rPr>
            </w:pPr>
            <w:r>
              <w:rPr>
                <w:rFonts w:ascii="Times New Roman" w:cs="Times New Roman" w:eastAsia="Times New Roman" w:hAnsi="Times New Roman"/>
                <w:sz w:val="17"/>
                <w:szCs w:val="17"/>
                <w:color w:val="auto"/>
              </w:rPr>
              <w:t>(Level 2)</w:t>
            </w:r>
          </w:p>
        </w:tc>
        <w:tc>
          <w:tcPr>
            <w:tcW w:w="1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7"/>
                <w:szCs w:val="17"/>
                <w:color w:val="auto"/>
              </w:rPr>
              <w:t>(Level 3)</w:t>
            </w:r>
          </w:p>
        </w:tc>
        <w:tc>
          <w:tcPr>
            <w:tcW w:w="100" w:type="dxa"/>
            <w:vAlign w:val="bottom"/>
          </w:tcPr>
          <w:p>
            <w:pPr>
              <w:spacing w:after="0"/>
              <w:rPr>
                <w:sz w:val="20"/>
                <w:szCs w:val="20"/>
                <w:color w:val="auto"/>
              </w:rPr>
            </w:pPr>
          </w:p>
        </w:tc>
      </w:tr>
      <w:tr>
        <w:trPr>
          <w:trHeight w:val="194"/>
        </w:trPr>
        <w:tc>
          <w:tcPr>
            <w:tcW w:w="204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7"/>
                <w:szCs w:val="17"/>
                <w:color w:val="auto"/>
              </w:rPr>
              <w:t>Collateral dependent</w:t>
            </w:r>
          </w:p>
        </w:tc>
        <w:tc>
          <w:tcPr>
            <w:tcW w:w="130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impaired</w:t>
            </w:r>
          </w:p>
        </w:tc>
        <w:tc>
          <w:tcPr>
            <w:tcW w:w="1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2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loans</w:t>
            </w:r>
          </w:p>
        </w:tc>
        <w:tc>
          <w:tcPr>
            <w:tcW w:w="1300" w:type="dxa"/>
            <w:vAlign w:val="bottom"/>
            <w:shd w:val="clear" w:color="auto" w:fill="CFF0FC"/>
          </w:tcPr>
          <w:p>
            <w:pPr>
              <w:jc w:val="right"/>
              <w:ind w:right="1115"/>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1860" w:type="dxa"/>
            <w:vAlign w:val="bottom"/>
            <w:gridSpan w:val="2"/>
            <w:shd w:val="clear" w:color="auto" w:fill="CFF0FC"/>
          </w:tcPr>
          <w:p>
            <w:pPr>
              <w:jc w:val="right"/>
              <w:ind w:right="14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gridSpan w:val="2"/>
            <w:shd w:val="clear" w:color="auto" w:fill="CFF0FC"/>
          </w:tcPr>
          <w:p>
            <w:pPr>
              <w:jc w:val="right"/>
              <w:ind w:right="14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100" w:type="dxa"/>
            <w:vAlign w:val="bottom"/>
            <w:shd w:val="clear" w:color="auto" w:fill="CFF0FC"/>
          </w:tcPr>
          <w:p>
            <w:pPr>
              <w:spacing w:after="0"/>
              <w:rPr>
                <w:sz w:val="20"/>
                <w:szCs w:val="20"/>
                <w:color w:val="auto"/>
              </w:rPr>
            </w:pPr>
          </w:p>
        </w:tc>
      </w:tr>
      <w:tr>
        <w:trPr>
          <w:trHeight w:val="226"/>
        </w:trPr>
        <w:tc>
          <w:tcPr>
            <w:tcW w:w="2040" w:type="dxa"/>
            <w:vAlign w:val="bottom"/>
          </w:tcPr>
          <w:p>
            <w:pPr>
              <w:spacing w:after="0"/>
              <w:rPr>
                <w:sz w:val="20"/>
                <w:szCs w:val="20"/>
                <w:color w:val="auto"/>
              </w:rPr>
            </w:pPr>
            <w:r>
              <w:rPr>
                <w:rFonts w:ascii="Times New Roman" w:cs="Times New Roman" w:eastAsia="Times New Roman" w:hAnsi="Times New Roman"/>
                <w:sz w:val="17"/>
                <w:szCs w:val="17"/>
                <w:color w:val="auto"/>
              </w:rPr>
              <w:t>Mortgage servicing rights</w:t>
            </w: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3,157</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3,157</w:t>
            </w:r>
          </w:p>
        </w:tc>
        <w:tc>
          <w:tcPr>
            <w:tcW w:w="100" w:type="dxa"/>
            <w:vAlign w:val="bottom"/>
          </w:tcPr>
          <w:p>
            <w:pPr>
              <w:spacing w:after="0"/>
              <w:rPr>
                <w:sz w:val="19"/>
                <w:szCs w:val="19"/>
                <w:color w:val="auto"/>
              </w:rPr>
            </w:pPr>
          </w:p>
        </w:tc>
      </w:tr>
      <w:tr>
        <w:trPr>
          <w:trHeight w:val="198"/>
        </w:trPr>
        <w:tc>
          <w:tcPr>
            <w:tcW w:w="204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Other real estate owned -</w:t>
            </w:r>
          </w:p>
        </w:tc>
        <w:tc>
          <w:tcPr>
            <w:tcW w:w="13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8"/>
        </w:trPr>
        <w:tc>
          <w:tcPr>
            <w:tcW w:w="20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residential</w:t>
            </w:r>
          </w:p>
        </w:tc>
        <w:tc>
          <w:tcPr>
            <w:tcW w:w="130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24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00" w:type="dxa"/>
            <w:vAlign w:val="bottom"/>
            <w:shd w:val="clear" w:color="auto" w:fill="CFF0FC"/>
          </w:tcPr>
          <w:p>
            <w:pPr>
              <w:spacing w:after="0"/>
              <w:rPr>
                <w:sz w:val="20"/>
                <w:szCs w:val="20"/>
                <w:color w:val="auto"/>
              </w:rPr>
            </w:pPr>
          </w:p>
        </w:tc>
      </w:tr>
    </w:tbl>
    <w:p>
      <w:pPr>
        <w:spacing w:after="0" w:line="198" w:lineRule="exact"/>
        <w:rPr>
          <w:sz w:val="20"/>
          <w:szCs w:val="20"/>
          <w:color w:val="auto"/>
        </w:rPr>
      </w:pPr>
    </w:p>
    <w:p>
      <w:pPr>
        <w:ind w:left="760"/>
        <w:spacing w:after="0" w:line="282" w:lineRule="auto"/>
        <w:rPr>
          <w:sz w:val="20"/>
          <w:szCs w:val="20"/>
          <w:color w:val="auto"/>
        </w:rPr>
      </w:pPr>
      <w:r>
        <w:rPr>
          <w:rFonts w:ascii="Times New Roman" w:cs="Times New Roman" w:eastAsia="Times New Roman" w:hAnsi="Times New Roman"/>
          <w:sz w:val="18"/>
          <w:szCs w:val="18"/>
          <w:color w:val="auto"/>
        </w:rPr>
        <w:t>The following table presents quantitative information about unobservable inputs used in recurring and nonrecurring Level 3 fair value measurements:</w:t>
      </w:r>
    </w:p>
    <w:p>
      <w:pPr>
        <w:spacing w:after="0" w:line="172" w:lineRule="exact"/>
        <w:rPr>
          <w:sz w:val="20"/>
          <w:szCs w:val="20"/>
          <w:color w:val="auto"/>
        </w:rPr>
      </w:pPr>
    </w:p>
    <w:p>
      <w:pPr>
        <w:jc w:val="center"/>
        <w:ind w:right="8680"/>
        <w:spacing w:after="0"/>
        <w:rPr>
          <w:sz w:val="20"/>
          <w:szCs w:val="20"/>
          <w:color w:val="auto"/>
        </w:rPr>
      </w:pPr>
      <w:r>
        <w:rPr>
          <w:rFonts w:ascii="Times New Roman" w:cs="Times New Roman" w:eastAsia="Times New Roman" w:hAnsi="Times New Roman"/>
          <w:sz w:val="17"/>
          <w:szCs w:val="17"/>
          <w:color w:val="auto"/>
        </w:rPr>
        <w:t>(In</w:t>
      </w:r>
    </w:p>
    <w:p>
      <w:pPr>
        <w:spacing w:after="0" w:line="25" w:lineRule="exact"/>
        <w:rPr>
          <w:sz w:val="20"/>
          <w:szCs w:val="20"/>
          <w:color w:val="auto"/>
        </w:rPr>
      </w:pPr>
    </w:p>
    <w:p>
      <w:pPr>
        <w:jc w:val="center"/>
        <w:ind w:right="8620"/>
        <w:spacing w:after="0"/>
        <w:rPr>
          <w:sz w:val="20"/>
          <w:szCs w:val="20"/>
          <w:color w:val="auto"/>
        </w:rPr>
      </w:pPr>
      <w:r>
        <w:rPr>
          <w:rFonts w:ascii="Times New Roman" w:cs="Times New Roman" w:eastAsia="Times New Roman" w:hAnsi="Times New Roman"/>
          <w:sz w:val="17"/>
          <w:szCs w:val="17"/>
          <w:color w:val="auto"/>
        </w:rPr>
        <w:t>Thousa</w:t>
      </w:r>
    </w:p>
    <w:p>
      <w:pPr>
        <w:spacing w:after="0" w:line="7" w:lineRule="exact"/>
        <w:rPr>
          <w:sz w:val="20"/>
          <w:szCs w:val="20"/>
          <w:color w:val="auto"/>
        </w:rPr>
      </w:pPr>
    </w:p>
    <w:p>
      <w:pPr>
        <w:jc w:val="center"/>
        <w:ind w:right="8640"/>
        <w:spacing w:after="0"/>
        <w:rPr>
          <w:sz w:val="20"/>
          <w:szCs w:val="20"/>
          <w:color w:val="auto"/>
        </w:rPr>
      </w:pPr>
      <w:r>
        <w:rPr>
          <w:rFonts w:ascii="Times New Roman" w:cs="Times New Roman" w:eastAsia="Times New Roman" w:hAnsi="Times New Roman"/>
          <w:sz w:val="17"/>
          <w:szCs w:val="17"/>
          <w:color w:val="auto"/>
        </w:rPr>
        <w:t>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40" w:type="dxa"/>
            <w:vAlign w:val="bottom"/>
          </w:tcPr>
          <w:p>
            <w:pPr>
              <w:spacing w:after="0"/>
              <w:rPr>
                <w:sz w:val="17"/>
                <w:szCs w:val="17"/>
                <w:color w:val="auto"/>
              </w:rPr>
            </w:pPr>
          </w:p>
        </w:tc>
        <w:tc>
          <w:tcPr>
            <w:tcW w:w="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Fair</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Value</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at</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Decem</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Range</w:t>
            </w:r>
          </w:p>
        </w:tc>
      </w:tr>
      <w:tr>
        <w:trPr>
          <w:trHeight w:val="203"/>
        </w:trPr>
        <w:tc>
          <w:tcPr>
            <w:tcW w:w="104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ber 31,</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w w:val="97"/>
              </w:rPr>
              <w:t>(Weighted</w:t>
            </w:r>
          </w:p>
        </w:tc>
      </w:tr>
      <w:tr>
        <w:trPr>
          <w:trHeight w:val="231"/>
        </w:trPr>
        <w:tc>
          <w:tcPr>
            <w:tcW w:w="104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20" w:type="dxa"/>
            <w:vAlign w:val="bottom"/>
          </w:tcPr>
          <w:p>
            <w:pPr>
              <w:spacing w:after="0"/>
              <w:rPr>
                <w:sz w:val="20"/>
                <w:szCs w:val="20"/>
                <w:color w:val="auto"/>
              </w:rPr>
            </w:pPr>
          </w:p>
        </w:tc>
        <w:tc>
          <w:tcPr>
            <w:tcW w:w="23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Valuation Technique</w:t>
            </w:r>
          </w:p>
        </w:tc>
        <w:tc>
          <w:tcPr>
            <w:tcW w:w="572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Unobservable Inputs</w:t>
            </w:r>
          </w:p>
        </w:tc>
        <w:tc>
          <w:tcPr>
            <w:tcW w:w="1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Average)</w:t>
            </w:r>
          </w:p>
        </w:tc>
      </w:tr>
      <w:tr>
        <w:trPr>
          <w:trHeight w:val="194"/>
        </w:trPr>
        <w:tc>
          <w:tcPr>
            <w:tcW w:w="104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7"/>
                <w:szCs w:val="17"/>
                <w:color w:val="auto"/>
              </w:rPr>
              <w:t>State and</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380" w:type="dxa"/>
            <w:vAlign w:val="bottom"/>
            <w:shd w:val="clear" w:color="auto" w:fill="CFF0FC"/>
          </w:tcPr>
          <w:p>
            <w:pPr>
              <w:spacing w:after="0"/>
              <w:rPr>
                <w:sz w:val="16"/>
                <w:szCs w:val="16"/>
                <w:color w:val="auto"/>
              </w:rPr>
            </w:pPr>
          </w:p>
        </w:tc>
        <w:tc>
          <w:tcPr>
            <w:tcW w:w="57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203"/>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local</w:t>
            </w: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80" w:type="dxa"/>
            <w:vAlign w:val="bottom"/>
            <w:shd w:val="clear" w:color="auto" w:fill="CFF0FC"/>
          </w:tcPr>
          <w:p>
            <w:pPr>
              <w:spacing w:after="0"/>
              <w:rPr>
                <w:sz w:val="17"/>
                <w:szCs w:val="17"/>
                <w:color w:val="auto"/>
              </w:rPr>
            </w:pPr>
          </w:p>
        </w:tc>
        <w:tc>
          <w:tcPr>
            <w:tcW w:w="572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2.08-5.01%</w:t>
            </w:r>
          </w:p>
        </w:tc>
      </w:tr>
      <w:tr>
        <w:trPr>
          <w:trHeight w:val="238"/>
        </w:trPr>
        <w:tc>
          <w:tcPr>
            <w:tcW w:w="1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government $ 3,345</w:t>
            </w:r>
          </w:p>
        </w:tc>
        <w:tc>
          <w:tcPr>
            <w:tcW w:w="12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Discounted Cash Flow</w:t>
            </w:r>
          </w:p>
        </w:tc>
        <w:tc>
          <w:tcPr>
            <w:tcW w:w="5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Credit strength of underlying project or entity / Discount rate</w:t>
            </w:r>
          </w:p>
        </w:tc>
        <w:tc>
          <w:tcPr>
            <w:tcW w:w="1440" w:type="dxa"/>
            <w:vAlign w:val="bottom"/>
            <w:shd w:val="clear" w:color="auto" w:fill="CFF0FC"/>
          </w:tcPr>
          <w:p>
            <w:pPr>
              <w:jc w:val="center"/>
              <w:ind w:left="475"/>
              <w:spacing w:after="0"/>
              <w:rPr>
                <w:sz w:val="20"/>
                <w:szCs w:val="20"/>
                <w:color w:val="auto"/>
              </w:rPr>
            </w:pPr>
            <w:r>
              <w:rPr>
                <w:rFonts w:ascii="Times New Roman" w:cs="Times New Roman" w:eastAsia="Times New Roman" w:hAnsi="Times New Roman"/>
                <w:sz w:val="17"/>
                <w:szCs w:val="17"/>
                <w:color w:val="auto"/>
              </w:rPr>
              <w:t>(4.38%)</w:t>
            </w:r>
          </w:p>
        </w:tc>
      </w:tr>
      <w:tr>
        <w:trPr>
          <w:trHeight w:val="194"/>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Collateral</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dependent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20.00-</w:t>
            </w:r>
          </w:p>
        </w:tc>
      </w:tr>
      <w:tr>
        <w:trPr>
          <w:trHeight w:val="203"/>
        </w:trPr>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impaired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29.01%</w:t>
            </w: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2,667</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Collateral based measurements</w:t>
            </w:r>
          </w:p>
        </w:tc>
        <w:tc>
          <w:tcPr>
            <w:tcW w:w="5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Discount to reflect current market conditions and ultimate collectability</w:t>
            </w:r>
          </w:p>
        </w:tc>
        <w:tc>
          <w:tcPr>
            <w:tcW w:w="144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(24.13%)</w:t>
            </w:r>
          </w:p>
        </w:tc>
      </w:tr>
      <w:tr>
        <w:trPr>
          <w:trHeight w:val="202"/>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Mortgage</w:t>
            </w: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80" w:type="dxa"/>
            <w:vAlign w:val="bottom"/>
            <w:shd w:val="clear" w:color="auto" w:fill="CFF0FC"/>
          </w:tcPr>
          <w:p>
            <w:pPr>
              <w:spacing w:after="0"/>
              <w:rPr>
                <w:sz w:val="17"/>
                <w:szCs w:val="17"/>
                <w:color w:val="auto"/>
              </w:rPr>
            </w:pPr>
          </w:p>
        </w:tc>
        <w:tc>
          <w:tcPr>
            <w:tcW w:w="57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03"/>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servicing</w:t>
            </w: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80" w:type="dxa"/>
            <w:vAlign w:val="bottom"/>
            <w:shd w:val="clear" w:color="auto" w:fill="CFF0FC"/>
          </w:tcPr>
          <w:p>
            <w:pPr>
              <w:spacing w:after="0"/>
              <w:rPr>
                <w:sz w:val="17"/>
                <w:szCs w:val="17"/>
                <w:color w:val="auto"/>
              </w:rPr>
            </w:pPr>
          </w:p>
        </w:tc>
        <w:tc>
          <w:tcPr>
            <w:tcW w:w="5720" w:type="dxa"/>
            <w:vAlign w:val="bottom"/>
            <w:shd w:val="clear" w:color="auto" w:fill="CFF0FC"/>
          </w:tcPr>
          <w:p>
            <w:pPr>
              <w:spacing w:after="0"/>
              <w:rPr>
                <w:sz w:val="17"/>
                <w:szCs w:val="17"/>
                <w:color w:val="auto"/>
              </w:rPr>
            </w:pPr>
          </w:p>
        </w:tc>
        <w:tc>
          <w:tcPr>
            <w:tcW w:w="1440" w:type="dxa"/>
            <w:vAlign w:val="bottom"/>
            <w:shd w:val="clear" w:color="auto" w:fill="CFF0FC"/>
          </w:tcPr>
          <w:p>
            <w:pPr>
              <w:jc w:val="center"/>
              <w:ind w:left="475"/>
              <w:spacing w:after="0"/>
              <w:rPr>
                <w:sz w:val="20"/>
                <w:szCs w:val="20"/>
                <w:color w:val="auto"/>
              </w:rPr>
            </w:pPr>
            <w:r>
              <w:rPr>
                <w:rFonts w:ascii="Times New Roman" w:cs="Times New Roman" w:eastAsia="Times New Roman" w:hAnsi="Times New Roman"/>
                <w:sz w:val="17"/>
                <w:szCs w:val="17"/>
                <w:color w:val="auto"/>
              </w:rPr>
              <w:t>— %</w:t>
            </w:r>
          </w:p>
        </w:tc>
      </w:tr>
      <w:tr>
        <w:trPr>
          <w:trHeight w:val="238"/>
        </w:trPr>
        <w:tc>
          <w:tcPr>
            <w:tcW w:w="1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rights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Discounted Cash Flow</w:t>
            </w:r>
          </w:p>
        </w:tc>
        <w:tc>
          <w:tcPr>
            <w:tcW w:w="5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Constant prepayment rate and probability of default / Discount rate</w:t>
            </w:r>
          </w:p>
        </w:tc>
        <w:tc>
          <w:tcPr>
            <w:tcW w:w="1440" w:type="dxa"/>
            <w:vAlign w:val="bottom"/>
            <w:shd w:val="clear" w:color="auto" w:fill="CFF0FC"/>
          </w:tcPr>
          <w:p>
            <w:pPr>
              <w:jc w:val="center"/>
              <w:ind w:left="455"/>
              <w:spacing w:after="0"/>
              <w:rPr>
                <w:sz w:val="20"/>
                <w:szCs w:val="20"/>
                <w:color w:val="auto"/>
              </w:rPr>
            </w:pPr>
            <w:r>
              <w:rPr>
                <w:rFonts w:ascii="Times New Roman" w:cs="Times New Roman" w:eastAsia="Times New Roman" w:hAnsi="Times New Roman"/>
                <w:sz w:val="17"/>
                <w:szCs w:val="17"/>
                <w:color w:val="auto"/>
              </w:rPr>
              <w:t>( — )</w:t>
            </w:r>
          </w:p>
        </w:tc>
      </w:tr>
      <w:tr>
        <w:trPr>
          <w:trHeight w:val="194"/>
        </w:trPr>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440" w:type="dxa"/>
            <w:vAlign w:val="bottom"/>
          </w:tcPr>
          <w:p>
            <w:pPr>
              <w:jc w:val="center"/>
              <w:ind w:left="475"/>
              <w:spacing w:after="0" w:line="194" w:lineRule="exact"/>
              <w:rPr>
                <w:sz w:val="20"/>
                <w:szCs w:val="20"/>
                <w:color w:val="auto"/>
              </w:rPr>
            </w:pPr>
            <w:r>
              <w:rPr>
                <w:rFonts w:ascii="Times New Roman" w:cs="Times New Roman" w:eastAsia="Times New Roman" w:hAnsi="Times New Roman"/>
                <w:sz w:val="17"/>
                <w:szCs w:val="17"/>
                <w:color w:val="auto"/>
              </w:rPr>
              <w:t>— %</w:t>
            </w:r>
          </w:p>
        </w:tc>
      </w:tr>
      <w:tr>
        <w:trPr>
          <w:trHeight w:val="222"/>
        </w:trPr>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Appraisals</w:t>
            </w:r>
          </w:p>
        </w:tc>
        <w:tc>
          <w:tcPr>
            <w:tcW w:w="5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Discount to reflect current market</w:t>
            </w:r>
          </w:p>
        </w:tc>
        <w:tc>
          <w:tcPr>
            <w:tcW w:w="1440" w:type="dxa"/>
            <w:vAlign w:val="bottom"/>
          </w:tcPr>
          <w:p>
            <w:pPr>
              <w:jc w:val="center"/>
              <w:ind w:left="455"/>
              <w:spacing w:after="0"/>
              <w:rPr>
                <w:sz w:val="20"/>
                <w:szCs w:val="20"/>
                <w:color w:val="auto"/>
              </w:rPr>
            </w:pPr>
            <w:r>
              <w:rPr>
                <w:rFonts w:ascii="Times New Roman" w:cs="Times New Roman" w:eastAsia="Times New Roman" w:hAnsi="Times New Roman"/>
                <w:sz w:val="17"/>
                <w:szCs w:val="17"/>
                <w:color w:val="auto"/>
              </w:rPr>
              <w:t>( — )</w:t>
            </w:r>
          </w:p>
        </w:tc>
      </w:tr>
    </w:tbl>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Other real</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estate</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owned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624"/>
        </w:trPr>
        <w:tc>
          <w:tcPr>
            <w:tcW w:w="104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(In</w:t>
            </w: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Thousa</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1"/>
        </w:trPr>
        <w:tc>
          <w:tcPr>
            <w:tcW w:w="104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nds)</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94"/>
        </w:trPr>
        <w:tc>
          <w:tcPr>
            <w:tcW w:w="1040" w:type="dxa"/>
            <w:vAlign w:val="bottom"/>
          </w:tcPr>
          <w:p>
            <w:pPr>
              <w:spacing w:after="0"/>
              <w:rPr>
                <w:sz w:val="16"/>
                <w:szCs w:val="16"/>
                <w:color w:val="auto"/>
              </w:rPr>
            </w:pPr>
          </w:p>
        </w:tc>
        <w:tc>
          <w:tcPr>
            <w:tcW w:w="54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Fair</w:t>
            </w: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104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Value</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at</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04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Decem</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jc w:val="center"/>
              <w:ind w:left="435"/>
              <w:spacing w:after="0"/>
              <w:rPr>
                <w:sz w:val="20"/>
                <w:szCs w:val="20"/>
                <w:color w:val="auto"/>
              </w:rPr>
            </w:pPr>
            <w:r>
              <w:rPr>
                <w:rFonts w:ascii="Times New Roman" w:cs="Times New Roman" w:eastAsia="Times New Roman" w:hAnsi="Times New Roman"/>
                <w:sz w:val="17"/>
                <w:szCs w:val="17"/>
                <w:color w:val="auto"/>
              </w:rPr>
              <w:t>Range</w:t>
            </w:r>
          </w:p>
        </w:tc>
      </w:tr>
      <w:tr>
        <w:trPr>
          <w:trHeight w:val="203"/>
        </w:trPr>
        <w:tc>
          <w:tcPr>
            <w:tcW w:w="104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ber 31,</w:t>
            </w: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w w:val="97"/>
              </w:rPr>
              <w:t>(Weighted</w:t>
            </w:r>
          </w:p>
        </w:tc>
      </w:tr>
      <w:tr>
        <w:trPr>
          <w:trHeight w:val="231"/>
        </w:trPr>
        <w:tc>
          <w:tcPr>
            <w:tcW w:w="1040" w:type="dxa"/>
            <w:vAlign w:val="bottom"/>
          </w:tcPr>
          <w:p>
            <w:pPr>
              <w:spacing w:after="0"/>
              <w:rPr>
                <w:sz w:val="20"/>
                <w:szCs w:val="20"/>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120" w:type="dxa"/>
            <w:vAlign w:val="bottom"/>
          </w:tcPr>
          <w:p>
            <w:pPr>
              <w:spacing w:after="0"/>
              <w:rPr>
                <w:sz w:val="20"/>
                <w:szCs w:val="20"/>
                <w:color w:val="auto"/>
              </w:rPr>
            </w:pPr>
          </w:p>
        </w:tc>
        <w:tc>
          <w:tcPr>
            <w:tcW w:w="23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7"/>
                <w:szCs w:val="17"/>
                <w:color w:val="auto"/>
              </w:rPr>
              <w:t>Valuation Technique</w:t>
            </w:r>
          </w:p>
        </w:tc>
        <w:tc>
          <w:tcPr>
            <w:tcW w:w="5720" w:type="dxa"/>
            <w:vAlign w:val="bottom"/>
            <w:tcBorders>
              <w:bottom w:val="single" w:sz="8" w:color="auto"/>
            </w:tcBorders>
          </w:tcPr>
          <w:p>
            <w:pPr>
              <w:ind w:left="2540"/>
              <w:spacing w:after="0"/>
              <w:rPr>
                <w:sz w:val="20"/>
                <w:szCs w:val="20"/>
                <w:color w:val="auto"/>
              </w:rPr>
            </w:pPr>
            <w:r>
              <w:rPr>
                <w:rFonts w:ascii="Times New Roman" w:cs="Times New Roman" w:eastAsia="Times New Roman" w:hAnsi="Times New Roman"/>
                <w:sz w:val="17"/>
                <w:szCs w:val="17"/>
                <w:color w:val="auto"/>
              </w:rPr>
              <w:t>Unobservable Inputs</w:t>
            </w:r>
          </w:p>
        </w:tc>
        <w:tc>
          <w:tcPr>
            <w:tcW w:w="1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Average)</w:t>
            </w:r>
          </w:p>
        </w:tc>
      </w:tr>
      <w:tr>
        <w:trPr>
          <w:trHeight w:val="194"/>
        </w:trPr>
        <w:tc>
          <w:tcPr>
            <w:tcW w:w="104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7"/>
                <w:szCs w:val="17"/>
                <w:color w:val="auto"/>
              </w:rPr>
              <w:t>State and</w:t>
            </w:r>
          </w:p>
        </w:tc>
        <w:tc>
          <w:tcPr>
            <w:tcW w:w="5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380" w:type="dxa"/>
            <w:vAlign w:val="bottom"/>
            <w:shd w:val="clear" w:color="auto" w:fill="CFF0FC"/>
          </w:tcPr>
          <w:p>
            <w:pPr>
              <w:spacing w:after="0"/>
              <w:rPr>
                <w:sz w:val="16"/>
                <w:szCs w:val="16"/>
                <w:color w:val="auto"/>
              </w:rPr>
            </w:pPr>
          </w:p>
        </w:tc>
        <w:tc>
          <w:tcPr>
            <w:tcW w:w="572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203"/>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local</w:t>
            </w: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80" w:type="dxa"/>
            <w:vAlign w:val="bottom"/>
            <w:shd w:val="clear" w:color="auto" w:fill="CFF0FC"/>
          </w:tcPr>
          <w:p>
            <w:pPr>
              <w:spacing w:after="0"/>
              <w:rPr>
                <w:sz w:val="17"/>
                <w:szCs w:val="17"/>
                <w:color w:val="auto"/>
              </w:rPr>
            </w:pPr>
          </w:p>
        </w:tc>
        <w:tc>
          <w:tcPr>
            <w:tcW w:w="5720" w:type="dxa"/>
            <w:vAlign w:val="bottom"/>
            <w:shd w:val="clear" w:color="auto" w:fill="CFF0FC"/>
          </w:tcPr>
          <w:p>
            <w:pPr>
              <w:spacing w:after="0"/>
              <w:rPr>
                <w:sz w:val="17"/>
                <w:szCs w:val="17"/>
                <w:color w:val="auto"/>
              </w:rPr>
            </w:pPr>
          </w:p>
        </w:tc>
        <w:tc>
          <w:tcPr>
            <w:tcW w:w="1440" w:type="dxa"/>
            <w:vAlign w:val="bottom"/>
            <w:shd w:val="clear" w:color="auto" w:fill="CFF0FC"/>
          </w:tcPr>
          <w:p>
            <w:pPr>
              <w:jc w:val="center"/>
              <w:ind w:left="435"/>
              <w:spacing w:after="0"/>
              <w:rPr>
                <w:sz w:val="20"/>
                <w:szCs w:val="20"/>
                <w:color w:val="auto"/>
              </w:rPr>
            </w:pPr>
            <w:r>
              <w:rPr>
                <w:rFonts w:ascii="Times New Roman" w:cs="Times New Roman" w:eastAsia="Times New Roman" w:hAnsi="Times New Roman"/>
                <w:sz w:val="17"/>
                <w:szCs w:val="17"/>
                <w:color w:val="auto"/>
              </w:rPr>
              <w:t>0.21-1.77%</w:t>
            </w:r>
          </w:p>
        </w:tc>
      </w:tr>
      <w:tr>
        <w:trPr>
          <w:trHeight w:val="238"/>
        </w:trPr>
        <w:tc>
          <w:tcPr>
            <w:tcW w:w="15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government $ 4,773</w:t>
            </w:r>
          </w:p>
        </w:tc>
        <w:tc>
          <w:tcPr>
            <w:tcW w:w="12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Discounted Cash Flow</w:t>
            </w:r>
          </w:p>
        </w:tc>
        <w:tc>
          <w:tcPr>
            <w:tcW w:w="5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Credit strength of underlying project or entity / Discount rate</w:t>
            </w:r>
          </w:p>
        </w:tc>
        <w:tc>
          <w:tcPr>
            <w:tcW w:w="1440" w:type="dxa"/>
            <w:vAlign w:val="bottom"/>
            <w:shd w:val="clear" w:color="auto" w:fill="CFF0FC"/>
          </w:tcPr>
          <w:p>
            <w:pPr>
              <w:jc w:val="center"/>
              <w:ind w:left="475"/>
              <w:spacing w:after="0"/>
              <w:rPr>
                <w:sz w:val="20"/>
                <w:szCs w:val="20"/>
                <w:color w:val="auto"/>
              </w:rPr>
            </w:pPr>
            <w:r>
              <w:rPr>
                <w:rFonts w:ascii="Times New Roman" w:cs="Times New Roman" w:eastAsia="Times New Roman" w:hAnsi="Times New Roman"/>
                <w:sz w:val="17"/>
                <w:szCs w:val="17"/>
                <w:color w:val="auto"/>
              </w:rPr>
              <w:t>(1.33%)</w:t>
            </w:r>
          </w:p>
        </w:tc>
      </w:tr>
      <w:tr>
        <w:trPr>
          <w:trHeight w:val="194"/>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Collateral</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dependent</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20.00-</w:t>
            </w:r>
          </w:p>
        </w:tc>
      </w:tr>
      <w:tr>
        <w:trPr>
          <w:trHeight w:val="203"/>
        </w:trPr>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impaired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jc w:val="center"/>
              <w:ind w:left="415"/>
              <w:spacing w:after="0"/>
              <w:rPr>
                <w:sz w:val="20"/>
                <w:szCs w:val="20"/>
                <w:color w:val="auto"/>
              </w:rPr>
            </w:pPr>
            <w:r>
              <w:rPr>
                <w:rFonts w:ascii="Times New Roman" w:cs="Times New Roman" w:eastAsia="Times New Roman" w:hAnsi="Times New Roman"/>
                <w:sz w:val="17"/>
                <w:szCs w:val="17"/>
                <w:color w:val="auto"/>
              </w:rPr>
              <w:t>53.95%</w:t>
            </w:r>
          </w:p>
        </w:tc>
      </w:tr>
      <w:tr>
        <w:trPr>
          <w:trHeight w:val="230"/>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loans</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8,527</w:t>
            </w: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Collateral based measurements</w:t>
            </w:r>
          </w:p>
        </w:tc>
        <w:tc>
          <w:tcPr>
            <w:tcW w:w="5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Discount to reflect current market conditions and ultimate collectability</w:t>
            </w:r>
          </w:p>
        </w:tc>
        <w:tc>
          <w:tcPr>
            <w:tcW w:w="144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(34.78%)</w:t>
            </w:r>
          </w:p>
        </w:tc>
      </w:tr>
      <w:tr>
        <w:trPr>
          <w:trHeight w:val="202"/>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Mortgage</w:t>
            </w: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80" w:type="dxa"/>
            <w:vAlign w:val="bottom"/>
            <w:shd w:val="clear" w:color="auto" w:fill="CFF0FC"/>
          </w:tcPr>
          <w:p>
            <w:pPr>
              <w:spacing w:after="0"/>
              <w:rPr>
                <w:sz w:val="17"/>
                <w:szCs w:val="17"/>
                <w:color w:val="auto"/>
              </w:rPr>
            </w:pPr>
          </w:p>
        </w:tc>
        <w:tc>
          <w:tcPr>
            <w:tcW w:w="5720" w:type="dxa"/>
            <w:vAlign w:val="bottom"/>
            <w:shd w:val="clear" w:color="auto" w:fill="CFF0FC"/>
          </w:tcPr>
          <w:p>
            <w:pPr>
              <w:spacing w:after="0"/>
              <w:rPr>
                <w:sz w:val="17"/>
                <w:szCs w:val="17"/>
                <w:color w:val="auto"/>
              </w:rPr>
            </w:pPr>
          </w:p>
        </w:tc>
        <w:tc>
          <w:tcPr>
            <w:tcW w:w="1440" w:type="dxa"/>
            <w:vAlign w:val="bottom"/>
            <w:shd w:val="clear" w:color="auto" w:fill="CFF0FC"/>
          </w:tcPr>
          <w:p>
            <w:pPr>
              <w:jc w:val="center"/>
              <w:ind w:left="475"/>
              <w:spacing w:after="0"/>
              <w:rPr>
                <w:sz w:val="20"/>
                <w:szCs w:val="20"/>
                <w:color w:val="auto"/>
              </w:rPr>
            </w:pPr>
            <w:r>
              <w:rPr>
                <w:rFonts w:ascii="Times New Roman" w:cs="Times New Roman" w:eastAsia="Times New Roman" w:hAnsi="Times New Roman"/>
                <w:sz w:val="17"/>
                <w:szCs w:val="17"/>
                <w:color w:val="auto"/>
              </w:rPr>
              <w:t>1.94-</w:t>
            </w:r>
          </w:p>
        </w:tc>
      </w:tr>
      <w:tr>
        <w:trPr>
          <w:trHeight w:val="203"/>
        </w:trPr>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servicing</w:t>
            </w:r>
          </w:p>
        </w:tc>
        <w:tc>
          <w:tcPr>
            <w:tcW w:w="5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380" w:type="dxa"/>
            <w:vAlign w:val="bottom"/>
            <w:shd w:val="clear" w:color="auto" w:fill="CFF0FC"/>
          </w:tcPr>
          <w:p>
            <w:pPr>
              <w:spacing w:after="0"/>
              <w:rPr>
                <w:sz w:val="17"/>
                <w:szCs w:val="17"/>
                <w:color w:val="auto"/>
              </w:rPr>
            </w:pPr>
          </w:p>
        </w:tc>
        <w:tc>
          <w:tcPr>
            <w:tcW w:w="5720" w:type="dxa"/>
            <w:vAlign w:val="bottom"/>
            <w:shd w:val="clear" w:color="auto" w:fill="CFF0FC"/>
          </w:tcPr>
          <w:p>
            <w:pPr>
              <w:spacing w:after="0"/>
              <w:rPr>
                <w:sz w:val="17"/>
                <w:szCs w:val="17"/>
                <w:color w:val="auto"/>
              </w:rPr>
            </w:pPr>
          </w:p>
        </w:tc>
        <w:tc>
          <w:tcPr>
            <w:tcW w:w="1440" w:type="dxa"/>
            <w:vAlign w:val="bottom"/>
            <w:shd w:val="clear" w:color="auto" w:fill="CFF0FC"/>
          </w:tcPr>
          <w:p>
            <w:pPr>
              <w:jc w:val="center"/>
              <w:ind w:left="415"/>
              <w:spacing w:after="0"/>
              <w:rPr>
                <w:sz w:val="20"/>
                <w:szCs w:val="20"/>
                <w:color w:val="auto"/>
              </w:rPr>
            </w:pPr>
            <w:r>
              <w:rPr>
                <w:rFonts w:ascii="Times New Roman" w:cs="Times New Roman" w:eastAsia="Times New Roman" w:hAnsi="Times New Roman"/>
                <w:sz w:val="17"/>
                <w:szCs w:val="17"/>
                <w:color w:val="auto"/>
              </w:rPr>
              <w:t>27.70%</w:t>
            </w:r>
          </w:p>
        </w:tc>
      </w:tr>
      <w:tr>
        <w:trPr>
          <w:trHeight w:val="238"/>
        </w:trPr>
        <w:tc>
          <w:tcPr>
            <w:tcW w:w="1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7"/>
                <w:szCs w:val="17"/>
                <w:color w:val="auto"/>
              </w:rPr>
              <w:t>rights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3,157</w:t>
            </w:r>
          </w:p>
        </w:tc>
        <w:tc>
          <w:tcPr>
            <w:tcW w:w="120" w:type="dxa"/>
            <w:vAlign w:val="bottom"/>
            <w:shd w:val="clear" w:color="auto" w:fill="CFF0FC"/>
          </w:tcPr>
          <w:p>
            <w:pPr>
              <w:spacing w:after="0"/>
              <w:rPr>
                <w:sz w:val="20"/>
                <w:szCs w:val="20"/>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Discounted Cash Flow</w:t>
            </w:r>
          </w:p>
        </w:tc>
        <w:tc>
          <w:tcPr>
            <w:tcW w:w="57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7"/>
                <w:szCs w:val="17"/>
                <w:color w:val="auto"/>
              </w:rPr>
              <w:t>Constant prepayment rate and probability of default / Discount rate</w:t>
            </w:r>
          </w:p>
        </w:tc>
        <w:tc>
          <w:tcPr>
            <w:tcW w:w="1440" w:type="dxa"/>
            <w:vAlign w:val="bottom"/>
            <w:shd w:val="clear" w:color="auto" w:fill="CFF0FC"/>
          </w:tcPr>
          <w:p>
            <w:pPr>
              <w:jc w:val="center"/>
              <w:ind w:left="475"/>
              <w:spacing w:after="0"/>
              <w:rPr>
                <w:sz w:val="20"/>
                <w:szCs w:val="20"/>
                <w:color w:val="auto"/>
              </w:rPr>
            </w:pPr>
            <w:r>
              <w:rPr>
                <w:rFonts w:ascii="Times New Roman" w:cs="Times New Roman" w:eastAsia="Times New Roman" w:hAnsi="Times New Roman"/>
                <w:sz w:val="17"/>
                <w:szCs w:val="17"/>
                <w:color w:val="auto"/>
              </w:rPr>
              <w:t>(18.44%)</w:t>
            </w:r>
          </w:p>
        </w:tc>
      </w:tr>
      <w:tr>
        <w:trPr>
          <w:trHeight w:val="194"/>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Other real</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03"/>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estate</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owned -</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44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w w:val="99"/>
              </w:rPr>
              <w:t>32.72%</w:t>
            </w:r>
          </w:p>
        </w:tc>
      </w:tr>
      <w:tr>
        <w:trPr>
          <w:trHeight w:val="222"/>
        </w:trPr>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Appraisals</w:t>
            </w:r>
          </w:p>
        </w:tc>
        <w:tc>
          <w:tcPr>
            <w:tcW w:w="57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Discount to reflect current market</w:t>
            </w:r>
          </w:p>
        </w:tc>
        <w:tc>
          <w:tcPr>
            <w:tcW w:w="1440" w:type="dxa"/>
            <w:vAlign w:val="bottom"/>
          </w:tcPr>
          <w:p>
            <w:pPr>
              <w:jc w:val="center"/>
              <w:ind w:left="475"/>
              <w:spacing w:after="0"/>
              <w:rPr>
                <w:sz w:val="20"/>
                <w:szCs w:val="20"/>
                <w:color w:val="auto"/>
              </w:rPr>
            </w:pPr>
            <w:r>
              <w:rPr>
                <w:rFonts w:ascii="Times New Roman" w:cs="Times New Roman" w:eastAsia="Times New Roman" w:hAnsi="Times New Roman"/>
                <w:sz w:val="17"/>
                <w:szCs w:val="17"/>
                <w:color w:val="auto"/>
              </w:rPr>
              <w:t>(32.72%)</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18 – Condensed Financial Statements of Parent Company</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0"/>
        </w:trPr>
        <w:tc>
          <w:tcPr>
            <w:tcW w:w="532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(In Thousands)</w:t>
            </w: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2022</w:t>
            </w:r>
          </w:p>
        </w:tc>
        <w:tc>
          <w:tcPr>
            <w:tcW w:w="6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Interest-bearing time deposits</w:t>
            </w: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Dividends and accounts receivable from subsidiary</w:t>
            </w: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receivable - municipals / interest</w:t>
            </w: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bearing time deposits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Securities - municipals</w:t>
            </w: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319,371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346,382</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spacing w:after="0"/>
              <w:rPr>
                <w:sz w:val="24"/>
                <w:szCs w:val="24"/>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374,966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borrowings</w:t>
            </w: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Subordinated notes, net of unamortized issuance costs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payable</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1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48,242</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298,140</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297,167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346,382</w:t>
            </w:r>
          </w:p>
        </w:tc>
        <w:tc>
          <w:tcPr>
            <w:tcW w:w="2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374,966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Statements of Income and Comprehensive Income</w:t>
            </w:r>
          </w:p>
        </w:tc>
        <w:tc>
          <w:tcPr>
            <w:tcW w:w="1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53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2021</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1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44,285</w:t>
            </w:r>
          </w:p>
        </w:tc>
        <w:tc>
          <w:tcPr>
            <w:tcW w:w="28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23,200</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 municipals / interest-bearing time deposits</w:t>
            </w: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sales of available-for-sale securities</w:t>
            </w:r>
          </w:p>
        </w:tc>
        <w:tc>
          <w:tcPr>
            <w:tcW w:w="1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income</w:t>
            </w: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44,593</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23,746</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1,335</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1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2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2,078</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 and Equity in</w:t>
            </w:r>
          </w:p>
        </w:tc>
        <w:tc>
          <w:tcPr>
            <w:tcW w:w="1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Undistributed Earnings of Subsidiaries</w:t>
            </w: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21,668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Taxes (Benefit)</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(535 )</w:t>
            </w:r>
          </w:p>
        </w:tc>
        <w:tc>
          <w:tcPr>
            <w:tcW w:w="460" w:type="dxa"/>
            <w:vAlign w:val="bottom"/>
          </w:tcPr>
          <w:p>
            <w:pPr>
              <w:spacing w:after="0"/>
              <w:rPr>
                <w:sz w:val="20"/>
                <w:szCs w:val="20"/>
                <w:color w:val="auto"/>
              </w:rPr>
            </w:pPr>
          </w:p>
        </w:tc>
        <w:tc>
          <w:tcPr>
            <w:tcW w:w="112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(347 )</w:t>
            </w:r>
          </w:p>
        </w:tc>
        <w:tc>
          <w:tcPr>
            <w:tcW w:w="26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39"/>
        </w:trPr>
        <w:tc>
          <w:tcPr>
            <w:tcW w:w="532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42,364</w:t>
            </w:r>
          </w:p>
        </w:tc>
        <w:tc>
          <w:tcPr>
            <w:tcW w:w="28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22,015</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undistributed earnings of subsidiaries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(9,849 )</w:t>
            </w:r>
          </w:p>
        </w:tc>
        <w:tc>
          <w:tcPr>
            <w:tcW w:w="4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28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23,495</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gains (losses) on securities, net of taxes</w:t>
            </w:r>
          </w:p>
        </w:tc>
        <w:tc>
          <w:tcPr>
            <w:tcW w:w="1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(35,049 )</w:t>
            </w:r>
          </w:p>
        </w:tc>
        <w:tc>
          <w:tcPr>
            <w:tcW w:w="460" w:type="dxa"/>
            <w:vAlign w:val="bottom"/>
            <w:shd w:val="clear" w:color="auto" w:fill="CFF0FC"/>
          </w:tcPr>
          <w:p>
            <w:pPr>
              <w:spacing w:after="0"/>
              <w:rPr>
                <w:sz w:val="21"/>
                <w:szCs w:val="21"/>
                <w:color w:val="auto"/>
              </w:rPr>
            </w:pPr>
          </w:p>
        </w:tc>
        <w:tc>
          <w:tcPr>
            <w:tcW w:w="112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(8,881 )</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(2,534 )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14,614</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26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106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32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-5862955</wp:posOffset>
            </wp:positionV>
            <wp:extent cx="1243330" cy="33401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43330" cy="33401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-4756785</wp:posOffset>
            </wp:positionV>
            <wp:extent cx="68580" cy="1714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-4756785</wp:posOffset>
            </wp:positionV>
            <wp:extent cx="68580" cy="1714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-4431030</wp:posOffset>
            </wp:positionV>
            <wp:extent cx="68580" cy="18859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-4431030</wp:posOffset>
            </wp:positionV>
            <wp:extent cx="68580" cy="18859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-1002030</wp:posOffset>
            </wp:positionV>
            <wp:extent cx="77470" cy="16256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-1002030</wp:posOffset>
            </wp:positionV>
            <wp:extent cx="68580" cy="16256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16256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-685165</wp:posOffset>
            </wp:positionV>
            <wp:extent cx="77470" cy="18859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-685165</wp:posOffset>
            </wp:positionV>
            <wp:extent cx="68580" cy="18859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18859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5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6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0"/>
                <w:szCs w:val="20"/>
                <w:color w:val="auto"/>
              </w:rPr>
            </w:pPr>
          </w:p>
        </w:tc>
      </w:tr>
      <w:tr>
        <w:trPr>
          <w:trHeight w:val="24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23,495</w:t>
            </w:r>
          </w:p>
        </w:tc>
        <w:tc>
          <w:tcPr>
            <w:tcW w:w="2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100" w:type="dxa"/>
            <w:vAlign w:val="bottom"/>
          </w:tcPr>
          <w:p>
            <w:pPr>
              <w:spacing w:after="0"/>
              <w:rPr>
                <w:sz w:val="20"/>
                <w:szCs w:val="20"/>
                <w:color w:val="auto"/>
              </w:rPr>
            </w:pPr>
          </w:p>
        </w:tc>
      </w:tr>
      <w:tr>
        <w:trPr>
          <w:trHeight w:val="215"/>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5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undistributed net income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(1,480 )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(11,652 )</w:t>
            </w: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premiums on available-for-sale securities, net</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subordinated notes issuance fees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stock awards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sale of available-for-sale securities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(293 )</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(456 )</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FF0FC"/>
          </w:tcPr>
          <w:p>
            <w:pPr>
              <w:spacing w:after="0"/>
              <w:rPr>
                <w:sz w:val="21"/>
                <w:szCs w:val="21"/>
                <w:color w:val="auto"/>
              </w:rPr>
            </w:pPr>
          </w:p>
        </w:tc>
      </w:tr>
      <w:tr>
        <w:trPr>
          <w:trHeight w:val="232"/>
        </w:trPr>
        <w:tc>
          <w:tcPr>
            <w:tcW w:w="658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46,120</w:t>
            </w:r>
          </w:p>
        </w:tc>
        <w:tc>
          <w:tcPr>
            <w:tcW w:w="2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22,291</w:t>
            </w:r>
          </w:p>
        </w:tc>
        <w:tc>
          <w:tcPr>
            <w:tcW w:w="24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w:t>
            </w:r>
          </w:p>
        </w:tc>
        <w:tc>
          <w:tcPr>
            <w:tcW w:w="100" w:type="dxa"/>
            <w:vAlign w:val="bottom"/>
            <w:tcBorders>
              <w:top w:val="single" w:sz="8" w:color="CFF0FC"/>
            </w:tcBorders>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Activity in available-for-sale securities: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Maturities, prepayments and calls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Sales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Purchases</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(398 )</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(745 )</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Activity in certificates of deposit</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Maturities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Purchases</w:t>
            </w:r>
          </w:p>
        </w:tc>
        <w:tc>
          <w:tcPr>
            <w:tcW w:w="3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(498 )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used for acquisitions</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(9,806 )</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(79,235 )</w:t>
            </w: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6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(7,928 )</w:t>
            </w:r>
          </w:p>
        </w:tc>
        <w:tc>
          <w:tcPr>
            <w:tcW w:w="3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(70,174 )</w:t>
            </w: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(360 )</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(repayments) of other borrowings</w:t>
            </w:r>
          </w:p>
        </w:tc>
        <w:tc>
          <w:tcPr>
            <w:tcW w:w="3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(30,000 )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(308 )</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(338 )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(383 )</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subordinated notes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dividends</w:t>
            </w:r>
          </w:p>
        </w:tc>
        <w:tc>
          <w:tcPr>
            <w:tcW w:w="3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(10,276 )</w:t>
            </w:r>
          </w:p>
        </w:tc>
        <w:tc>
          <w:tcPr>
            <w:tcW w:w="3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(7,670 )</w:t>
            </w:r>
          </w:p>
        </w:tc>
        <w:tc>
          <w:tcPr>
            <w:tcW w:w="3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(7,186 )</w:t>
            </w:r>
          </w:p>
        </w:tc>
      </w:tr>
      <w:tr>
        <w:trPr>
          <w:trHeight w:val="20"/>
        </w:trPr>
        <w:tc>
          <w:tcPr>
            <w:tcW w:w="65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5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Pr>
          <w:p>
            <w:pPr>
              <w:spacing w:after="0"/>
              <w:rPr>
                <w:sz w:val="20"/>
                <w:szCs w:val="20"/>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(40,584 )</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61,413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(7,569 )</w:t>
            </w: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0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8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13,530</w:t>
            </w:r>
          </w:p>
        </w:tc>
        <w:tc>
          <w:tcPr>
            <w:tcW w:w="24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100" w:type="dxa"/>
            <w:vAlign w:val="bottom"/>
            <w:shd w:val="clear" w:color="auto" w:fill="CFF0FC"/>
          </w:tcPr>
          <w:p>
            <w:pPr>
              <w:spacing w:after="0"/>
              <w:rPr>
                <w:sz w:val="20"/>
                <w:szCs w:val="20"/>
                <w:color w:val="auto"/>
              </w:rPr>
            </w:pPr>
          </w:p>
        </w:tc>
      </w:tr>
      <w:tr>
        <w:trPr>
          <w:trHeight w:val="24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year</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100" w:type="dxa"/>
            <w:vAlign w:val="bottom"/>
          </w:tcPr>
          <w:p>
            <w:pPr>
              <w:spacing w:after="0"/>
              <w:rPr>
                <w:sz w:val="20"/>
                <w:szCs w:val="20"/>
                <w:color w:val="auto"/>
              </w:rPr>
            </w:pPr>
          </w:p>
        </w:tc>
      </w:tr>
      <w:tr>
        <w:trPr>
          <w:trHeight w:val="27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year</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2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19,293</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-3154045</wp:posOffset>
            </wp:positionV>
            <wp:extent cx="77470" cy="16256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-3154045</wp:posOffset>
            </wp:positionV>
            <wp:extent cx="68580" cy="16256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16256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-1602105</wp:posOffset>
            </wp:positionV>
            <wp:extent cx="77470" cy="16319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-1602105</wp:posOffset>
            </wp:positionV>
            <wp:extent cx="68580" cy="16319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16319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-668020</wp:posOffset>
            </wp:positionV>
            <wp:extent cx="77470" cy="1714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1714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1714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7747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7747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7" w:name="page108"/>
    <w:bookmarkEnd w:id="107"/>
    <w:p>
      <w:pPr>
        <w:ind w:left="20"/>
        <w:spacing w:after="0"/>
        <w:rPr>
          <w:sz w:val="20"/>
          <w:szCs w:val="20"/>
          <w:color w:val="auto"/>
        </w:rPr>
      </w:pPr>
      <w:r>
        <w:rPr>
          <w:rFonts w:ascii="Times New Roman" w:cs="Times New Roman" w:eastAsia="Times New Roman" w:hAnsi="Times New Roman"/>
          <w:sz w:val="18"/>
          <w:szCs w:val="18"/>
          <w:b w:val="1"/>
          <w:bCs w:val="1"/>
          <w:color w:val="auto"/>
        </w:rPr>
        <w:t>Farmers &amp; Merchants Bancorp, Inc. and Subsidiaries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December 31, 2022, 2021, 2020</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19 – Quarterly Financial Data</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Quarterly Financial Data - UNAUDITED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57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Quarter Ended in 2022</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5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Mar 31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June 30</w:t>
            </w:r>
          </w:p>
        </w:tc>
        <w:tc>
          <w:tcPr>
            <w:tcW w:w="2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Sep 30</w:t>
            </w:r>
          </w:p>
        </w:tc>
        <w:tc>
          <w:tcPr>
            <w:tcW w:w="22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 31</w:t>
            </w:r>
          </w:p>
        </w:tc>
        <w:tc>
          <w:tcPr>
            <w:tcW w:w="100" w:type="dxa"/>
            <w:vAlign w:val="bottom"/>
          </w:tcPr>
          <w:p>
            <w:pPr>
              <w:spacing w:after="0"/>
              <w:rPr>
                <w:sz w:val="20"/>
                <w:szCs w:val="20"/>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Summary of Income:</w:t>
            </w: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23,911</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25,847</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29,492</w:t>
            </w:r>
          </w:p>
        </w:tc>
        <w:tc>
          <w:tcPr>
            <w:tcW w:w="100" w:type="dxa"/>
            <w:vAlign w:val="bottom"/>
          </w:tcPr>
          <w:p>
            <w:pPr>
              <w:spacing w:after="0"/>
              <w:rPr>
                <w:sz w:val="20"/>
                <w:szCs w:val="20"/>
                <w:color w:val="auto"/>
              </w:rPr>
            </w:pPr>
          </w:p>
        </w:tc>
      </w:tr>
      <w:tr>
        <w:trPr>
          <w:trHeight w:val="247"/>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Income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22,583</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22,557</w:t>
            </w:r>
          </w:p>
        </w:tc>
        <w:tc>
          <w:tcPr>
            <w:tcW w:w="100" w:type="dxa"/>
            <w:vAlign w:val="bottom"/>
          </w:tcPr>
          <w:p>
            <w:pPr>
              <w:spacing w:after="0"/>
              <w:rPr>
                <w:sz w:val="20"/>
                <w:szCs w:val="20"/>
                <w:color w:val="auto"/>
              </w:rPr>
            </w:pPr>
          </w:p>
        </w:tc>
      </w:tr>
      <w:tr>
        <w:trPr>
          <w:trHeight w:val="24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loan loss</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of loan loss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(9,150 )</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(9,915 )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(9,739 )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(12,908 )</w:t>
            </w:r>
          </w:p>
        </w:tc>
      </w:tr>
      <w:tr>
        <w:trPr>
          <w:trHeight w:val="232"/>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11,207</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c>
          <w:tcPr>
            <w:tcW w:w="100" w:type="dxa"/>
            <w:vAlign w:val="bottom"/>
            <w:tcBorders>
              <w:top w:val="single" w:sz="8" w:color="CFF0FC"/>
            </w:tcBorders>
          </w:tcPr>
          <w:p>
            <w:pPr>
              <w:spacing w:after="0"/>
              <w:rPr>
                <w:sz w:val="20"/>
                <w:szCs w:val="20"/>
                <w:color w:val="auto"/>
              </w:rPr>
            </w:pPr>
          </w:p>
        </w:tc>
      </w:tr>
      <w:tr>
        <w:trPr>
          <w:trHeight w:val="24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7,188</w:t>
            </w:r>
          </w:p>
        </w:tc>
        <w:tc>
          <w:tcPr>
            <w:tcW w:w="10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12,955,107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12,957,126</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12,983,307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13,606,876</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9"/>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700"/>
              <w:spacing w:after="0"/>
              <w:rPr>
                <w:sz w:val="20"/>
                <w:szCs w:val="20"/>
                <w:color w:val="auto"/>
              </w:rPr>
            </w:pPr>
            <w:r>
              <w:rPr>
                <w:rFonts w:ascii="Times New Roman" w:cs="Times New Roman" w:eastAsia="Times New Roman" w:hAnsi="Times New Roman"/>
                <w:sz w:val="18"/>
                <w:szCs w:val="18"/>
                <w:color w:val="auto"/>
              </w:rPr>
              <w:t>Quarter Ended in 2021</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5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Mar 31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June 30</w:t>
            </w:r>
          </w:p>
        </w:tc>
        <w:tc>
          <w:tcPr>
            <w:tcW w:w="2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Sep 30</w:t>
            </w:r>
          </w:p>
        </w:tc>
        <w:tc>
          <w:tcPr>
            <w:tcW w:w="22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Dec 31</w:t>
            </w:r>
          </w:p>
        </w:tc>
        <w:tc>
          <w:tcPr>
            <w:tcW w:w="100" w:type="dxa"/>
            <w:vAlign w:val="bottom"/>
          </w:tcPr>
          <w:p>
            <w:pPr>
              <w:spacing w:after="0"/>
              <w:rPr>
                <w:sz w:val="20"/>
                <w:szCs w:val="20"/>
                <w:color w:val="auto"/>
              </w:rPr>
            </w:pPr>
          </w:p>
        </w:tc>
      </w:tr>
      <w:tr>
        <w:trPr>
          <w:trHeight w:val="241"/>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Summary of Income:</w:t>
            </w:r>
          </w:p>
        </w:tc>
        <w:tc>
          <w:tcPr>
            <w:tcW w:w="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16,765</w:t>
            </w:r>
          </w:p>
        </w:tc>
        <w:tc>
          <w:tcPr>
            <w:tcW w:w="2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17,530</w:t>
            </w:r>
          </w:p>
        </w:tc>
        <w:tc>
          <w:tcPr>
            <w:tcW w:w="2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22,423</w:t>
            </w:r>
          </w:p>
        </w:tc>
        <w:tc>
          <w:tcPr>
            <w:tcW w:w="100" w:type="dxa"/>
            <w:vAlign w:val="bottom"/>
          </w:tcPr>
          <w:p>
            <w:pPr>
              <w:spacing w:after="0"/>
              <w:rPr>
                <w:sz w:val="20"/>
                <w:szCs w:val="20"/>
                <w:color w:val="auto"/>
              </w:rPr>
            </w:pPr>
          </w:p>
        </w:tc>
      </w:tr>
      <w:tr>
        <w:trPr>
          <w:trHeight w:val="247"/>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1,728</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Interest Income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15,037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00" w:type="dxa"/>
            <w:vAlign w:val="bottom"/>
          </w:tcPr>
          <w:p>
            <w:pPr>
              <w:spacing w:after="0"/>
              <w:rPr>
                <w:sz w:val="20"/>
                <w:szCs w:val="20"/>
                <w:color w:val="auto"/>
              </w:rPr>
            </w:pPr>
          </w:p>
        </w:tc>
      </w:tr>
      <w:tr>
        <w:trPr>
          <w:trHeight w:val="24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loan loss</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1,700</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 after provision for loan loss</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13,337</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19,591</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(7,368 )</w:t>
            </w: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(9,033 )</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(10,247 )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(9,909 )</w:t>
            </w:r>
          </w:p>
        </w:tc>
      </w:tr>
      <w:tr>
        <w:trPr>
          <w:trHeight w:val="232"/>
        </w:trPr>
        <w:tc>
          <w:tcPr>
            <w:tcW w:w="57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2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5,969</w:t>
            </w:r>
          </w:p>
        </w:tc>
        <w:tc>
          <w:tcPr>
            <w:tcW w:w="24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24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9,682</w:t>
            </w:r>
          </w:p>
        </w:tc>
        <w:tc>
          <w:tcPr>
            <w:tcW w:w="100" w:type="dxa"/>
            <w:vAlign w:val="bottom"/>
            <w:tcBorders>
              <w:top w:val="single" w:sz="8" w:color="CFF0FC"/>
            </w:tcBorders>
          </w:tcPr>
          <w:p>
            <w:pPr>
              <w:spacing w:after="0"/>
              <w:rPr>
                <w:sz w:val="20"/>
                <w:szCs w:val="20"/>
                <w:color w:val="auto"/>
              </w:rPr>
            </w:pPr>
          </w:p>
        </w:tc>
      </w:tr>
      <w:tr>
        <w:trPr>
          <w:trHeight w:val="24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4,909</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7,683</w:t>
            </w:r>
          </w:p>
        </w:tc>
        <w:tc>
          <w:tcPr>
            <w:tcW w:w="100" w:type="dxa"/>
            <w:vAlign w:val="bottom"/>
          </w:tcPr>
          <w:p>
            <w:pPr>
              <w:spacing w:after="0"/>
              <w:rPr>
                <w:sz w:val="20"/>
                <w:szCs w:val="20"/>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11,197,012</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11,191,043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11,209,732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13,046,299</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-4062730</wp:posOffset>
            </wp:positionV>
            <wp:extent cx="77470" cy="16319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-4062730</wp:posOffset>
            </wp:positionV>
            <wp:extent cx="68580" cy="16319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-4062730</wp:posOffset>
            </wp:positionV>
            <wp:extent cx="68580" cy="16319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-4062730</wp:posOffset>
            </wp:positionV>
            <wp:extent cx="68580" cy="16319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-3745230</wp:posOffset>
            </wp:positionV>
            <wp:extent cx="77470" cy="16319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-3745230</wp:posOffset>
            </wp:positionV>
            <wp:extent cx="68580" cy="16319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-3745230</wp:posOffset>
            </wp:positionV>
            <wp:extent cx="68580" cy="16319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16319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-3428365</wp:posOffset>
            </wp:positionV>
            <wp:extent cx="77470" cy="16256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7470" cy="16256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-3428365</wp:posOffset>
            </wp:positionV>
            <wp:extent cx="68580" cy="16256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-3428365</wp:posOffset>
            </wp:positionV>
            <wp:extent cx="68580" cy="16256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16256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-3110865</wp:posOffset>
            </wp:positionV>
            <wp:extent cx="77470" cy="18859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-3110865</wp:posOffset>
            </wp:positionV>
            <wp:extent cx="68580" cy="18859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-3110865</wp:posOffset>
            </wp:positionV>
            <wp:extent cx="68580" cy="18859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18859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-2767965</wp:posOffset>
            </wp:positionV>
            <wp:extent cx="2726055" cy="2057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2726055" cy="20574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-1499235</wp:posOffset>
            </wp:positionV>
            <wp:extent cx="76835" cy="16256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-1499235</wp:posOffset>
            </wp:positionV>
            <wp:extent cx="68580" cy="16256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-1499235</wp:posOffset>
            </wp:positionV>
            <wp:extent cx="68580" cy="16256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-1499235</wp:posOffset>
            </wp:positionV>
            <wp:extent cx="68580" cy="16256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-1182370</wp:posOffset>
            </wp:positionV>
            <wp:extent cx="76835" cy="16319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-1182370</wp:posOffset>
            </wp:positionV>
            <wp:extent cx="68580" cy="16319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-1182370</wp:posOffset>
            </wp:positionV>
            <wp:extent cx="68580" cy="16319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16319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-864870</wp:posOffset>
            </wp:positionV>
            <wp:extent cx="76835" cy="16319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-864870</wp:posOffset>
            </wp:positionV>
            <wp:extent cx="68580" cy="16319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-864870</wp:posOffset>
            </wp:positionV>
            <wp:extent cx="68580" cy="16319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-864870</wp:posOffset>
            </wp:positionV>
            <wp:extent cx="68580" cy="16319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-548005</wp:posOffset>
            </wp:positionV>
            <wp:extent cx="76835" cy="18859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-548005</wp:posOffset>
            </wp:positionV>
            <wp:extent cx="68580" cy="18859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-548005</wp:posOffset>
            </wp:positionV>
            <wp:extent cx="68580" cy="18859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8859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-205105</wp:posOffset>
            </wp:positionV>
            <wp:extent cx="2717165" cy="20574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717165" cy="205740"/>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24, 2023, the Company announced the authorization by its Board of Directors for the Company’s repurchase, either on the open market, or in privately negotiated transactions, of up to 650,000 shares of its outstanding common stock commencing January 24, 2023 and ending December 31, 2023.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 CHANGE IN AND DISAGREEMENTS WITH ACCOUNTING AND FINANCIAL DISCLOSURE</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disagreements exist on accounting and financial disclosures or related matter.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22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MANAGEMENT REPORT REGARDING</w:t>
      </w:r>
    </w:p>
    <w:p>
      <w:pPr>
        <w:spacing w:after="0" w:line="2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DISCLOSURE CONTROLS AND PROCEDURES</w:t>
      </w:r>
    </w:p>
    <w:p>
      <w:pPr>
        <w:spacing w:after="0" w:line="9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December 31, 2022, pursuant to Exchange Act 13a-15. Based upon that evaluation, the Chief Executive Officer and Chief Financial Officer concluded that the Company’s disclosure controls and procedures were effective as of December 31, 2022, in timely alerting them to material information relating to the Company (including its consolidated subsidiaries) required to be included in the Company’s periodic SEC filings.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 REPORT REGARDING INTERNAL CONTROL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COMPLIANCE WITH DESIGNATED LAWS AND REGULATIONS</w:t>
      </w:r>
    </w:p>
    <w:p>
      <w:pPr>
        <w:spacing w:after="0" w:line="9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Management of Farmers &amp; Merchants Bancorp, Inc. and its subsidiary is responsible for preparing the Bank’s annual financial statements. Management is also responsible for establishing and maintaining internal control over financial reporting presented in conformity with both generally accepted accounting principles and regulatory reporting in conformity with the Federal Financial Institutions Examination Council Instructions for Consolidated Reports of Condition and Income (call report instructions). The Bank’s internal control contains monitoring mechanisms, and actions are taken to correct deficiencies identified.</w:t>
      </w:r>
    </w:p>
    <w:p>
      <w:pPr>
        <w:spacing w:after="0" w:line="183"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effectiveness of any internal control, including the possibility of human error and the circumvention or overriding of controls. Accordingly, even effective internal control can provide only reasonable assurance with respect to financial statement preparation. Further, because of changes in conditions, the effectiveness of internal control may vary over time.</w:t>
      </w:r>
    </w:p>
    <w:p>
      <w:pPr>
        <w:spacing w:after="0" w:line="176"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It is also management’s responsibility to ensure satisfactory compliance with all designated laws and regulations and in particular, those laws and regulations concerning loans to insiders. The federal laws concerning loans to insiders are codified at 12 USC 375a and 375b, and the federal regulations are set forth at 12 CFR 23.5, 31, and 215.</w:t>
      </w:r>
    </w:p>
    <w:p>
      <w:pPr>
        <w:spacing w:after="0" w:line="176"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Under the supervision and with the participation of our management, including our Principal Executive Officer and Principal Financial Officer, we conducted an evaluation of the effectiveness of our internal control over financial reporting based on the framework in the 2013 Internal Control – Integrated Framework issued by the Committee of Sponsoring Organizations of the Treadway Commission. Based on our evaluation under the framework in Internal Control – Integrated Framework, our management concluded that our internal control over financial reporting was effective as of December 31, 2022.</w:t>
      </w:r>
    </w:p>
    <w:p>
      <w:pPr>
        <w:spacing w:after="0" w:line="187"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that occurred during the Company’s fiscal quarter ended December 31, 2022 that has materially affected, or is reasonably likely to materially affect, the Company’s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right="3060"/>
        <w:spacing w:after="0" w:line="412"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9c. DISCLOSURE REGARDING FOREIGN JURISDICTIONS THAT PREVENT INSPECTIONS </w:t>
      </w:r>
      <w:r>
        <w:rPr>
          <w:rFonts w:ascii="Times New Roman" w:cs="Times New Roman" w:eastAsia="Times New Roman" w:hAnsi="Times New Roman"/>
          <w:sz w:val="18"/>
          <w:szCs w:val="18"/>
          <w:color w:val="auto"/>
        </w:rPr>
        <w:t>Not applicable.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AND EXECUTIVE OFFICERS OF THE REGISTRANT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6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4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information called for herein is presented below:</w:t>
            </w:r>
          </w:p>
        </w:tc>
        <w:tc>
          <w:tcPr>
            <w:tcW w:w="2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 Occupation or</w:t>
            </w:r>
          </w:p>
        </w:tc>
        <w:tc>
          <w:tcPr>
            <w:tcW w:w="16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Year First</w:t>
            </w:r>
          </w:p>
        </w:tc>
      </w:tr>
      <w:tr>
        <w:trPr>
          <w:trHeight w:val="198"/>
        </w:trPr>
        <w:tc>
          <w:tcPr>
            <w:tcW w:w="20" w:type="dxa"/>
            <w:vAlign w:val="bottom"/>
          </w:tcPr>
          <w:p>
            <w:pPr>
              <w:spacing w:after="0"/>
              <w:rPr>
                <w:sz w:val="17"/>
                <w:szCs w:val="17"/>
                <w:color w:val="auto"/>
              </w:rPr>
            </w:pPr>
          </w:p>
        </w:tc>
        <w:tc>
          <w:tcPr>
            <w:tcW w:w="4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7"/>
              </w:rPr>
              <w:t>Name</w:t>
            </w:r>
          </w:p>
        </w:tc>
        <w:tc>
          <w:tcPr>
            <w:tcW w:w="1880" w:type="dxa"/>
            <w:vAlign w:val="bottom"/>
          </w:tcPr>
          <w:p>
            <w:pPr>
              <w:spacing w:after="0"/>
              <w:rPr>
                <w:sz w:val="17"/>
                <w:szCs w:val="17"/>
                <w:color w:val="auto"/>
              </w:rPr>
            </w:pPr>
          </w:p>
        </w:tc>
        <w:tc>
          <w:tcPr>
            <w:tcW w:w="1720" w:type="dxa"/>
            <w:vAlign w:val="bottom"/>
            <w:gridSpan w:val="3"/>
          </w:tcPr>
          <w:p>
            <w:pPr>
              <w:ind w:left="720"/>
              <w:spacing w:after="0" w:line="198" w:lineRule="exact"/>
              <w:rPr>
                <w:sz w:val="20"/>
                <w:szCs w:val="20"/>
                <w:color w:val="auto"/>
              </w:rPr>
            </w:pPr>
            <w:r>
              <w:rPr>
                <w:rFonts w:ascii="Times New Roman" w:cs="Times New Roman" w:eastAsia="Times New Roman" w:hAnsi="Times New Roman"/>
                <w:sz w:val="18"/>
                <w:szCs w:val="18"/>
                <w:b w:val="1"/>
                <w:bCs w:val="1"/>
                <w:color w:val="auto"/>
              </w:rPr>
              <w:t>Age</w:t>
            </w:r>
          </w:p>
        </w:tc>
        <w:tc>
          <w:tcPr>
            <w:tcW w:w="5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Employment for Past Five Years</w:t>
            </w:r>
          </w:p>
        </w:tc>
        <w:tc>
          <w:tcPr>
            <w:tcW w:w="164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w w:val="98"/>
              </w:rPr>
              <w:t>Became Director</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J. Briggs</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68</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 Sr. Vice President of Business Development/Indiana</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2019</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Farmers &amp; Merchants State Bank</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Eugene N. Burkholder</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70</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Falor Farm Center, Inc.</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2012</w:t>
            </w:r>
          </w:p>
        </w:tc>
        <w:tc>
          <w:tcPr>
            <w:tcW w:w="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Lars B. Eller</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56</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CEO of the Company and</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2018</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Farmers &amp; Merchants State Bank</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68"/>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 Ellen Hornish</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69</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CEO, Hornish Bros, Inc. / Fountain City Leasing, Inc. / Advantage</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2013</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Powder Coating, Inc.</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C. Johnson</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70</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Hawk’s Clothing, Inc.</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1991</w:t>
            </w:r>
          </w:p>
        </w:tc>
        <w:tc>
          <w:tcPr>
            <w:tcW w:w="20" w:type="dxa"/>
            <w:vAlign w:val="bottom"/>
          </w:tcPr>
          <w:p>
            <w:pPr>
              <w:spacing w:after="0"/>
              <w:rPr>
                <w:sz w:val="24"/>
                <w:szCs w:val="24"/>
                <w:color w:val="auto"/>
              </w:rPr>
            </w:pPr>
          </w:p>
        </w:tc>
      </w:tr>
      <w:tr>
        <w:trPr>
          <w:trHeight w:val="486"/>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Lori A. Johnston</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61</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ProMedica Insurance Corporation</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Marcia S. Latta</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61</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of University Advancement,</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2009</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University of Findlay</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J. Planson</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63</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Planson Farms, Inc.</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2008</w:t>
            </w:r>
          </w:p>
        </w:tc>
        <w:tc>
          <w:tcPr>
            <w:tcW w:w="2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J. Sauder</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62</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2004</w:t>
            </w:r>
          </w:p>
        </w:tc>
        <w:tc>
          <w:tcPr>
            <w:tcW w:w="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Sauder Woodworking Co.</w:t>
            </w: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R. Simon</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53</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Founder &amp; Managing Member / Attorney</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Simon PLC Attorneys &amp; Counselors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 Brad Stamm</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70</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Educational Consultant of</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2016</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Stamm Management Group</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86"/>
        </w:trPr>
        <w:tc>
          <w:tcPr>
            <w:tcW w:w="2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P. Vernon</w:t>
            </w: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56</w:t>
            </w:r>
          </w:p>
        </w:tc>
        <w:tc>
          <w:tcPr>
            <w:tcW w:w="7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Owner, Licensed Funeral Director &amp; Embalmer</w:t>
            </w:r>
          </w:p>
        </w:tc>
        <w:tc>
          <w:tcPr>
            <w:tcW w:w="1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Vernon Family Funeral Homes</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3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Directors are elected annually at the annual meeting of shareholders.</w:t>
      </w:r>
    </w:p>
    <w:p>
      <w:pPr>
        <w:spacing w:after="0" w:line="22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509" w:right="699" w:bottom="1440" w:gutter="0" w:footer="0" w:header="0"/>
        </w:sectPr>
      </w:pPr>
    </w:p>
    <w:bookmarkStart w:id="110" w:name="page111"/>
    <w:bookmarkEnd w:id="110"/>
    <w:tbl>
      <w:tblPr>
        <w:tblLayout w:type="fixed"/>
        <w:tblInd w:w="10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EXECUTIVE OFFICERS</w:t>
            </w:r>
          </w:p>
        </w:tc>
        <w:tc>
          <w:tcPr>
            <w:tcW w:w="3400" w:type="dxa"/>
            <w:vAlign w:val="bottom"/>
            <w:gridSpan w:val="2"/>
          </w:tcPr>
          <w:p>
            <w:pPr>
              <w:spacing w:after="0"/>
              <w:rPr>
                <w:sz w:val="17"/>
                <w:szCs w:val="17"/>
                <w:color w:val="auto"/>
              </w:rPr>
            </w:pPr>
          </w:p>
        </w:tc>
      </w:tr>
      <w:tr>
        <w:trPr>
          <w:trHeight w:val="448"/>
        </w:trPr>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Principal Occupation &amp; Offices Held with</w:t>
            </w:r>
          </w:p>
        </w:tc>
      </w:tr>
      <w:tr>
        <w:trPr>
          <w:trHeight w:val="194"/>
        </w:trPr>
        <w:tc>
          <w:tcPr>
            <w:tcW w:w="4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7"/>
              </w:rPr>
              <w:t>Name</w:t>
            </w: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Age</w:t>
            </w:r>
          </w:p>
        </w:tc>
        <w:tc>
          <w:tcPr>
            <w:tcW w:w="4700" w:type="dxa"/>
            <w:vAlign w:val="bottom"/>
            <w:gridSpan w:val="4"/>
          </w:tcPr>
          <w:p>
            <w:pPr>
              <w:ind w:left="300"/>
              <w:spacing w:after="0" w:line="194" w:lineRule="exact"/>
              <w:rPr>
                <w:sz w:val="20"/>
                <w:szCs w:val="20"/>
                <w:color w:val="auto"/>
              </w:rPr>
            </w:pPr>
            <w:r>
              <w:rPr>
                <w:rFonts w:ascii="Times New Roman" w:cs="Times New Roman" w:eastAsia="Times New Roman" w:hAnsi="Times New Roman"/>
                <w:sz w:val="18"/>
                <w:szCs w:val="18"/>
                <w:color w:val="auto"/>
              </w:rPr>
              <w:t>Corporation &amp; Bank for Past Five Years</w:t>
            </w:r>
          </w:p>
        </w:tc>
      </w:tr>
      <w:tr>
        <w:trPr>
          <w:trHeight w:val="20"/>
        </w:trPr>
        <w:tc>
          <w:tcPr>
            <w:tcW w:w="44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90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507"/>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C. Johnson</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70</w:t>
            </w: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Chairman</w:t>
            </w:r>
          </w:p>
        </w:tc>
      </w:tr>
      <w:tr>
        <w:trPr>
          <w:trHeight w:val="548"/>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Lars B. Eller</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xml:space="preserve">President and Chief Executive Officer (“PEO”) </w:t>
            </w:r>
            <w:r>
              <w:rPr>
                <w:rFonts w:ascii="Times New Roman" w:cs="Times New Roman" w:eastAsia="Times New Roman" w:hAnsi="Times New Roman"/>
                <w:sz w:val="24"/>
                <w:szCs w:val="24"/>
                <w:color w:val="auto"/>
                <w:vertAlign w:val="superscript"/>
              </w:rPr>
              <w:t>(1) (2)</w:t>
            </w:r>
          </w:p>
        </w:tc>
      </w:tr>
      <w:tr>
        <w:trPr>
          <w:trHeight w:val="385"/>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Barbara J. Britenriker</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16"/>
        </w:trPr>
        <w:tc>
          <w:tcPr>
            <w:tcW w:w="4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700" w:type="dxa"/>
            <w:vAlign w:val="bottom"/>
            <w:gridSpan w:val="4"/>
          </w:tcPr>
          <w:p>
            <w:pPr>
              <w:ind w:left="300"/>
              <w:spacing w:after="0" w:line="216" w:lineRule="exact"/>
              <w:rPr>
                <w:sz w:val="20"/>
                <w:szCs w:val="20"/>
                <w:color w:val="auto"/>
              </w:rPr>
            </w:pPr>
            <w:r>
              <w:rPr>
                <w:rFonts w:ascii="Times New Roman" w:cs="Times New Roman" w:eastAsia="Times New Roman" w:hAnsi="Times New Roman"/>
                <w:sz w:val="18"/>
                <w:szCs w:val="18"/>
                <w:color w:val="auto"/>
                <w:w w:val="98"/>
              </w:rPr>
              <w:t xml:space="preserve">Chief Financial Officer (“PFO”) </w:t>
            </w:r>
            <w:r>
              <w:rPr>
                <w:rFonts w:ascii="Times New Roman" w:cs="Times New Roman" w:eastAsia="Times New Roman" w:hAnsi="Times New Roman"/>
                <w:sz w:val="24"/>
                <w:szCs w:val="24"/>
                <w:color w:val="auto"/>
                <w:w w:val="98"/>
                <w:vertAlign w:val="superscript"/>
              </w:rPr>
              <w:t>(1)</w:t>
            </w:r>
            <w:r>
              <w:rPr>
                <w:rFonts w:ascii="Times New Roman" w:cs="Times New Roman" w:eastAsia="Times New Roman" w:hAnsi="Times New Roman"/>
                <w:sz w:val="18"/>
                <w:szCs w:val="18"/>
                <w:color w:val="auto"/>
                <w:w w:val="98"/>
              </w:rPr>
              <w:t xml:space="preserve"> and Chief Retail Banking</w:t>
            </w:r>
          </w:p>
        </w:tc>
      </w:tr>
      <w:tr>
        <w:trPr>
          <w:trHeight w:val="317"/>
        </w:trPr>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xml:space="preserve">Officer </w:t>
            </w:r>
            <w:r>
              <w:rPr>
                <w:rFonts w:ascii="Times New Roman" w:cs="Times New Roman" w:eastAsia="Times New Roman" w:hAnsi="Times New Roman"/>
                <w:sz w:val="24"/>
                <w:szCs w:val="24"/>
                <w:color w:val="auto"/>
                <w:vertAlign w:val="superscript"/>
              </w:rPr>
              <w:t>(3)</w:t>
            </w:r>
          </w:p>
        </w:tc>
      </w:tr>
      <w:tr>
        <w:trPr>
          <w:trHeight w:val="385"/>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Rex D. Rice</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317"/>
        </w:trPr>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xml:space="preserve">and Chief Lending Officer </w:t>
            </w:r>
            <w:r>
              <w:rPr>
                <w:rFonts w:ascii="Times New Roman" w:cs="Times New Roman" w:eastAsia="Times New Roman" w:hAnsi="Times New Roman"/>
                <w:sz w:val="24"/>
                <w:szCs w:val="24"/>
                <w:color w:val="auto"/>
                <w:vertAlign w:val="superscript"/>
              </w:rPr>
              <w:t>(4)</w:t>
            </w:r>
          </w:p>
        </w:tc>
      </w:tr>
      <w:tr>
        <w:trPr>
          <w:trHeight w:val="385"/>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Benet S. Rupp</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317"/>
        </w:trPr>
        <w:tc>
          <w:tcPr>
            <w:tcW w:w="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 xml:space="preserve">and Chief Administrative Officer </w:t>
            </w:r>
            <w:r>
              <w:rPr>
                <w:rFonts w:ascii="Times New Roman" w:cs="Times New Roman" w:eastAsia="Times New Roman" w:hAnsi="Times New Roman"/>
                <w:sz w:val="24"/>
                <w:szCs w:val="24"/>
                <w:color w:val="auto"/>
                <w:vertAlign w:val="superscript"/>
              </w:rPr>
              <w:t>(5)</w:t>
            </w:r>
          </w:p>
        </w:tc>
      </w:tr>
    </w:tbl>
    <w:p>
      <w:pPr>
        <w:spacing w:after="0" w:line="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2"/>
          <w:szCs w:val="12"/>
          <w:color w:val="auto"/>
        </w:rPr>
        <w:t>___________________________________________________________________________________________________________________________________</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designation PEO means principal executive officer and PFO means principal financial officer under the  rules of the SEC.</w:t>
      </w:r>
    </w:p>
    <w:p>
      <w:pPr>
        <w:spacing w:after="0" w:line="176" w:lineRule="exact"/>
        <w:rPr>
          <w:sz w:val="20"/>
          <w:szCs w:val="20"/>
          <w:color w:val="auto"/>
        </w:rPr>
      </w:pPr>
    </w:p>
    <w:p>
      <w:pPr>
        <w:ind w:left="560" w:hanging="189"/>
        <w:spacing w:after="0" w:line="223" w:lineRule="auto"/>
        <w:tabs>
          <w:tab w:leader="none" w:pos="573"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From 2013-2017, Mr. Eller was Executive Vice President and Chief Retail Banking Officer of Royal Bank America in Philadelphia. From January 1, 2018, until June 30, 2018, Mr. Eller was a consultant for Cambridge Savings Bank in Massachusetts.</w:t>
      </w:r>
    </w:p>
    <w:p>
      <w:pPr>
        <w:spacing w:after="0" w:line="212" w:lineRule="exact"/>
        <w:rPr>
          <w:rFonts w:ascii="Times New Roman" w:cs="Times New Roman" w:eastAsia="Times New Roman" w:hAnsi="Times New Roman"/>
          <w:sz w:val="24"/>
          <w:szCs w:val="24"/>
          <w:color w:val="auto"/>
          <w:vertAlign w:val="superscript"/>
        </w:rPr>
      </w:pPr>
    </w:p>
    <w:p>
      <w:pPr>
        <w:ind w:left="560" w:hanging="189"/>
        <w:spacing w:after="0" w:line="223" w:lineRule="auto"/>
        <w:tabs>
          <w:tab w:leader="none" w:pos="568"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Ms. Britenriker was appointed to serve as the Chief Retail Banking Officer of the Bank on January 7, 2019 and will also remain as the Chief Financial Officer of the Company.</w:t>
      </w:r>
    </w:p>
    <w:p>
      <w:pPr>
        <w:spacing w:after="0" w:line="212" w:lineRule="exact"/>
        <w:rPr>
          <w:rFonts w:ascii="Times New Roman" w:cs="Times New Roman" w:eastAsia="Times New Roman" w:hAnsi="Times New Roman"/>
          <w:sz w:val="24"/>
          <w:szCs w:val="24"/>
          <w:color w:val="auto"/>
          <w:vertAlign w:val="superscript"/>
        </w:rPr>
      </w:pPr>
    </w:p>
    <w:p>
      <w:pPr>
        <w:ind w:left="560" w:hanging="189"/>
        <w:spacing w:after="0" w:line="223" w:lineRule="auto"/>
        <w:tabs>
          <w:tab w:leader="none" w:pos="577"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Mr. Rice was the Executive Vice President and Senior Commercial Banking Manager until January 31, 2020. Mr. Rice assumed the position of Chief Lending Officer of the Bank effective upon the retirement of Todd Graham as of February 1, 2020.</w:t>
      </w:r>
    </w:p>
    <w:p>
      <w:pPr>
        <w:spacing w:after="0" w:line="212" w:lineRule="exact"/>
        <w:rPr>
          <w:rFonts w:ascii="Times New Roman" w:cs="Times New Roman" w:eastAsia="Times New Roman" w:hAnsi="Times New Roman"/>
          <w:sz w:val="24"/>
          <w:szCs w:val="24"/>
          <w:color w:val="auto"/>
          <w:vertAlign w:val="superscript"/>
        </w:rPr>
      </w:pPr>
    </w:p>
    <w:p>
      <w:pPr>
        <w:ind w:left="560" w:hanging="189"/>
        <w:spacing w:after="0" w:line="223" w:lineRule="auto"/>
        <w:tabs>
          <w:tab w:leader="none" w:pos="567" w:val="left"/>
        </w:tabs>
        <w:numPr>
          <w:ilvl w:val="0"/>
          <w:numId w:val="1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Ms. Rupp joined the Company in June 2019 and was the Sr. Vice President and Chief People Officer until August 23, 2022. Ms. Rupp was appointed to serve as the Executive Vice President and Chief Administrative Office of the Bank on August 23, 2022.</w:t>
      </w:r>
    </w:p>
    <w:p>
      <w:pPr>
        <w:spacing w:after="0" w:line="19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remaining information required by Item 401 of Regulation S-K is presented in the proxy statement to be furnished in connection with the solicitation of proxies on behalf of the Board of Directors of the Registrant for use at its Annual Meeting to be held on April 17, 2023, and is incorporated herein by reference to the sections of the proxy statement captioned "Nominations for Members of the Board of Director,” “Our Board Composition” and “PROPOSAL ONE – Election of Directors and Information Concerning Directors and Officers.” The information called for under Item 405 of Regulation S-K and called for under paragraphs (d)(4) and (d)(5) of Item 407 is presented in the proxy statement to be furnished in connection with the solicitation of proxies on behalf of the Board of Directors of the Registrant for use at its Annual Meeting to be held on April 17, 2023, and is incorporated herein by reference to the sections of the proxy statement captioned “Delinquent Section 16(a) Reports,” “Audit Committee Report” and “Committees of the Board of Directors.”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Board of Directors of the Company adopted a Code of Business Conduct and Ethics (the “Code”) at its meeting on February 13, 2004. While the Sarbanes-Oxley Act of 2002 mandates the adoption of a code of ethics for the most senior executive officers of all public companies, the Code adopted by the Corporation's Board of Directors is broader in the activities covered and applies to all officers, directors and employees of the Corporation and the Bank, including the chief executive officer, chief financial officer, principal accounting officer and other senior officers performing accounting, auditing, financial management or similar functions. The administration of the Code has been delegated to the Audit Committee of the Board of Directors, a Committee comprised entirely of “independent directors.” The Code addresses topics such as compliance with laws and regulations, honest and ethical conduct, conflicts of interest, confidentiality and protection of Corporation assets, fair dealing and accurate and timely periodic reports, and also provides for enforcement mechanisms. The Board and management of the Corporation intends to continue to monitor not only the developing legal requirements in this area, but also the best practices of comparable companies, to assure</w:t>
      </w:r>
    </w:p>
    <w:p>
      <w:pPr>
        <w:spacing w:after="0" w:line="19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75" w:right="33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color w:val="auto"/>
        </w:rPr>
        <w:t>that the Corporation maintains sound corporate governance practices in the future. Annual testing and review of the Code is conducted and attested to by signatures of all officers and directors of the Company.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copy of the Corporation's Code is available on the website of the Bank (www.fm.bank). In addition, a copy of the Code is available to any shareholder free of charge upon request. Shareholders desiring a copy of the Code should address written requests to Mr. Lars B. Eller, President, Chief Executive Officer of Farmers &amp; Merchants Bancorp, Inc., 307 North Defiance Street, Archbold, Ohio 43502, and are asked to mark Code of Business Conduct and Ethics on the outside of the envelope containing the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405"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12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information called for herein by Item 402 and paragraphs (e)(4) and (e)(5) of Item 407, Regulations S-K is presented in the proxy statement to be furnished in connection with the solicitation of proxies on behalf of the Board of Directors of the Registrant for use at its Annual Meeting to be held on April 17, 2023, and is incorporated herein by reference to the sections of the proxy statement captioned “Compensation Discussion and Analysis,” “Compensation Committee Report on Executive Compensation,” and “Related Party Transactions.”</w:t>
      </w:r>
    </w:p>
    <w:p>
      <w:pPr>
        <w:spacing w:after="0" w:line="28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51"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information called for by Item 403 of Regulation S-K is presented in the proxy statement to be furnished in connection with the solicitation of proxies on behalf of the Board of Directors of the Registrant for use at its Annual Meeting to be held Monday, April 17, 2023 and is incorporated herein by reference to the section of the proxy statement captioned “Security Ownership of Certain Beneficial Owners and Named Executive Officers.”</w:t>
      </w:r>
    </w:p>
    <w:p>
      <w:pPr>
        <w:spacing w:after="0" w:line="180" w:lineRule="exact"/>
        <w:rPr>
          <w:sz w:val="20"/>
          <w:szCs w:val="20"/>
          <w:color w:val="auto"/>
        </w:rPr>
      </w:pPr>
    </w:p>
    <w:p>
      <w:pPr>
        <w:jc w:val="both"/>
        <w:ind w:left="760"/>
        <w:spacing w:after="0" w:line="254" w:lineRule="auto"/>
        <w:rPr>
          <w:sz w:val="20"/>
          <w:szCs w:val="20"/>
          <w:color w:val="auto"/>
        </w:rPr>
      </w:pPr>
      <w:r>
        <w:rPr>
          <w:rFonts w:ascii="Times New Roman" w:cs="Times New Roman" w:eastAsia="Times New Roman" w:hAnsi="Times New Roman"/>
          <w:sz w:val="18"/>
          <w:szCs w:val="18"/>
          <w:color w:val="auto"/>
        </w:rPr>
        <w:t>On April 16, 2015 the Company’s shareholders approved the Farmers &amp; Merchants Bancorp, Inc. 2015 Long-Term Stock Incentive Plan (which replaced the expired 2005 Long-Term Stock Incentive Plan). The plan authorizes the issuance of up to 1,600,000 (adjusted for a two-for-one stock split) of the Company’s common shares in the form of stock options, restricted stock, performance shares, and unrestricted stock to employees of the Company and its subsidiaries. To date, the Company has only made awards of restricted stock under the Plan, which awards are subject to time vesting. This requires the executive or employee to remain employed with the Company or the Bank, as the case may be, until the awards have vested, or such shares of restricted stock will be forfeited. During 2022, 56,496 shares were awarded to 109 employees and 8,000 were forfeited under its long term incentive plan. At year-end, 2022, the Company held 956,003 shares in Treasury stock and 128,952 in unearned stock awards.</w:t>
      </w:r>
    </w:p>
    <w:p>
      <w:pPr>
        <w:spacing w:after="0" w:line="192" w:lineRule="exact"/>
        <w:rPr>
          <w:sz w:val="20"/>
          <w:szCs w:val="20"/>
          <w:color w:val="auto"/>
        </w:rPr>
      </w:pPr>
    </w:p>
    <w:p>
      <w:pPr>
        <w:jc w:val="both"/>
        <w:ind w:left="760"/>
        <w:spacing w:after="0" w:line="253" w:lineRule="auto"/>
        <w:rPr>
          <w:sz w:val="20"/>
          <w:szCs w:val="20"/>
          <w:color w:val="auto"/>
        </w:rPr>
      </w:pPr>
      <w:r>
        <w:rPr>
          <w:rFonts w:ascii="Times New Roman" w:cs="Times New Roman" w:eastAsia="Times New Roman" w:hAnsi="Times New Roman"/>
          <w:sz w:val="18"/>
          <w:szCs w:val="18"/>
          <w:color w:val="auto"/>
        </w:rPr>
        <w:t>The Compensation Committee of the Company has determined that it is appropriate to award shares of the common stock of the Company to Outside Directors and Employees that are officers of the Company or the Bank who also serve as Directors of the Company and the Bank as a portion of their retainer for services rendered as Directors of the Company and the Bank. The Committee believes that it is appropriate to award the Directors shares equal to a specific dollar amount, rounded to the nearest whole share on an annual basis commencing on June 5, 2020 and thereafter on the first Friday of June in each year. Directors receive a prorated dollar value of shares for a partial year of service. The value for the shares is to be based upon the closing price for shares on June 4, 2020 and thereafter on the first Thursday in June each year. On June 5, 2020, each Director received approximately $4,000 worth of shares which equated to 176 shares. On November 20, 2020, a new director received 20 prorated shares. On June 4, 2021, ten directors received approximately $6,000 worth of shares which equated to 272 shares while four directors received a prorated value of shares. On October 1, 2021, a new director received 68 prorated shares. On June 3, 2022, twelve directors each received $10,013 which equated to 240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80" w:type="dxa"/>
            <w:vAlign w:val="bottom"/>
          </w:tcPr>
          <w:p>
            <w:pPr>
              <w:spacing w:after="0"/>
              <w:rPr>
                <w:sz w:val="20"/>
                <w:szCs w:val="20"/>
                <w:color w:val="auto"/>
              </w:rPr>
            </w:pPr>
          </w:p>
        </w:tc>
        <w:tc>
          <w:tcPr>
            <w:tcW w:w="61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color w:val="auto"/>
              </w:rPr>
              <w:t>Equity Compensation Plan Information</w:t>
            </w:r>
          </w:p>
        </w:tc>
        <w:tc>
          <w:tcPr>
            <w:tcW w:w="100" w:type="dxa"/>
            <w:vAlign w:val="bottom"/>
          </w:tcPr>
          <w:p>
            <w:pPr>
              <w:spacing w:after="0"/>
              <w:rPr>
                <w:sz w:val="20"/>
                <w:szCs w:val="20"/>
                <w:color w:val="auto"/>
              </w:rPr>
            </w:pPr>
          </w:p>
        </w:tc>
      </w:tr>
      <w:tr>
        <w:trPr>
          <w:trHeight w:val="211"/>
        </w:trPr>
        <w:tc>
          <w:tcPr>
            <w:tcW w:w="4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securities remaining</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available for future</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securities to be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issuance under</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issued upon exercise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Weighted-average</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equity compensation</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72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of outstanding</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exercise price of</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plans (excluding</w:t>
            </w:r>
          </w:p>
        </w:tc>
        <w:tc>
          <w:tcPr>
            <w:tcW w:w="100" w:type="dxa"/>
            <w:vAlign w:val="bottom"/>
          </w:tcPr>
          <w:p>
            <w:pPr>
              <w:spacing w:after="0"/>
              <w:rPr>
                <w:sz w:val="18"/>
                <w:szCs w:val="18"/>
                <w:color w:val="auto"/>
              </w:rPr>
            </w:pPr>
          </w:p>
        </w:tc>
      </w:tr>
      <w:tr>
        <w:trPr>
          <w:trHeight w:val="216"/>
        </w:trPr>
        <w:tc>
          <w:tcPr>
            <w:tcW w:w="4980" w:type="dxa"/>
            <w:vAlign w:val="bottom"/>
          </w:tcPr>
          <w:p>
            <w:pPr>
              <w:spacing w:after="0"/>
              <w:rPr>
                <w:sz w:val="18"/>
                <w:szCs w:val="18"/>
                <w:color w:val="auto"/>
              </w:rPr>
            </w:pPr>
          </w:p>
        </w:tc>
        <w:tc>
          <w:tcPr>
            <w:tcW w:w="172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options, warrants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outstanding options,</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securities reflected</w:t>
            </w:r>
          </w:p>
        </w:tc>
        <w:tc>
          <w:tcPr>
            <w:tcW w:w="100" w:type="dxa"/>
            <w:vAlign w:val="bottom"/>
          </w:tcPr>
          <w:p>
            <w:pPr>
              <w:spacing w:after="0"/>
              <w:rPr>
                <w:sz w:val="18"/>
                <w:szCs w:val="18"/>
                <w:color w:val="auto"/>
              </w:rPr>
            </w:pPr>
          </w:p>
        </w:tc>
      </w:tr>
      <w:tr>
        <w:trPr>
          <w:trHeight w:val="241"/>
        </w:trPr>
        <w:tc>
          <w:tcPr>
            <w:tcW w:w="4980" w:type="dxa"/>
            <w:vAlign w:val="bottom"/>
          </w:tcPr>
          <w:p>
            <w:pPr>
              <w:spacing w:after="0"/>
              <w:rPr>
                <w:sz w:val="20"/>
                <w:szCs w:val="20"/>
                <w:color w:val="auto"/>
              </w:rPr>
            </w:pPr>
          </w:p>
        </w:tc>
        <w:tc>
          <w:tcPr>
            <w:tcW w:w="17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7"/>
              </w:rPr>
              <w:t>and rights</w:t>
            </w:r>
          </w:p>
        </w:tc>
        <w:tc>
          <w:tcPr>
            <w:tcW w:w="1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warrants and rights</w:t>
            </w:r>
          </w:p>
        </w:tc>
        <w:tc>
          <w:tcPr>
            <w:tcW w:w="1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column (a))</w:t>
            </w:r>
          </w:p>
        </w:tc>
        <w:tc>
          <w:tcPr>
            <w:tcW w:w="100" w:type="dxa"/>
            <w:vAlign w:val="bottom"/>
          </w:tcPr>
          <w:p>
            <w:pPr>
              <w:spacing w:after="0"/>
              <w:rPr>
                <w:sz w:val="20"/>
                <w:szCs w:val="20"/>
                <w:color w:val="auto"/>
              </w:rPr>
            </w:pPr>
          </w:p>
        </w:tc>
      </w:tr>
      <w:tr>
        <w:trPr>
          <w:trHeight w:val="239"/>
        </w:trPr>
        <w:tc>
          <w:tcPr>
            <w:tcW w:w="4980" w:type="dxa"/>
            <w:vAlign w:val="bottom"/>
          </w:tcPr>
          <w:p>
            <w:pPr>
              <w:spacing w:after="0"/>
              <w:rPr>
                <w:sz w:val="20"/>
                <w:szCs w:val="20"/>
                <w:color w:val="auto"/>
              </w:rPr>
            </w:pPr>
          </w:p>
        </w:tc>
        <w:tc>
          <w:tcPr>
            <w:tcW w:w="172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 a )</w:t>
            </w:r>
          </w:p>
        </w:tc>
        <w:tc>
          <w:tcPr>
            <w:tcW w:w="1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color w:val="auto"/>
                <w:w w:val="99"/>
              </w:rPr>
              <w:t>( b )</w:t>
            </w:r>
          </w:p>
        </w:tc>
        <w:tc>
          <w:tcPr>
            <w:tcW w:w="1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c )</w:t>
            </w:r>
          </w:p>
        </w:tc>
        <w:tc>
          <w:tcPr>
            <w:tcW w:w="100" w:type="dxa"/>
            <w:vAlign w:val="bottom"/>
          </w:tcPr>
          <w:p>
            <w:pPr>
              <w:spacing w:after="0"/>
              <w:rPr>
                <w:sz w:val="20"/>
                <w:szCs w:val="20"/>
                <w:color w:val="auto"/>
              </w:rPr>
            </w:pPr>
          </w:p>
        </w:tc>
      </w:tr>
      <w:tr>
        <w:trPr>
          <w:trHeight w:val="209"/>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w:t>
            </w:r>
          </w:p>
        </w:tc>
        <w:tc>
          <w:tcPr>
            <w:tcW w:w="1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70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security holders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FF0FC"/>
          </w:tcPr>
          <w:p>
            <w:pPr>
              <w:jc w:val="right"/>
              <w:ind w:right="15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1,302,590</w:t>
            </w:r>
          </w:p>
        </w:tc>
        <w:tc>
          <w:tcPr>
            <w:tcW w:w="100" w:type="dxa"/>
            <w:vAlign w:val="bottom"/>
            <w:shd w:val="clear" w:color="auto" w:fill="CFF0FC"/>
          </w:tcPr>
          <w:p>
            <w:pPr>
              <w:spacing w:after="0"/>
              <w:rPr>
                <w:sz w:val="21"/>
                <w:szCs w:val="21"/>
                <w:color w:val="auto"/>
              </w:rPr>
            </w:pPr>
          </w:p>
        </w:tc>
      </w:tr>
      <w:tr>
        <w:trPr>
          <w:trHeight w:val="211"/>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security 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50"/>
        </w:trPr>
        <w:tc>
          <w:tcPr>
            <w:tcW w:w="6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1,302,590</w:t>
            </w:r>
          </w:p>
        </w:tc>
        <w:tc>
          <w:tcPr>
            <w:tcW w:w="100" w:type="dxa"/>
            <w:vAlign w:val="bottom"/>
            <w:shd w:val="clear" w:color="auto" w:fill="CFF0FC"/>
          </w:tcPr>
          <w:p>
            <w:pPr>
              <w:spacing w:after="0"/>
              <w:rPr>
                <w:sz w:val="21"/>
                <w:szCs w:val="21"/>
                <w:color w:val="auto"/>
              </w:rPr>
            </w:pPr>
          </w:p>
        </w:tc>
      </w:tr>
      <w:tr>
        <w:trPr>
          <w:trHeight w:val="864"/>
        </w:trPr>
        <w:tc>
          <w:tcPr>
            <w:tcW w:w="6700" w:type="dxa"/>
            <w:vAlign w:val="bottom"/>
            <w:gridSpan w:val="2"/>
          </w:tcPr>
          <w:p>
            <w:pPr>
              <w:ind w:left="550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13. CERTAIN RELATIONSHIPS AND RELATED TRANSACTIONS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information called for herein by Item 404 and paragraph (a) of Item 407 is presented in the proxy statement to be furnished in connection with the solicitation of proxies on behalf of the Board of Directors of the Registrant for use at its Annual Meeting to be held on April 17, 2023, and is incorporated herein by reference to the sections of the proxy statement captioned “Related Party Transactions.”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ACCOUNTANT FEES AND SERVICES</w:t>
      </w:r>
    </w:p>
    <w:p>
      <w:pPr>
        <w:spacing w:after="0" w:line="121" w:lineRule="exact"/>
        <w:rPr>
          <w:sz w:val="20"/>
          <w:szCs w:val="20"/>
          <w:color w:val="auto"/>
        </w:rPr>
      </w:pPr>
    </w:p>
    <w:p>
      <w:pPr>
        <w:jc w:val="both"/>
        <w:ind w:left="760"/>
        <w:spacing w:after="0" w:line="266" w:lineRule="auto"/>
        <w:rPr>
          <w:sz w:val="20"/>
          <w:szCs w:val="20"/>
          <w:color w:val="auto"/>
        </w:rPr>
      </w:pPr>
      <w:r>
        <w:rPr>
          <w:rFonts w:ascii="Times New Roman" w:cs="Times New Roman" w:eastAsia="Times New Roman" w:hAnsi="Times New Roman"/>
          <w:sz w:val="18"/>
          <w:szCs w:val="18"/>
          <w:color w:val="auto"/>
        </w:rPr>
        <w:t>The information called for by this Item is presented in the proxy statement to be furnished in connection with the solicitation of proxies on behalf of the Board of Directors of the Registrant for use at its Annual Meeting to be held on April 17, 2023, and is incorporated herein by reference to the section of the proxy statement captioned “Selection of Auditors/Principal Accounting Firm Fees.”</w:t>
      </w:r>
    </w:p>
    <w:p>
      <w:pPr>
        <w:spacing w:after="0" w:line="176"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 opinion related to the financial statements in the annual report was provided by FORVIS, LLP (formerly BKD, LLP) from Fort Wayne, Indiana. The Public Company Accounting Oversight Board (PCAOB) ID number for FORVIS, LLP is 686.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STATEMENTS SCHEDULES</w:t>
      </w:r>
    </w:p>
    <w:p>
      <w:pPr>
        <w:spacing w:after="0" w:line="148" w:lineRule="exact"/>
        <w:rPr>
          <w:sz w:val="20"/>
          <w:szCs w:val="20"/>
          <w:color w:val="auto"/>
        </w:rPr>
      </w:pPr>
    </w:p>
    <w:p>
      <w:pPr>
        <w:ind w:left="380" w:hanging="237"/>
        <w:spacing w:after="0"/>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44" w:lineRule="exact"/>
        <w:rPr>
          <w:rFonts w:ascii="Times New Roman" w:cs="Times New Roman" w:eastAsia="Times New Roman" w:hAnsi="Times New Roman"/>
          <w:sz w:val="18"/>
          <w:szCs w:val="18"/>
          <w:color w:val="auto"/>
        </w:rPr>
      </w:pPr>
    </w:p>
    <w:p>
      <w:pPr>
        <w:ind w:left="1380" w:right="5700" w:hanging="1008"/>
        <w:spacing w:after="0" w:line="281" w:lineRule="auto"/>
        <w:tabs>
          <w:tab w:leader="none" w:pos="13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(included in this 10-K under Item 8) Report of Independent Accountants</w:t>
      </w:r>
    </w:p>
    <w:p>
      <w:pPr>
        <w:spacing w:after="0" w:line="1" w:lineRule="exact"/>
        <w:rPr>
          <w:rFonts w:ascii="Times New Roman" w:cs="Times New Roman" w:eastAsia="Times New Roman" w:hAnsi="Times New Roman"/>
          <w:sz w:val="18"/>
          <w:szCs w:val="18"/>
          <w:color w:val="auto"/>
        </w:rPr>
      </w:pPr>
    </w:p>
    <w:p>
      <w:pPr>
        <w:ind w:left="1380" w:right="7280"/>
        <w:spacing w:after="0" w:line="2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Consolidated Balance Sheets Consolidated Statements of Income</w:t>
      </w:r>
    </w:p>
    <w:p>
      <w:pPr>
        <w:ind w:left="1380" w:right="546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Changes in Shareholders’ Equity Consolidated Statements of Cash Flows</w:t>
      </w:r>
    </w:p>
    <w:p>
      <w:pPr>
        <w:spacing w:after="0" w:line="1"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to Consolidated Financial Statements</w:t>
      </w:r>
    </w:p>
    <w:p>
      <w:pPr>
        <w:spacing w:after="0" w:line="144" w:lineRule="exact"/>
        <w:rPr>
          <w:rFonts w:ascii="Times New Roman" w:cs="Times New Roman" w:eastAsia="Times New Roman" w:hAnsi="Times New Roman"/>
          <w:sz w:val="18"/>
          <w:szCs w:val="18"/>
          <w:color w:val="auto"/>
        </w:rPr>
      </w:pPr>
    </w:p>
    <w:p>
      <w:pPr>
        <w:ind w:left="1380" w:right="7380" w:hanging="1008"/>
        <w:spacing w:after="0" w:line="346" w:lineRule="auto"/>
        <w:tabs>
          <w:tab w:leader="none" w:pos="13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 Five Year Summary of Operations</w:t>
      </w:r>
    </w:p>
    <w:p>
      <w:pPr>
        <w:spacing w:after="0" w:line="17"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(2.1)</w:t>
            </w:r>
          </w:p>
        </w:tc>
        <w:tc>
          <w:tcPr>
            <w:tcW w:w="9820" w:type="dxa"/>
            <w:vAlign w:val="bottom"/>
            <w:gridSpan w:val="8"/>
          </w:tcPr>
          <w:p>
            <w:pPr>
              <w:spacing w:after="0"/>
              <w:rPr>
                <w:rFonts w:ascii="Times New Roman" w:cs="Times New Roman" w:eastAsia="Times New Roman" w:hAnsi="Times New Roman"/>
                <w:sz w:val="18"/>
                <w:szCs w:val="18"/>
                <w:color w:val="0000FF"/>
              </w:rPr>
            </w:pPr>
            <w:hyperlink r:id="rId723">
              <w:r>
                <w:rPr>
                  <w:rFonts w:ascii="Times New Roman" w:cs="Times New Roman" w:eastAsia="Times New Roman" w:hAnsi="Times New Roman"/>
                  <w:sz w:val="18"/>
                  <w:szCs w:val="18"/>
                  <w:color w:val="0000FF"/>
                </w:rPr>
                <w:t>Agreement and Plan of Merger dated June 14, 2022 (incorporated by reference to Exhibit 2.1 to Registrant's Current Report on Form 8-</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3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820" w:type="dxa"/>
            <w:vAlign w:val="bottom"/>
            <w:gridSpan w:val="8"/>
          </w:tcPr>
          <w:p>
            <w:pPr>
              <w:spacing w:after="0" w:line="196" w:lineRule="exact"/>
              <w:rPr>
                <w:rFonts w:ascii="Times New Roman" w:cs="Times New Roman" w:eastAsia="Times New Roman" w:hAnsi="Times New Roman"/>
                <w:sz w:val="18"/>
                <w:szCs w:val="18"/>
                <w:color w:val="0000FF"/>
              </w:rPr>
            </w:pPr>
            <w:hyperlink r:id="rId723">
              <w:r>
                <w:rPr>
                  <w:rFonts w:ascii="Times New Roman" w:cs="Times New Roman" w:eastAsia="Times New Roman" w:hAnsi="Times New Roman"/>
                  <w:sz w:val="18"/>
                  <w:szCs w:val="18"/>
                  <w:color w:val="0000FF"/>
                </w:rPr>
                <w:t>K filed with the Commission on June 15, 2022).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72"/>
        </w:trPr>
        <w:tc>
          <w:tcPr>
            <w:tcW w:w="110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 Exhibits Required by Item 601 of Regulation S-K</w:t>
            </w:r>
          </w:p>
        </w:tc>
      </w:tr>
      <w:tr>
        <w:trPr>
          <w:trHeight w:val="445"/>
        </w:trPr>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(3.1)</w:t>
            </w:r>
          </w:p>
        </w:tc>
        <w:tc>
          <w:tcPr>
            <w:tcW w:w="9820" w:type="dxa"/>
            <w:vAlign w:val="bottom"/>
            <w:gridSpan w:val="8"/>
          </w:tcPr>
          <w:p>
            <w:pPr>
              <w:spacing w:after="0"/>
              <w:rPr>
                <w:rFonts w:ascii="Times New Roman" w:cs="Times New Roman" w:eastAsia="Times New Roman" w:hAnsi="Times New Roman"/>
                <w:sz w:val="18"/>
                <w:szCs w:val="18"/>
                <w:color w:val="0000FF"/>
              </w:rPr>
            </w:pPr>
            <w:hyperlink r:id="rId724">
              <w:r>
                <w:rPr>
                  <w:rFonts w:ascii="Times New Roman" w:cs="Times New Roman" w:eastAsia="Times New Roman" w:hAnsi="Times New Roman"/>
                  <w:sz w:val="18"/>
                  <w:szCs w:val="18"/>
                  <w:color w:val="0000FF"/>
                </w:rPr>
                <w:t>Amended Articles of Incorporation of the Registrant (incorporated by reference to Exhibit 3.1 to Registrant's Quarterly Report on Form</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38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820" w:type="dxa"/>
            <w:vAlign w:val="bottom"/>
            <w:gridSpan w:val="8"/>
          </w:tcPr>
          <w:p>
            <w:pPr>
              <w:spacing w:after="0" w:line="196" w:lineRule="exact"/>
              <w:rPr>
                <w:rFonts w:ascii="Times New Roman" w:cs="Times New Roman" w:eastAsia="Times New Roman" w:hAnsi="Times New Roman"/>
                <w:sz w:val="18"/>
                <w:szCs w:val="18"/>
                <w:color w:val="0000FF"/>
              </w:rPr>
            </w:pPr>
            <w:hyperlink r:id="rId724">
              <w:r>
                <w:rPr>
                  <w:rFonts w:ascii="Times New Roman" w:cs="Times New Roman" w:eastAsia="Times New Roman" w:hAnsi="Times New Roman"/>
                  <w:sz w:val="18"/>
                  <w:szCs w:val="18"/>
                  <w:color w:val="0000FF"/>
                </w:rPr>
                <w:t>10-Q filed with the Commission on October 25, 2017).</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31"/>
        </w:trPr>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(3.2)</w:t>
            </w:r>
          </w:p>
        </w:tc>
        <w:tc>
          <w:tcPr>
            <w:tcW w:w="9820" w:type="dxa"/>
            <w:vAlign w:val="bottom"/>
            <w:gridSpan w:val="8"/>
          </w:tcPr>
          <w:p>
            <w:pPr>
              <w:spacing w:after="0"/>
              <w:rPr>
                <w:rFonts w:ascii="Times New Roman" w:cs="Times New Roman" w:eastAsia="Times New Roman" w:hAnsi="Times New Roman"/>
                <w:sz w:val="18"/>
                <w:szCs w:val="18"/>
                <w:color w:val="0000FF"/>
              </w:rPr>
            </w:pPr>
            <w:hyperlink r:id="rId725">
              <w:r>
                <w:rPr>
                  <w:rFonts w:ascii="Times New Roman" w:cs="Times New Roman" w:eastAsia="Times New Roman" w:hAnsi="Times New Roman"/>
                  <w:sz w:val="18"/>
                  <w:szCs w:val="18"/>
                  <w:color w:val="0000FF"/>
                </w:rPr>
                <w:t>Code of Regulations of the Registrant (incorporated by reference to Exhibit 3.2 to the Company’s Quarterly Report on Form 10-Q that</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574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820" w:type="dxa"/>
            <w:vAlign w:val="bottom"/>
            <w:gridSpan w:val="8"/>
          </w:tcPr>
          <w:p>
            <w:pPr>
              <w:spacing w:after="0" w:line="196" w:lineRule="exact"/>
              <w:rPr>
                <w:rFonts w:ascii="Times New Roman" w:cs="Times New Roman" w:eastAsia="Times New Roman" w:hAnsi="Times New Roman"/>
                <w:sz w:val="18"/>
                <w:szCs w:val="18"/>
                <w:color w:val="0000FF"/>
              </w:rPr>
            </w:pPr>
            <w:hyperlink r:id="rId725">
              <w:r>
                <w:rPr>
                  <w:rFonts w:ascii="Times New Roman" w:cs="Times New Roman" w:eastAsia="Times New Roman" w:hAnsi="Times New Roman"/>
                  <w:sz w:val="18"/>
                  <w:szCs w:val="18"/>
                  <w:color w:val="0000FF"/>
                </w:rPr>
                <w:t>was filed with the Commission on July 26, 2017).</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gridSpan w:val="2"/>
            <w:shd w:val="clear" w:color="auto" w:fill="0000FF"/>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31"/>
        </w:trPr>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(4.1)</w:t>
            </w:r>
          </w:p>
        </w:tc>
        <w:tc>
          <w:tcPr>
            <w:tcW w:w="9820" w:type="dxa"/>
            <w:vAlign w:val="bottom"/>
            <w:gridSpan w:val="8"/>
          </w:tcPr>
          <w:p>
            <w:pPr>
              <w:spacing w:after="0"/>
              <w:rPr>
                <w:rFonts w:ascii="Times New Roman" w:cs="Times New Roman" w:eastAsia="Times New Roman" w:hAnsi="Times New Roman"/>
                <w:sz w:val="18"/>
                <w:szCs w:val="18"/>
                <w:color w:val="0000FF"/>
              </w:rPr>
            </w:pPr>
            <w:hyperlink r:id="rId726">
              <w:r>
                <w:rPr>
                  <w:rFonts w:ascii="Times New Roman" w:cs="Times New Roman" w:eastAsia="Times New Roman" w:hAnsi="Times New Roman"/>
                  <w:sz w:val="18"/>
                  <w:szCs w:val="18"/>
                  <w:color w:val="0000FF"/>
                </w:rPr>
                <w:t>Description of Registrant's Common Stock (incorporated by reference to Exhibit 4.1 to Registrant's Annual Report on Form 10-K filed</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100" w:type="dxa"/>
            <w:vAlign w:val="bottom"/>
            <w:tcBorders>
              <w:right w:val="single" w:sz="8" w:color="0000FF"/>
            </w:tcBorders>
            <w:gridSpan w:val="4"/>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820" w:type="dxa"/>
            <w:vAlign w:val="bottom"/>
            <w:gridSpan w:val="8"/>
          </w:tcPr>
          <w:p>
            <w:pPr>
              <w:spacing w:after="0" w:line="196" w:lineRule="exact"/>
              <w:rPr>
                <w:rFonts w:ascii="Times New Roman" w:cs="Times New Roman" w:eastAsia="Times New Roman" w:hAnsi="Times New Roman"/>
                <w:sz w:val="18"/>
                <w:szCs w:val="18"/>
                <w:color w:val="0000FF"/>
              </w:rPr>
            </w:pPr>
            <w:hyperlink r:id="rId726">
              <w:r>
                <w:rPr>
                  <w:rFonts w:ascii="Times New Roman" w:cs="Times New Roman" w:eastAsia="Times New Roman" w:hAnsi="Times New Roman"/>
                  <w:sz w:val="18"/>
                  <w:szCs w:val="18"/>
                  <w:color w:val="0000FF"/>
                </w:rPr>
                <w:t>with the Commission on February 26, 2020).</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610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31"/>
        </w:trPr>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(4.2)</w:t>
            </w:r>
          </w:p>
        </w:tc>
        <w:tc>
          <w:tcPr>
            <w:tcW w:w="9820" w:type="dxa"/>
            <w:vAlign w:val="bottom"/>
            <w:gridSpan w:val="8"/>
          </w:tcPr>
          <w:p>
            <w:pPr>
              <w:spacing w:after="0"/>
              <w:rPr>
                <w:rFonts w:ascii="Times New Roman" w:cs="Times New Roman" w:eastAsia="Times New Roman" w:hAnsi="Times New Roman"/>
                <w:sz w:val="18"/>
                <w:szCs w:val="18"/>
                <w:color w:val="0000FF"/>
              </w:rPr>
            </w:pPr>
            <w:hyperlink r:id="rId727">
              <w:r>
                <w:rPr>
                  <w:rFonts w:ascii="Times New Roman" w:cs="Times New Roman" w:eastAsia="Times New Roman" w:hAnsi="Times New Roman"/>
                  <w:sz w:val="18"/>
                  <w:szCs w:val="18"/>
                  <w:color w:val="0000FF"/>
                </w:rPr>
                <w:t>Form of 3.25% Fixed to Floating Rate Subordinated Note due July 30, 2031 (included as Exhibit A to the Purchase Agreement filed as</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60" w:type="dxa"/>
            <w:vAlign w:val="bottom"/>
            <w:tcBorders>
              <w:right w:val="single" w:sz="8" w:color="0000FF"/>
            </w:tcBorders>
            <w:gridSpan w:val="5"/>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820" w:type="dxa"/>
            <w:vAlign w:val="bottom"/>
            <w:gridSpan w:val="8"/>
          </w:tcPr>
          <w:p>
            <w:pPr>
              <w:spacing w:after="0" w:line="196" w:lineRule="exact"/>
              <w:rPr>
                <w:rFonts w:ascii="Times New Roman" w:cs="Times New Roman" w:eastAsia="Times New Roman" w:hAnsi="Times New Roman"/>
                <w:sz w:val="18"/>
                <w:szCs w:val="18"/>
                <w:color w:val="0000FF"/>
              </w:rPr>
            </w:pPr>
            <w:hyperlink r:id="rId727">
              <w:r>
                <w:rPr>
                  <w:rFonts w:ascii="Times New Roman" w:cs="Times New Roman" w:eastAsia="Times New Roman" w:hAnsi="Times New Roman"/>
                  <w:sz w:val="18"/>
                  <w:szCs w:val="18"/>
                  <w:color w:val="0000FF"/>
                </w:rPr>
                <w:t>Exhibit 10.6 hereto).</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786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331"/>
        </w:trPr>
        <w:tc>
          <w:tcPr>
            <w:tcW w:w="1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(10.1)</w:t>
            </w:r>
          </w:p>
        </w:tc>
        <w:tc>
          <w:tcPr>
            <w:tcW w:w="9820" w:type="dxa"/>
            <w:vAlign w:val="bottom"/>
            <w:gridSpan w:val="8"/>
          </w:tcPr>
          <w:p>
            <w:pPr>
              <w:spacing w:after="0"/>
              <w:rPr>
                <w:rFonts w:ascii="Times New Roman" w:cs="Times New Roman" w:eastAsia="Times New Roman" w:hAnsi="Times New Roman"/>
                <w:sz w:val="18"/>
                <w:szCs w:val="18"/>
                <w:color w:val="0000FF"/>
              </w:rPr>
            </w:pPr>
            <w:hyperlink r:id="rId728">
              <w:r>
                <w:rPr>
                  <w:rFonts w:ascii="Times New Roman" w:cs="Times New Roman" w:eastAsia="Times New Roman" w:hAnsi="Times New Roman"/>
                  <w:sz w:val="18"/>
                  <w:szCs w:val="18"/>
                  <w:color w:val="0000FF"/>
                </w:rPr>
                <w:t>Form of Change in Control Agreement executed by and between the Company and Barbara J. Britenriker on December 26, 2012</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9320" w:type="dxa"/>
            <w:vAlign w:val="bottom"/>
            <w:tcBorders>
              <w:right w:val="single" w:sz="8" w:color="0000FF"/>
            </w:tcBorders>
            <w:gridSpan w:val="6"/>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9820" w:type="dxa"/>
            <w:vAlign w:val="bottom"/>
            <w:gridSpan w:val="8"/>
          </w:tcPr>
          <w:p>
            <w:pPr>
              <w:spacing w:after="0" w:line="196" w:lineRule="exact"/>
              <w:rPr>
                <w:rFonts w:ascii="Times New Roman" w:cs="Times New Roman" w:eastAsia="Times New Roman" w:hAnsi="Times New Roman"/>
                <w:sz w:val="18"/>
                <w:szCs w:val="18"/>
                <w:color w:val="0000FF"/>
              </w:rPr>
            </w:pPr>
            <w:hyperlink r:id="rId728">
              <w:r>
                <w:rPr>
                  <w:rFonts w:ascii="Times New Roman" w:cs="Times New Roman" w:eastAsia="Times New Roman" w:hAnsi="Times New Roman"/>
                  <w:sz w:val="18"/>
                  <w:szCs w:val="18"/>
                  <w:color w:val="0000FF"/>
                </w:rPr>
                <w:t>(incorporated by reference to Exhibit 10.1 to the Annual Report on Form 10-K filed with the Commission on February 25, 2013).</w:t>
              </w:r>
            </w:hyperlink>
          </w:p>
        </w:tc>
      </w:tr>
      <w:tr>
        <w:trPr>
          <w:trHeight w:val="20"/>
        </w:trPr>
        <w:tc>
          <w:tcPr>
            <w:tcW w:w="1260" w:type="dxa"/>
            <w:vAlign w:val="bottom"/>
            <w:tcBorders>
              <w:right w:val="single" w:sz="8" w:color="0000EE"/>
            </w:tcBorders>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53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220"/>
          </w:cols>
          <w:pgMar w:left="320" w:top="185" w:right="359" w:bottom="1440" w:gutter="0" w:footer="0" w:header="0"/>
        </w:sectPr>
      </w:pPr>
    </w:p>
    <w:p>
      <w:pPr>
        <w:ind w:left="380"/>
        <w:spacing w:after="0"/>
        <w:rPr>
          <w:sz w:val="20"/>
          <w:szCs w:val="20"/>
          <w:color w:val="auto"/>
        </w:rPr>
      </w:pPr>
      <w:r>
        <w:rPr>
          <w:rFonts w:ascii="Times New Roman" w:cs="Times New Roman" w:eastAsia="Times New Roman" w:hAnsi="Times New Roman"/>
          <w:sz w:val="17"/>
          <w:szCs w:val="17"/>
          <w:color w:val="auto"/>
        </w:rPr>
        <w:t>(10.2)</w:t>
      </w:r>
    </w:p>
    <w:p>
      <w:pPr>
        <w:spacing w:after="0" w:line="3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br w:type="column"/>
      </w:r>
    </w:p>
    <w:p>
      <w:pPr>
        <w:spacing w:after="0" w:line="282" w:lineRule="auto"/>
        <w:rPr>
          <w:rFonts w:ascii="Times New Roman" w:cs="Times New Roman" w:eastAsia="Times New Roman" w:hAnsi="Times New Roman"/>
          <w:sz w:val="18"/>
          <w:szCs w:val="18"/>
          <w:u w:val="single" w:color="auto"/>
          <w:color w:val="0000FF"/>
        </w:rPr>
      </w:pPr>
      <w:hyperlink r:id="rId729">
        <w:r>
          <w:rPr>
            <w:rFonts w:ascii="Times New Roman" w:cs="Times New Roman" w:eastAsia="Times New Roman" w:hAnsi="Times New Roman"/>
            <w:sz w:val="18"/>
            <w:szCs w:val="18"/>
            <w:u w:val="single" w:color="auto"/>
            <w:color w:val="0000FF"/>
          </w:rPr>
          <w:t>Form of Change in Control Agreement executed by and between the Company and Rex D. Rice on December 26, 2012 (incorporated by</w:t>
        </w:r>
      </w:hyperlink>
      <w:r>
        <w:rPr>
          <w:rFonts w:ascii="Times New Roman" w:cs="Times New Roman" w:eastAsia="Times New Roman" w:hAnsi="Times New Roman"/>
          <w:sz w:val="18"/>
          <w:szCs w:val="18"/>
          <w:u w:val="single" w:color="auto"/>
          <w:color w:val="0000FF"/>
        </w:rPr>
        <w:t xml:space="preserve"> </w:t>
      </w:r>
      <w:hyperlink r:id="rId729">
        <w:r>
          <w:rPr>
            <w:rFonts w:ascii="Times New Roman" w:cs="Times New Roman" w:eastAsia="Times New Roman" w:hAnsi="Times New Roman"/>
            <w:sz w:val="18"/>
            <w:szCs w:val="18"/>
            <w:u w:val="single" w:color="auto"/>
            <w:color w:val="0000FF"/>
          </w:rPr>
          <w:t>reference to Exhibit 10.2 to the Annual Report on Form 10-K filed with the Commission on February 25,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624967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0">
                      <a:extLst>
                        <a:ext uri="{28A0092B-C50C-407E-A947-70E740481C1C}"/>
                      </a:extLst>
                    </a:blip>
                    <a:srcRect/>
                    <a:stretch>
                      <a:fillRect/>
                    </a:stretch>
                  </pic:blipFill>
                  <pic:spPr bwMode="auto">
                    <a:xfrm>
                      <a:off x="0" y="0"/>
                      <a:ext cx="62496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51308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1">
                      <a:extLst>
                        <a:ext uri="{28A0092B-C50C-407E-A947-70E740481C1C}"/>
                      </a:extLst>
                    </a:blip>
                    <a:srcRect/>
                    <a:stretch>
                      <a:fillRect/>
                    </a:stretch>
                  </pic:blipFill>
                  <pic:spPr bwMode="auto">
                    <a:xfrm>
                      <a:off x="0" y="0"/>
                      <a:ext cx="5130800" cy="8890"/>
                    </a:xfrm>
                    <a:prstGeom prst="rect">
                      <a:avLst/>
                    </a:prstGeom>
                    <a:noFill/>
                  </pic:spPr>
                </pic:pic>
              </a:graphicData>
            </a:graphic>
          </wp:anchor>
        </w:drawing>
      </w:r>
    </w:p>
    <w:p>
      <w:pPr>
        <w:spacing w:after="0" w:line="115"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732">
        <w:r>
          <w:rPr>
            <w:rFonts w:ascii="Times New Roman" w:cs="Times New Roman" w:eastAsia="Times New Roman" w:hAnsi="Times New Roman"/>
            <w:sz w:val="18"/>
            <w:szCs w:val="18"/>
            <w:u w:val="single" w:color="auto"/>
            <w:color w:val="0000FF"/>
          </w:rPr>
          <w:t>Employment Agreement executed by and between The Farmers &amp; Merchants State Bank and Lars B. Eller on September 1, 2021</w:t>
        </w:r>
      </w:hyperlink>
      <w:r>
        <w:rPr>
          <w:rFonts w:ascii="Times New Roman" w:cs="Times New Roman" w:eastAsia="Times New Roman" w:hAnsi="Times New Roman"/>
          <w:sz w:val="18"/>
          <w:szCs w:val="18"/>
          <w:u w:val="single" w:color="auto"/>
          <w:color w:val="0000FF"/>
        </w:rPr>
        <w:t xml:space="preserve"> </w:t>
      </w:r>
      <w:hyperlink r:id="rId732">
        <w:r>
          <w:rPr>
            <w:rFonts w:ascii="Times New Roman" w:cs="Times New Roman" w:eastAsia="Times New Roman" w:hAnsi="Times New Roman"/>
            <w:sz w:val="18"/>
            <w:szCs w:val="18"/>
            <w:u w:val="single" w:color="auto"/>
            <w:color w:val="0000FF"/>
          </w:rPr>
          <w:t>(incorporated by reference to Exhibit 10.1 to Registrant’s Report on Form 8-K filed with the Commission on August 18,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625348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3">
                      <a:extLst>
                        <a:ext uri="{28A0092B-C50C-407E-A947-70E740481C1C}"/>
                      </a:extLst>
                    </a:blip>
                    <a:srcRect/>
                    <a:stretch>
                      <a:fillRect/>
                    </a:stretch>
                  </pic:blipFill>
                  <pic:spPr bwMode="auto">
                    <a:xfrm>
                      <a:off x="0" y="0"/>
                      <a:ext cx="6253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581977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4">
                      <a:extLst>
                        <a:ext uri="{28A0092B-C50C-407E-A947-70E740481C1C}"/>
                      </a:extLst>
                    </a:blip>
                    <a:srcRect/>
                    <a:stretch>
                      <a:fillRect/>
                    </a:stretch>
                  </pic:blipFill>
                  <pic:spPr bwMode="auto">
                    <a:xfrm>
                      <a:off x="0" y="0"/>
                      <a:ext cx="5819775" cy="8255"/>
                    </a:xfrm>
                    <a:prstGeom prst="rect">
                      <a:avLst/>
                    </a:prstGeom>
                    <a:noFill/>
                  </pic:spPr>
                </pic:pic>
              </a:graphicData>
            </a:graphic>
          </wp:anchor>
        </w:drawing>
      </w:r>
    </w:p>
    <w:p>
      <w:pPr>
        <w:spacing w:after="0" w:line="81" w:lineRule="exact"/>
        <w:rPr>
          <w:sz w:val="20"/>
          <w:szCs w:val="20"/>
          <w:color w:val="auto"/>
        </w:rPr>
      </w:pPr>
    </w:p>
    <w:p>
      <w:pPr>
        <w:sectPr>
          <w:pgSz w:w="11900" w:h="16838" w:orient="portrait"/>
          <w:cols w:equalWidth="0" w:num="2">
            <w:col w:w="800" w:space="580"/>
            <w:col w:w="9840"/>
          </w:cols>
          <w:pgMar w:left="320" w:top="185" w:right="359" w:bottom="1440" w:gutter="0" w:footer="0" w:header="0"/>
          <w:type w:val="continuous"/>
        </w:sectPr>
      </w:pPr>
    </w:p>
    <w:p>
      <w:pPr>
        <w:jc w:val="both"/>
        <w:ind w:left="1380" w:hanging="998"/>
        <w:spacing w:after="0" w:line="28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w:t>
      </w:r>
      <w:r>
        <w:rPr>
          <w:sz w:val="20"/>
          <w:szCs w:val="20"/>
          <w:color w:val="auto"/>
        </w:rPr>
        <w:tab/>
      </w:r>
      <w:hyperlink r:id="rId735">
        <w:r>
          <w:rPr>
            <w:rFonts w:ascii="Times New Roman" w:cs="Times New Roman" w:eastAsia="Times New Roman" w:hAnsi="Times New Roman"/>
            <w:sz w:val="18"/>
            <w:szCs w:val="18"/>
            <w:u w:val="single" w:color="auto"/>
            <w:color w:val="0000FF"/>
          </w:rPr>
          <w:t>Farmers &amp; Merchants Bancorp, Inc. 2015 Long-Term Stock Incentive Plan (incorporated by reference to Appendix A to Registrant’s</w:t>
        </w:r>
      </w:hyperlink>
      <w:r>
        <w:rPr>
          <w:rFonts w:ascii="Times New Roman" w:cs="Times New Roman" w:eastAsia="Times New Roman" w:hAnsi="Times New Roman"/>
          <w:sz w:val="18"/>
          <w:szCs w:val="18"/>
          <w:u w:val="single" w:color="auto"/>
          <w:color w:val="0000FF"/>
        </w:rPr>
        <w:t xml:space="preserve"> </w:t>
      </w:r>
      <w:hyperlink r:id="rId735">
        <w:r>
          <w:rPr>
            <w:rFonts w:ascii="Times New Roman" w:cs="Times New Roman" w:eastAsia="Times New Roman" w:hAnsi="Times New Roman"/>
            <w:sz w:val="18"/>
            <w:szCs w:val="18"/>
            <w:u w:val="single" w:color="auto"/>
            <w:color w:val="0000FF"/>
          </w:rPr>
          <w:t>Definitive 14A Proxy Statement, File No. 000-14492, filed with the Commission on March 16,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-185420</wp:posOffset>
            </wp:positionV>
            <wp:extent cx="625665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6">
                      <a:extLst>
                        <a:ext uri="{28A0092B-C50C-407E-A947-70E740481C1C}"/>
                      </a:extLst>
                    </a:blip>
                    <a:srcRect/>
                    <a:stretch>
                      <a:fillRect/>
                    </a:stretch>
                  </pic:blipFill>
                  <pic:spPr bwMode="auto">
                    <a:xfrm>
                      <a:off x="0" y="0"/>
                      <a:ext cx="6256655"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-48260</wp:posOffset>
            </wp:positionV>
            <wp:extent cx="466788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7">
                      <a:extLst>
                        <a:ext uri="{28A0092B-C50C-407E-A947-70E740481C1C}"/>
                      </a:extLst>
                    </a:blip>
                    <a:srcRect/>
                    <a:stretch>
                      <a:fillRect/>
                    </a:stretch>
                  </pic:blipFill>
                  <pic:spPr bwMode="auto">
                    <a:xfrm>
                      <a:off x="0" y="0"/>
                      <a:ext cx="4667885" cy="8890"/>
                    </a:xfrm>
                    <a:prstGeom prst="rect">
                      <a:avLst/>
                    </a:prstGeom>
                    <a:noFill/>
                  </pic:spPr>
                </pic:pic>
              </a:graphicData>
            </a:graphic>
          </wp:anchor>
        </w:drawing>
      </w:r>
    </w:p>
    <w:p>
      <w:pPr>
        <w:spacing w:after="0" w:line="61" w:lineRule="exact"/>
        <w:rPr>
          <w:sz w:val="20"/>
          <w:szCs w:val="20"/>
          <w:color w:val="auto"/>
        </w:rPr>
      </w:pPr>
    </w:p>
    <w:p>
      <w:pPr>
        <w:jc w:val="both"/>
        <w:ind w:left="1380" w:hanging="998"/>
        <w:spacing w:after="0" w:line="28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738">
        <w:r>
          <w:rPr>
            <w:rFonts w:ascii="Times New Roman" w:cs="Times New Roman" w:eastAsia="Times New Roman" w:hAnsi="Times New Roman"/>
            <w:sz w:val="18"/>
            <w:szCs w:val="18"/>
            <w:u w:val="single" w:color="auto"/>
            <w:color w:val="0000FF"/>
          </w:rPr>
          <w:t>Form on Restricted Stock Agreement (incorporated by reference to Exhibit 10.2 to the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738">
        <w:r>
          <w:rPr>
            <w:rFonts w:ascii="Times New Roman" w:cs="Times New Roman" w:eastAsia="Times New Roman" w:hAnsi="Times New Roman"/>
            <w:sz w:val="18"/>
            <w:szCs w:val="18"/>
            <w:u w:val="single" w:color="auto"/>
            <w:color w:val="0000FF"/>
          </w:rPr>
          <w:t>Commission on October 27, 2005).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-185420</wp:posOffset>
            </wp:positionV>
            <wp:extent cx="624967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9">
                      <a:extLst>
                        <a:ext uri="{28A0092B-C50C-407E-A947-70E740481C1C}"/>
                      </a:extLst>
                    </a:blip>
                    <a:srcRect/>
                    <a:stretch>
                      <a:fillRect/>
                    </a:stretch>
                  </pic:blipFill>
                  <pic:spPr bwMode="auto">
                    <a:xfrm>
                      <a:off x="0" y="0"/>
                      <a:ext cx="624967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-48260</wp:posOffset>
            </wp:positionV>
            <wp:extent cx="1612265"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0">
                      <a:extLst>
                        <a:ext uri="{28A0092B-C50C-407E-A947-70E740481C1C}"/>
                      </a:extLst>
                    </a:blip>
                    <a:srcRect/>
                    <a:stretch>
                      <a:fillRect/>
                    </a:stretch>
                  </pic:blipFill>
                  <pic:spPr bwMode="auto">
                    <a:xfrm>
                      <a:off x="0" y="0"/>
                      <a:ext cx="1612265" cy="8255"/>
                    </a:xfrm>
                    <a:prstGeom prst="rect">
                      <a:avLst/>
                    </a:prstGeom>
                    <a:noFill/>
                  </pic:spPr>
                </pic:pic>
              </a:graphicData>
            </a:graphic>
          </wp:anchor>
        </w:drawing>
      </w:r>
    </w:p>
    <w:p>
      <w:pPr>
        <w:spacing w:after="0" w:line="61" w:lineRule="exact"/>
        <w:rPr>
          <w:sz w:val="20"/>
          <w:szCs w:val="20"/>
          <w:color w:val="auto"/>
        </w:rPr>
      </w:pPr>
    </w:p>
    <w:p>
      <w:pPr>
        <w:jc w:val="both"/>
        <w:ind w:left="1380" w:hanging="998"/>
        <w:spacing w:after="0" w:line="266"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727">
        <w:r>
          <w:rPr>
            <w:rFonts w:ascii="Times New Roman" w:cs="Times New Roman" w:eastAsia="Times New Roman" w:hAnsi="Times New Roman"/>
            <w:sz w:val="18"/>
            <w:szCs w:val="18"/>
            <w:u w:val="single" w:color="auto"/>
            <w:color w:val="0000FF"/>
          </w:rPr>
          <w:t>Form of Subordinated Note Purchase Agreement, dated July 30, 2021, by and among Farmers &amp; Merchants Bancorp, Inc, and the</w:t>
        </w:r>
      </w:hyperlink>
      <w:r>
        <w:rPr>
          <w:rFonts w:ascii="Times New Roman" w:cs="Times New Roman" w:eastAsia="Times New Roman" w:hAnsi="Times New Roman"/>
          <w:sz w:val="18"/>
          <w:szCs w:val="18"/>
          <w:u w:val="single" w:color="auto"/>
          <w:color w:val="0000FF"/>
        </w:rPr>
        <w:t xml:space="preserve"> </w:t>
      </w:r>
      <w:hyperlink r:id="rId727">
        <w:r>
          <w:rPr>
            <w:rFonts w:ascii="Times New Roman" w:cs="Times New Roman" w:eastAsia="Times New Roman" w:hAnsi="Times New Roman"/>
            <w:sz w:val="18"/>
            <w:szCs w:val="18"/>
            <w:u w:val="single" w:color="auto"/>
            <w:color w:val="0000FF"/>
          </w:rPr>
          <w:t>Purchasers (as defined therein) (incorporated by reference to Exhibit 10.1 to the Current Report on Form 8-K filed with the Commission</w:t>
        </w:r>
      </w:hyperlink>
      <w:r>
        <w:rPr>
          <w:rFonts w:ascii="Times New Roman" w:cs="Times New Roman" w:eastAsia="Times New Roman" w:hAnsi="Times New Roman"/>
          <w:sz w:val="18"/>
          <w:szCs w:val="18"/>
          <w:u w:val="single" w:color="auto"/>
          <w:color w:val="0000FF"/>
        </w:rPr>
        <w:t xml:space="preserve"> </w:t>
      </w:r>
      <w:hyperlink r:id="rId727">
        <w:r>
          <w:rPr>
            <w:rFonts w:ascii="Times New Roman" w:cs="Times New Roman" w:eastAsia="Times New Roman" w:hAnsi="Times New Roman"/>
            <w:sz w:val="18"/>
            <w:szCs w:val="18"/>
            <w:u w:val="single" w:color="auto"/>
            <w:color w:val="0000FF"/>
          </w:rPr>
          <w:t>on August 2, 2021).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870585</wp:posOffset>
            </wp:positionH>
            <wp:positionV relativeFrom="paragraph">
              <wp:posOffset>-313055</wp:posOffset>
            </wp:positionV>
            <wp:extent cx="625094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1">
                      <a:extLst>
                        <a:ext uri="{28A0092B-C50C-407E-A947-70E740481C1C}"/>
                      </a:extLst>
                    </a:blip>
                    <a:srcRect/>
                    <a:stretch>
                      <a:fillRect/>
                    </a:stretch>
                  </pic:blipFill>
                  <pic:spPr bwMode="auto">
                    <a:xfrm>
                      <a:off x="0" y="0"/>
                      <a:ext cx="625094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-175895</wp:posOffset>
            </wp:positionV>
            <wp:extent cx="625221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2">
                      <a:extLst>
                        <a:ext uri="{28A0092B-C50C-407E-A947-70E740481C1C}"/>
                      </a:extLst>
                    </a:blip>
                    <a:srcRect/>
                    <a:stretch>
                      <a:fillRect/>
                    </a:stretch>
                  </pic:blipFill>
                  <pic:spPr bwMode="auto">
                    <a:xfrm>
                      <a:off x="0" y="0"/>
                      <a:ext cx="6252210" cy="8255"/>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-38735</wp:posOffset>
            </wp:positionV>
            <wp:extent cx="91059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3">
                      <a:extLst>
                        <a:ext uri="{28A0092B-C50C-407E-A947-70E740481C1C}"/>
                      </a:extLst>
                    </a:blip>
                    <a:srcRect/>
                    <a:stretch>
                      <a:fillRect/>
                    </a:stretch>
                  </pic:blipFill>
                  <pic:spPr bwMode="auto">
                    <a:xfrm>
                      <a:off x="0" y="0"/>
                      <a:ext cx="910590" cy="8255"/>
                    </a:xfrm>
                    <a:prstGeom prst="rect">
                      <a:avLst/>
                    </a:prstGeom>
                    <a:noFill/>
                  </pic:spPr>
                </pic:pic>
              </a:graphicData>
            </a:graphic>
          </wp:anchor>
        </w:drawing>
      </w:r>
    </w:p>
    <w:p>
      <w:pPr>
        <w:spacing w:after="0" w:line="75" w:lineRule="exact"/>
        <w:rPr>
          <w:rFonts w:ascii="Times New Roman" w:cs="Times New Roman" w:eastAsia="Times New Roman" w:hAnsi="Times New Roman"/>
          <w:sz w:val="18"/>
          <w:szCs w:val="18"/>
          <w:u w:val="single" w:color="auto"/>
          <w:color w:val="0000FF"/>
        </w:rPr>
      </w:pPr>
    </w:p>
    <w:p>
      <w:pPr>
        <w:jc w:val="both"/>
        <w:ind w:left="1380" w:hanging="998"/>
        <w:spacing w:after="0" w:line="282" w:lineRule="auto"/>
        <w:tabs>
          <w:tab w:leader="none" w:pos="136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744">
        <w:r>
          <w:rPr>
            <w:rFonts w:ascii="Times New Roman" w:cs="Times New Roman" w:eastAsia="Times New Roman" w:hAnsi="Times New Roman"/>
            <w:sz w:val="18"/>
            <w:szCs w:val="18"/>
            <w:u w:val="single" w:color="auto"/>
            <w:color w:val="0000FF"/>
          </w:rPr>
          <w:t>Form of Change in Control Agreement executed by and between the Company and Benet S. Rupp on July 1, 2019 (incorporated by</w:t>
        </w:r>
      </w:hyperlink>
      <w:r>
        <w:rPr>
          <w:rFonts w:ascii="Times New Roman" w:cs="Times New Roman" w:eastAsia="Times New Roman" w:hAnsi="Times New Roman"/>
          <w:sz w:val="18"/>
          <w:szCs w:val="18"/>
          <w:u w:val="single" w:color="auto"/>
          <w:color w:val="0000FF"/>
        </w:rPr>
        <w:t xml:space="preserve"> </w:t>
      </w:r>
      <w:hyperlink r:id="rId744">
        <w:r>
          <w:rPr>
            <w:rFonts w:ascii="Times New Roman" w:cs="Times New Roman" w:eastAsia="Times New Roman" w:hAnsi="Times New Roman"/>
            <w:sz w:val="18"/>
            <w:szCs w:val="18"/>
            <w:u w:val="single" w:color="auto"/>
            <w:color w:val="0000FF"/>
          </w:rPr>
          <w:t>reference to Exhibit 10.1 to the Company's Quarterly Report on Form 10-Q that was filed with the Commission on October 25,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-185420</wp:posOffset>
            </wp:positionV>
            <wp:extent cx="624967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5">
                      <a:extLst>
                        <a:ext uri="{28A0092B-C50C-407E-A947-70E740481C1C}"/>
                      </a:extLst>
                    </a:blip>
                    <a:srcRect/>
                    <a:stretch>
                      <a:fillRect/>
                    </a:stretch>
                  </pic:blipFill>
                  <pic:spPr bwMode="auto">
                    <a:xfrm>
                      <a:off x="0" y="0"/>
                      <a:ext cx="6249670" cy="8890"/>
                    </a:xfrm>
                    <a:prstGeom prst="rect">
                      <a:avLst/>
                    </a:prstGeom>
                    <a:noFill/>
                  </pic:spPr>
                </pic:pic>
              </a:graphicData>
            </a:graphic>
          </wp:anchor>
        </w:drawing>
        <w:drawing>
          <wp:anchor simplePos="0" relativeHeight="251657728" behindDoc="1" locked="0" layoutInCell="0" allowOverlap="1">
            <wp:simplePos x="0" y="0"/>
            <wp:positionH relativeFrom="column">
              <wp:posOffset>870585</wp:posOffset>
            </wp:positionH>
            <wp:positionV relativeFrom="paragraph">
              <wp:posOffset>-48260</wp:posOffset>
            </wp:positionV>
            <wp:extent cx="6132195"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6">
                      <a:extLst>
                        <a:ext uri="{28A0092B-C50C-407E-A947-70E740481C1C}"/>
                      </a:extLst>
                    </a:blip>
                    <a:srcRect/>
                    <a:stretch>
                      <a:fillRect/>
                    </a:stretch>
                  </pic:blipFill>
                  <pic:spPr bwMode="auto">
                    <a:xfrm>
                      <a:off x="0" y="0"/>
                      <a:ext cx="6132195" cy="8255"/>
                    </a:xfrm>
                    <a:prstGeom prst="rect">
                      <a:avLst/>
                    </a:prstGeom>
                    <a:noFill/>
                  </pic:spPr>
                </pic:pic>
              </a:graphicData>
            </a:graphic>
          </wp:anchor>
        </w:drawing>
      </w:r>
    </w:p>
    <w:p>
      <w:pPr>
        <w:spacing w:after="0" w:line="61" w:lineRule="exact"/>
        <w:rPr>
          <w:sz w:val="20"/>
          <w:szCs w:val="20"/>
          <w:color w:val="auto"/>
        </w:rPr>
      </w:pPr>
    </w:p>
    <w:p>
      <w:pPr>
        <w:ind w:left="1380" w:hanging="1008"/>
        <w:spacing w:after="0"/>
        <w:tabs>
          <w:tab w:leader="none" w:pos="1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Farmers &amp; Merchants Bancorp,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236093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7">
                      <a:extLst>
                        <a:ext uri="{28A0092B-C50C-407E-A947-70E740481C1C}"/>
                      </a:extLst>
                    </a:blip>
                    <a:srcRect/>
                    <a:stretch>
                      <a:fillRect/>
                    </a:stretch>
                  </pic:blipFill>
                  <pic:spPr bwMode="auto">
                    <a:xfrm>
                      <a:off x="0" y="0"/>
                      <a:ext cx="2360930" cy="8890"/>
                    </a:xfrm>
                    <a:prstGeom prst="rect">
                      <a:avLst/>
                    </a:prstGeom>
                    <a:noFill/>
                  </pic:spPr>
                </pic:pic>
              </a:graphicData>
            </a:graphic>
          </wp:anchor>
        </w:drawing>
      </w:r>
    </w:p>
    <w:p>
      <w:pPr>
        <w:spacing w:after="0" w:line="124" w:lineRule="exact"/>
        <w:rPr>
          <w:sz w:val="20"/>
          <w:szCs w:val="20"/>
          <w:color w:val="auto"/>
        </w:rPr>
      </w:pPr>
    </w:p>
    <w:p>
      <w:pPr>
        <w:ind w:left="1380" w:hanging="1008"/>
        <w:spacing w:after="0"/>
        <w:tabs>
          <w:tab w:leader="none" w:pos="1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FORVIS,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118427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8">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124" w:lineRule="exact"/>
        <w:rPr>
          <w:sz w:val="20"/>
          <w:szCs w:val="20"/>
          <w:color w:val="auto"/>
        </w:rPr>
      </w:pPr>
    </w:p>
    <w:p>
      <w:pPr>
        <w:ind w:left="380"/>
        <w:spacing w:after="0"/>
        <w:tabs>
          <w:tab w:leader="none" w:pos="13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Required under Rule 13(a)-14(a)/15d-14(a)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400494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9">
                      <a:extLst>
                        <a:ext uri="{28A0092B-C50C-407E-A947-70E740481C1C}"/>
                      </a:extLst>
                    </a:blip>
                    <a:srcRect/>
                    <a:stretch>
                      <a:fillRect/>
                    </a:stretch>
                  </pic:blipFill>
                  <pic:spPr bwMode="auto">
                    <a:xfrm>
                      <a:off x="0" y="0"/>
                      <a:ext cx="4004945" cy="8255"/>
                    </a:xfrm>
                    <a:prstGeom prst="rect">
                      <a:avLst/>
                    </a:prstGeom>
                    <a:noFill/>
                  </pic:spPr>
                </pic:pic>
              </a:graphicData>
            </a:graphic>
          </wp:anchor>
        </w:drawing>
      </w:r>
    </w:p>
    <w:p>
      <w:pPr>
        <w:spacing w:after="0" w:line="124" w:lineRule="exact"/>
        <w:rPr>
          <w:sz w:val="20"/>
          <w:szCs w:val="20"/>
          <w:color w:val="auto"/>
        </w:rPr>
      </w:pPr>
    </w:p>
    <w:p>
      <w:pPr>
        <w:ind w:left="380"/>
        <w:spacing w:after="0"/>
        <w:tabs>
          <w:tab w:leader="none" w:pos="136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Required under Rule 13(a)-14(a)/15d-14(a)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397319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0">
                      <a:extLst>
                        <a:ext uri="{28A0092B-C50C-407E-A947-70E740481C1C}"/>
                      </a:extLst>
                    </a:blip>
                    <a:srcRect/>
                    <a:stretch>
                      <a:fillRect/>
                    </a:stretch>
                  </pic:blipFill>
                  <pic:spPr bwMode="auto">
                    <a:xfrm>
                      <a:off x="0" y="0"/>
                      <a:ext cx="3973195" cy="8890"/>
                    </a:xfrm>
                    <a:prstGeom prst="rect">
                      <a:avLst/>
                    </a:prstGeom>
                    <a:noFill/>
                  </pic:spPr>
                </pic:pic>
              </a:graphicData>
            </a:graphic>
          </wp:anchor>
        </w:drawing>
      </w:r>
    </w:p>
    <w:p>
      <w:pPr>
        <w:spacing w:after="0" w:line="259" w:lineRule="exact"/>
        <w:rPr>
          <w:sz w:val="20"/>
          <w:szCs w:val="20"/>
          <w:color w:val="auto"/>
        </w:rPr>
      </w:pPr>
    </w:p>
    <w:p>
      <w:pPr>
        <w:ind w:left="380"/>
        <w:spacing w:after="0"/>
        <w:tabs>
          <w:tab w:leader="none" w:pos="136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7"/>
          <w:szCs w:val="17"/>
          <w:u w:val="single" w:color="auto"/>
          <w:color w:val="0000FF"/>
        </w:rPr>
        <w:t>Certification of the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476377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1">
                      <a:extLst>
                        <a:ext uri="{28A0092B-C50C-407E-A947-70E740481C1C}"/>
                      </a:extLst>
                    </a:blip>
                    <a:srcRect/>
                    <a:stretch>
                      <a:fillRect/>
                    </a:stretch>
                  </pic:blipFill>
                  <pic:spPr bwMode="auto">
                    <a:xfrm>
                      <a:off x="0" y="0"/>
                      <a:ext cx="4763770" cy="8890"/>
                    </a:xfrm>
                    <a:prstGeom prst="rect">
                      <a:avLst/>
                    </a:prstGeom>
                    <a:noFill/>
                  </pic:spPr>
                </pic:pic>
              </a:graphicData>
            </a:graphic>
          </wp:anchor>
        </w:drawing>
      </w:r>
    </w:p>
    <w:p>
      <w:pPr>
        <w:spacing w:after="0" w:line="259" w:lineRule="exact"/>
        <w:rPr>
          <w:sz w:val="20"/>
          <w:szCs w:val="20"/>
          <w:color w:val="auto"/>
        </w:rPr>
      </w:pPr>
    </w:p>
    <w:p>
      <w:pPr>
        <w:ind w:left="380"/>
        <w:spacing w:after="0"/>
        <w:tabs>
          <w:tab w:leader="none" w:pos="136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7"/>
          <w:szCs w:val="17"/>
          <w:u w:val="single" w:color="auto"/>
          <w:color w:val="0000FF"/>
        </w:rPr>
        <w:t>Certification of the Chief Financial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-7620</wp:posOffset>
            </wp:positionV>
            <wp:extent cx="473202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2">
                      <a:extLst>
                        <a:ext uri="{28A0092B-C50C-407E-A947-70E740481C1C}"/>
                      </a:extLst>
                    </a:blip>
                    <a:srcRect/>
                    <a:stretch>
                      <a:fillRect/>
                    </a:stretch>
                  </pic:blipFill>
                  <pic:spPr bwMode="auto">
                    <a:xfrm>
                      <a:off x="0" y="0"/>
                      <a:ext cx="4732020" cy="8890"/>
                    </a:xfrm>
                    <a:prstGeom prst="rect">
                      <a:avLst/>
                    </a:prstGeom>
                    <a:noFill/>
                  </pic:spPr>
                </pic:pic>
              </a:graphicData>
            </a:graphic>
          </wp:anchor>
        </w:drawing>
      </w: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5" w:right="359" w:bottom="1440" w:gutter="0" w:footer="0" w:header="0"/>
          <w:type w:val="continuous"/>
        </w:sectPr>
      </w:pPr>
    </w:p>
    <w:bookmarkStart w:id="115" w:name="page116"/>
    <w:bookmarkEnd w:id="115"/>
    <w:tbl>
      <w:tblPr>
        <w:tblLayout w:type="fixed"/>
        <w:tblInd w:w="38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317"/>
        </w:trPr>
        <w:tc>
          <w:tcPr>
            <w:tcW w:w="820" w:type="dxa"/>
            <w:vAlign w:val="bottom"/>
          </w:tcPr>
          <w:p>
            <w:pPr>
              <w:spacing w:after="0"/>
              <w:rPr>
                <w:sz w:val="24"/>
                <w:szCs w:val="24"/>
                <w:color w:val="auto"/>
              </w:rPr>
            </w:pP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embedded within the Inline XBRL document. </w:t>
            </w:r>
            <w:r>
              <w:rPr>
                <w:rFonts w:ascii="Times New Roman" w:cs="Times New Roman" w:eastAsia="Times New Roman" w:hAnsi="Times New Roman"/>
                <w:sz w:val="24"/>
                <w:szCs w:val="24"/>
                <w:color w:val="auto"/>
                <w:vertAlign w:val="superscript"/>
              </w:rPr>
              <w:t>(1)</w:t>
            </w:r>
          </w:p>
        </w:tc>
      </w:tr>
      <w:tr>
        <w:trPr>
          <w:trHeight w:val="48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Inline XBRL Taxonomy Extension Schema Document </w:t>
            </w:r>
            <w:r>
              <w:rPr>
                <w:rFonts w:ascii="Times New Roman" w:cs="Times New Roman" w:eastAsia="Times New Roman" w:hAnsi="Times New Roman"/>
                <w:sz w:val="24"/>
                <w:szCs w:val="24"/>
                <w:color w:val="auto"/>
                <w:vertAlign w:val="superscript"/>
              </w:rPr>
              <w:t>(1)</w:t>
            </w:r>
          </w:p>
        </w:tc>
      </w:tr>
      <w:tr>
        <w:trPr>
          <w:trHeight w:val="48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Inline XBRL Taxonomy Extension Calculation Linkbase Document </w:t>
            </w:r>
            <w:r>
              <w:rPr>
                <w:rFonts w:ascii="Times New Roman" w:cs="Times New Roman" w:eastAsia="Times New Roman" w:hAnsi="Times New Roman"/>
                <w:sz w:val="24"/>
                <w:szCs w:val="24"/>
                <w:color w:val="auto"/>
                <w:vertAlign w:val="superscript"/>
              </w:rPr>
              <w:t>(1)</w:t>
            </w:r>
          </w:p>
        </w:tc>
      </w:tr>
      <w:tr>
        <w:trPr>
          <w:trHeight w:val="3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Inline XBRL Taxonomy Extension Definition Linkbase Document </w:t>
            </w:r>
            <w:r>
              <w:rPr>
                <w:rFonts w:ascii="Times New Roman" w:cs="Times New Roman" w:eastAsia="Times New Roman" w:hAnsi="Times New Roman"/>
                <w:sz w:val="24"/>
                <w:szCs w:val="24"/>
                <w:color w:val="auto"/>
                <w:vertAlign w:val="superscript"/>
              </w:rPr>
              <w:t>(1)</w:t>
            </w:r>
          </w:p>
        </w:tc>
      </w:tr>
      <w:tr>
        <w:trPr>
          <w:trHeight w:val="351"/>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Inline XBRL Taxonomy Extension Label Linkbase Document </w:t>
            </w:r>
            <w:r>
              <w:rPr>
                <w:rFonts w:ascii="Times New Roman" w:cs="Times New Roman" w:eastAsia="Times New Roman" w:hAnsi="Times New Roman"/>
                <w:sz w:val="24"/>
                <w:szCs w:val="24"/>
                <w:color w:val="auto"/>
                <w:vertAlign w:val="superscript"/>
              </w:rPr>
              <w:t>(1)</w:t>
            </w:r>
          </w:p>
        </w:tc>
      </w:tr>
      <w:tr>
        <w:trPr>
          <w:trHeight w:val="31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Inline XBRL Taxonomy Extension Presentation Linkbase Document </w:t>
            </w:r>
            <w:r>
              <w:rPr>
                <w:rFonts w:ascii="Times New Roman" w:cs="Times New Roman" w:eastAsia="Times New Roman" w:hAnsi="Times New Roman"/>
                <w:sz w:val="24"/>
                <w:szCs w:val="24"/>
                <w:color w:val="auto"/>
                <w:vertAlign w:val="superscript"/>
              </w:rPr>
              <w:t>(1)</w:t>
            </w:r>
          </w:p>
        </w:tc>
      </w:tr>
    </w:tbl>
    <w:p>
      <w:pPr>
        <w:ind w:left="1380" w:right="20" w:hanging="1008"/>
        <w:spacing w:after="0" w:line="258" w:lineRule="auto"/>
        <w:tabs>
          <w:tab w:leader="none" w:pos="13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Annual Report on Form 10-K for the year ended December 31, 2021, has been formatted in Inline XBRL.</w:t>
      </w:r>
    </w:p>
    <w:p>
      <w:pPr>
        <w:spacing w:after="0" w:line="88" w:lineRule="exact"/>
        <w:rPr>
          <w:rFonts w:ascii="Times New Roman" w:cs="Times New Roman" w:eastAsia="Times New Roman" w:hAnsi="Times New Roman"/>
          <w:sz w:val="18"/>
          <w:szCs w:val="18"/>
          <w:color w:val="auto"/>
        </w:rPr>
      </w:pPr>
    </w:p>
    <w:p>
      <w:pPr>
        <w:ind w:firstLine="8"/>
        <w:spacing w:after="0" w:line="251" w:lineRule="auto"/>
        <w:tabs>
          <w:tab w:leader="none" w:pos="185" w:val="left"/>
        </w:tabs>
        <w:numPr>
          <w:ilvl w:val="0"/>
          <w:numId w:val="2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4"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 (d)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5080" w:type="dxa"/>
        <w:tblCellMar>
          <w:top w:w="0" w:type="dxa"/>
          <w:left w:w="0" w:type="dxa"/>
          <w:bottom w:w="0" w:type="dxa"/>
          <w:right w:w="0" w:type="dxa"/>
        </w:tblCellMar>
      </w:tblPr>
      <w:tr>
        <w:trPr>
          <w:trHeight w:val="241"/>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Lars B. Eller</w:t>
            </w:r>
          </w:p>
        </w:tc>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Date:  February 21, 2023</w:t>
            </w:r>
          </w:p>
        </w:tc>
      </w:tr>
      <w:tr>
        <w:trPr>
          <w:trHeight w:val="234"/>
        </w:trPr>
        <w:tc>
          <w:tcPr>
            <w:tcW w:w="300" w:type="dxa"/>
            <w:vAlign w:val="bottom"/>
          </w:tcPr>
          <w:p>
            <w:pPr>
              <w:spacing w:after="0"/>
              <w:rPr>
                <w:sz w:val="20"/>
                <w:szCs w:val="20"/>
                <w:color w:val="auto"/>
              </w:rPr>
            </w:pPr>
          </w:p>
        </w:tc>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Lars B. Eller</w:t>
            </w:r>
          </w:p>
        </w:tc>
        <w:tc>
          <w:tcPr>
            <w:tcW w:w="68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r>
      <w:tr>
        <w:trPr>
          <w:trHeight w:val="238"/>
        </w:trPr>
        <w:tc>
          <w:tcPr>
            <w:tcW w:w="300" w:type="dxa"/>
            <w:vAlign w:val="bottom"/>
          </w:tcPr>
          <w:p>
            <w:pPr>
              <w:spacing w:after="0"/>
              <w:rPr>
                <w:sz w:val="20"/>
                <w:szCs w:val="20"/>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68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43"/>
        </w:trPr>
        <w:tc>
          <w:tcPr>
            <w:tcW w:w="30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c>
          <w:tcPr>
            <w:tcW w:w="680" w:type="dxa"/>
            <w:vAlign w:val="bottom"/>
          </w:tcPr>
          <w:p>
            <w:pPr>
              <w:spacing w:after="0"/>
              <w:rPr>
                <w:sz w:val="21"/>
                <w:szCs w:val="21"/>
                <w:color w:val="auto"/>
              </w:rPr>
            </w:pPr>
          </w:p>
        </w:tc>
        <w:tc>
          <w:tcPr>
            <w:tcW w:w="1840" w:type="dxa"/>
            <w:vAlign w:val="bottom"/>
          </w:tcPr>
          <w:p>
            <w:pPr>
              <w:spacing w:after="0"/>
              <w:rPr>
                <w:sz w:val="21"/>
                <w:szCs w:val="2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 w:type="dxa"/>
            <w:vAlign w:val="bottom"/>
          </w:tcPr>
          <w:p>
            <w:pPr>
              <w:spacing w:after="0"/>
              <w:rPr>
                <w:sz w:val="20"/>
                <w:szCs w:val="20"/>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Lars B. Eller</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2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Barbara J. Britenriker</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60" w:type="dxa"/>
            <w:vAlign w:val="bottom"/>
          </w:tcPr>
          <w:p>
            <w:pPr>
              <w:spacing w:after="0"/>
              <w:rPr>
                <w:sz w:val="20"/>
                <w:szCs w:val="20"/>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Lars B. Eller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Barbara J. Britenriker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80" w:type="dxa"/>
            <w:vAlign w:val="bottom"/>
          </w:tcPr>
          <w:p>
            <w:pPr>
              <w:spacing w:after="0"/>
              <w:rPr>
                <w:sz w:val="20"/>
                <w:szCs w:val="20"/>
                <w:color w:val="auto"/>
              </w:rPr>
            </w:pPr>
          </w:p>
        </w:tc>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Financial Officer/Principal Accounting Officer)</w:t>
            </w:r>
          </w:p>
        </w:tc>
        <w:tc>
          <w:tcPr>
            <w:tcW w:w="6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J. Briggs</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2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Andrew J. Briggs,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8"/>
        </w:trPr>
        <w:tc>
          <w:tcPr>
            <w:tcW w:w="8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Eugene N. Burkholder</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 Ellen Hornish</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Eugene N. Burkholder,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Jo Ellen Hornish, Director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8"/>
        </w:trPr>
        <w:tc>
          <w:tcPr>
            <w:tcW w:w="8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Jack C. Johnson</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Lori A. Johnston</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Jack C. Johnson,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Lori A. Johnston, Director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8"/>
        </w:trPr>
        <w:tc>
          <w:tcPr>
            <w:tcW w:w="8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Marcia S. Latta</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J. Planson</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Marcia S. Latta,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Steven J. Planson, Director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8"/>
        </w:trPr>
        <w:tc>
          <w:tcPr>
            <w:tcW w:w="8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J. Sauder</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Frank R. Simon</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Kevin J. Sauder,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Frank R. Simon, Director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8"/>
        </w:trPr>
        <w:tc>
          <w:tcPr>
            <w:tcW w:w="80" w:type="dxa"/>
            <w:vAlign w:val="bottom"/>
          </w:tcPr>
          <w:p>
            <w:pPr>
              <w:spacing w:after="0"/>
              <w:rPr>
                <w:sz w:val="24"/>
                <w:szCs w:val="24"/>
                <w:color w:val="auto"/>
              </w:rPr>
            </w:pPr>
          </w:p>
        </w:tc>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 Brad Stamm</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Date:</w:t>
            </w: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2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P. Vernon</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Date:</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February 21, 2023</w:t>
            </w:r>
          </w:p>
        </w:tc>
        <w:tc>
          <w:tcPr>
            <w:tcW w:w="6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K. Brad Stamm, Director</w:t>
            </w:r>
          </w:p>
        </w:tc>
        <w:tc>
          <w:tcPr>
            <w:tcW w:w="6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David P. Vernon, Director</w:t>
            </w:r>
          </w:p>
        </w:tc>
        <w:tc>
          <w:tcPr>
            <w:tcW w:w="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900"/>
        </w:trPr>
        <w:tc>
          <w:tcPr>
            <w:tcW w:w="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80" w:type="dxa"/>
            <w:vAlign w:val="bottom"/>
            <w:gridSpan w:val="3"/>
          </w:tcPr>
          <w:p>
            <w:pPr>
              <w:jc w:val="right"/>
              <w:ind w:right="2670"/>
              <w:spacing w:after="0"/>
              <w:rPr>
                <w:sz w:val="20"/>
                <w:szCs w:val="20"/>
                <w:color w:val="auto"/>
              </w:rPr>
            </w:pPr>
            <w:r>
              <w:rPr>
                <w:rFonts w:ascii="Times New Roman" w:cs="Times New Roman" w:eastAsia="Times New Roman" w:hAnsi="Times New Roman"/>
                <w:sz w:val="18"/>
                <w:szCs w:val="18"/>
                <w:color w:val="auto"/>
              </w:rPr>
              <w:t>117</w:t>
            </w: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5"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SUBSIDIARIES OF FARMERS &amp; MERCHANTS BANCORP, INC</w:t>
      </w:r>
    </w:p>
    <w:p>
      <w:pPr>
        <w:spacing w:after="0" w:line="3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FARMERS &amp; MERCHANTS STATE BANK</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FARMERS &amp; MERCHANTS RISK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ind w:right="275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156845</wp:posOffset>
            </wp:positionV>
            <wp:extent cx="5349240" cy="82296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8">
                      <a:extLst>
                        <a:ext uri="{28A0092B-C50C-407E-A947-70E740481C1C}"/>
                      </a:extLst>
                    </a:blip>
                    <a:srcRect/>
                    <a:stretch>
                      <a:fillRect/>
                    </a:stretch>
                  </pic:blipFill>
                  <pic:spPr bwMode="auto">
                    <a:xfrm>
                      <a:off x="0" y="0"/>
                      <a:ext cx="5349240"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(SEC File No. 333-248781) of our report dated February 24, 2023, on our audits of the consolidated financial statements of Farmers &amp; Merchants Bancorp, Inc. as of December 31, 2022 and 2021, and for the three-year period ended December 31, 2022, which report is included in Farmers &amp; Merchants Bancorp, Inc.’s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FORVIS,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Wayne, Indiana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[Remainder of this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Lars B. Eller, President and Chief Executive Officer of Farmers &amp; Merchants Bancorp, Inc., certify that:</w:t>
      </w:r>
    </w:p>
    <w:p>
      <w:pPr>
        <w:spacing w:after="0" w:line="225" w:lineRule="exact"/>
        <w:rPr>
          <w:sz w:val="20"/>
          <w:szCs w:val="20"/>
          <w:color w:val="auto"/>
        </w:rPr>
      </w:pPr>
    </w:p>
    <w:p>
      <w:pPr>
        <w:ind w:left="380" w:hanging="372"/>
        <w:spacing w:after="0"/>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1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4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60" w:right="20" w:firstLine="10"/>
        <w:spacing w:after="0" w:line="282" w:lineRule="auto"/>
        <w:tabs>
          <w:tab w:leader="none" w:pos="84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2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60" w:right="20" w:firstLine="10"/>
        <w:spacing w:after="0" w:line="282" w:lineRule="auto"/>
        <w:tabs>
          <w:tab w:leader="none" w:pos="81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60" w:firstLine="10"/>
        <w:spacing w:after="0" w:line="282" w:lineRule="auto"/>
        <w:tabs>
          <w:tab w:leader="none" w:pos="81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February 24, 2023</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Lars B. Eller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President and CEO</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Barbara J. Britenriker, Chief Financial Officer of Farmers &amp; Merchants Bancorp, Inc., certify that:</w:t>
      </w:r>
    </w:p>
    <w:p>
      <w:pPr>
        <w:spacing w:after="0" w:line="225"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Farmers &amp; Merchants Bancorp,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1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60" w:right="20" w:firstLine="10"/>
        <w:spacing w:after="0" w:line="282" w:lineRule="auto"/>
        <w:tabs>
          <w:tab w:leader="none" w:pos="84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60" w:firstLine="10"/>
        <w:spacing w:after="0" w:line="266" w:lineRule="auto"/>
        <w:tabs>
          <w:tab w:leader="none" w:pos="82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60" w:right="20" w:firstLine="10"/>
        <w:spacing w:after="0" w:line="282" w:lineRule="auto"/>
        <w:tabs>
          <w:tab w:leader="none" w:pos="81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60" w:firstLine="10"/>
        <w:spacing w:after="0" w:line="282" w:lineRule="auto"/>
        <w:tabs>
          <w:tab w:leader="none" w:pos="81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24, 2023</w:t>
      </w:r>
      <w:r>
        <w:rPr>
          <w:sz w:val="20"/>
          <w:szCs w:val="20"/>
          <w:color w:val="auto"/>
        </w:rPr>
        <w:tab/>
      </w:r>
      <w:r>
        <w:rPr>
          <w:rFonts w:ascii="Times New Roman" w:cs="Times New Roman" w:eastAsia="Times New Roman" w:hAnsi="Times New Roman"/>
          <w:sz w:val="17"/>
          <w:szCs w:val="17"/>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Barbara J. Britenriker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color w:val="auto"/>
        </w:rPr>
        <w:t>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ENACTED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Farmers &amp; Merchants Bancorp, Inc. for the year ended December 31, 2022, as filed with the Securities and Exchange Commission (the “Report”), I, Lars B. Eller, Chief Executive Officer, of the Company, certify, pursuant to 18 U.S.C. 1350, as added by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24, 2023</w:t>
      </w:r>
      <w:r>
        <w:rPr>
          <w:sz w:val="20"/>
          <w:szCs w:val="20"/>
          <w:color w:val="auto"/>
        </w:rPr>
        <w:tab/>
      </w:r>
      <w:r>
        <w:rPr>
          <w:rFonts w:ascii="Times New Roman" w:cs="Times New Roman" w:eastAsia="Times New Roman" w:hAnsi="Times New Roman"/>
          <w:sz w:val="17"/>
          <w:szCs w:val="17"/>
          <w:color w:val="auto"/>
        </w:rPr>
        <w:t>/s/ Lars B. 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Lars B. Eller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6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AS ENACTED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FARMERS &amp; MERCHANTS BANCORP,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Farmers &amp; Merchants Bancorp, Inc. for the year ended December 31, 2022, as filed with the Securities and Exchange Commission (the “Report”), I, Barbara J. Britenriker, Chief Financial Officer, of the Company, certify, pursuant to 18 U.S.C. 1350, as added by 906 of the Sarbanes-Oxley Act of 2002, that:</w:t>
      </w:r>
    </w:p>
    <w:p>
      <w:pPr>
        <w:spacing w:after="0" w:line="176"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24, 2023</w:t>
      </w:r>
      <w:r>
        <w:rPr>
          <w:sz w:val="20"/>
          <w:szCs w:val="20"/>
          <w:color w:val="auto"/>
        </w:rPr>
        <w:tab/>
      </w:r>
      <w:r>
        <w:rPr>
          <w:rFonts w:ascii="Times New Roman" w:cs="Times New Roman" w:eastAsia="Times New Roman" w:hAnsi="Times New Roman"/>
          <w:sz w:val="17"/>
          <w:szCs w:val="17"/>
          <w:color w:val="auto"/>
        </w:rPr>
        <w:t>/s/ Barbara J. Britenriker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825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Barbara J. Britenriker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6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lvl w:ilvl="1">
      <w:lvlJc w:val="left"/>
      <w:lvlText w:val="o"/>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o"/>
      <w:numFmt w:val="bullet"/>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1."/>
      <w:numFmt w:val="decimal"/>
      <w:start w:val="1"/>
    </w:lvl>
    <w:lvl w:ilvl="1">
      <w:lvlJc w:val="left"/>
      <w:lvlText w:val="%2."/>
      <w:numFmt w:val="lowerLetter"/>
      <w:start w:val="1"/>
    </w:lvl>
  </w:abstractNum>
  <w:abstractNum w:abstractNumId="15">
    <w:nsid w:val="333AB105"/>
    <w:multiLevelType w:val="hybridMultilevel"/>
    <w:lvl w:ilvl="0">
      <w:lvlJc w:val="left"/>
      <w:lvlText w:val="%1."/>
      <w:numFmt w:val="decimal"/>
      <w:start w:val="5"/>
    </w:lvl>
    <w:lvl w:ilvl="1">
      <w:lvlJc w:val="left"/>
      <w:lvlText w:val="%2."/>
      <w:numFmt w:val="lowerLetter"/>
      <w:start w:val="1"/>
    </w:lvl>
  </w:abstractNum>
  <w:abstractNum w:abstractNumId="16">
    <w:nsid w:val="721DA317"/>
    <w:multiLevelType w:val="hybridMultilevel"/>
    <w:lvl w:ilvl="0">
      <w:lvlJc w:val="left"/>
      <w:lvlText w:val="%1."/>
      <w:numFmt w:val="decimal"/>
      <w:start w:val="8"/>
    </w:lvl>
    <w:lvl w:ilvl="1">
      <w:lvlJc w:val="left"/>
      <w:lvlText w:val="%2."/>
      <w:numFmt w:val="lowerLetter"/>
      <w:start w:val="1"/>
    </w:lvl>
  </w:abstractNum>
  <w:abstractNum w:abstractNumId="17">
    <w:nsid w:val="2443A858"/>
    <w:multiLevelType w:val="hybridMultilevel"/>
    <w:lvl w:ilvl="0">
      <w:lvlJc w:val="left"/>
      <w:lvlText w:val="(%1)"/>
      <w:numFmt w:val="decimal"/>
      <w:start w:val="2"/>
    </w:lvl>
  </w:abstractNum>
  <w:abstractNum w:abstractNumId="18">
    <w:nsid w:val="2D1D5AE9"/>
    <w:multiLevelType w:val="hybridMultilevel"/>
    <w:lvl w:ilvl="0">
      <w:lvlJc w:val="left"/>
      <w:lvlText w:val="%1."/>
      <w:numFmt w:val="lowerLetter"/>
      <w:start w:val="1"/>
    </w:lvl>
    <w:lvl w:ilvl="1">
      <w:lvlJc w:val="left"/>
      <w:lvlText w:val="(%2)"/>
      <w:numFmt w:val="decimal"/>
      <w:start w:val="1"/>
    </w:lvl>
  </w:abstractNum>
  <w:abstractNum w:abstractNumId="19">
    <w:nsid w:val="6763845E"/>
    <w:multiLevelType w:val="hybridMultilevel"/>
    <w:lvl w:ilvl="0">
      <w:lvlJc w:val="left"/>
      <w:lvlText w:val="(%1)"/>
      <w:numFmt w:val="decimal"/>
      <w:start w:val="21"/>
    </w:lvl>
  </w:abstractNum>
  <w:abstractNum w:abstractNumId="20">
    <w:nsid w:val="75A2A8D4"/>
    <w:multiLevelType w:val="hybridMultilevel"/>
    <w:lvl w:ilvl="0">
      <w:lvlJc w:val="left"/>
      <w:lvlText w:val="(%1)"/>
      <w:numFmt w:val="decimal"/>
      <w:start w:val="23"/>
    </w:lvl>
  </w:abstractNum>
  <w:abstractNum w:abstractNumId="21">
    <w:nsid w:val="8EDBDAB"/>
    <w:multiLevelType w:val="hybridMultilevel"/>
    <w:lvl w:ilvl="0">
      <w:lvlJc w:val="left"/>
      <w:lvlText w:val="%1"/>
      <w:numFmt w:val="decimal"/>
      <w:start w:val="1"/>
    </w:lvl>
    <w:lvl w:ilvl="1">
      <w:lvlJc w:val="left"/>
      <w:lvlText w:val="%2"/>
      <w:numFmt w:val="decimal"/>
      <w:start w:val="104"/>
    </w:lvl>
  </w:abstractNum>
  <w:abstractNum w:abstractNumId="22">
    <w:nsid w:val="79838CB2"/>
    <w:multiLevelType w:val="hybridMultilevel"/>
    <w:lvl w:ilvl="0">
      <w:lvlJc w:val="left"/>
      <w:lvlText w:val="(%1)"/>
      <w:numFmt w:val="decimal"/>
      <w:start w:val="1"/>
    </w:lvl>
    <w:lvl w:ilvl="1">
      <w:lvlJc w:val="left"/>
      <w:lvlText w:val="%2"/>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30" Type="http://schemas.openxmlformats.org/officeDocument/2006/relationships/image" Target="media/image716.png"/><Relationship Id="rId731" Type="http://schemas.openxmlformats.org/officeDocument/2006/relationships/image" Target="media/image717.png"/><Relationship Id="rId733" Type="http://schemas.openxmlformats.org/officeDocument/2006/relationships/image" Target="media/image718.png"/><Relationship Id="rId734" Type="http://schemas.openxmlformats.org/officeDocument/2006/relationships/image" Target="media/image719.png"/><Relationship Id="rId736" Type="http://schemas.openxmlformats.org/officeDocument/2006/relationships/image" Target="media/image720.png"/><Relationship Id="rId737" Type="http://schemas.openxmlformats.org/officeDocument/2006/relationships/image" Target="media/image721.png"/><Relationship Id="rId739" Type="http://schemas.openxmlformats.org/officeDocument/2006/relationships/image" Target="media/image722.png"/><Relationship Id="rId740" Type="http://schemas.openxmlformats.org/officeDocument/2006/relationships/image" Target="media/image723.png"/><Relationship Id="rId741" Type="http://schemas.openxmlformats.org/officeDocument/2006/relationships/image" Target="media/image724.png"/><Relationship Id="rId742" Type="http://schemas.openxmlformats.org/officeDocument/2006/relationships/image" Target="media/image725.png"/><Relationship Id="rId743" Type="http://schemas.openxmlformats.org/officeDocument/2006/relationships/image" Target="media/image726.png"/><Relationship Id="rId745" Type="http://schemas.openxmlformats.org/officeDocument/2006/relationships/image" Target="media/image727.png"/><Relationship Id="rId746" Type="http://schemas.openxmlformats.org/officeDocument/2006/relationships/image" Target="media/image728.png"/><Relationship Id="rId747" Type="http://schemas.openxmlformats.org/officeDocument/2006/relationships/image" Target="media/image729.png"/><Relationship Id="rId748" Type="http://schemas.openxmlformats.org/officeDocument/2006/relationships/image" Target="media/image730.png"/><Relationship Id="rId749" Type="http://schemas.openxmlformats.org/officeDocument/2006/relationships/image" Target="media/image731.png"/><Relationship Id="rId750" Type="http://schemas.openxmlformats.org/officeDocument/2006/relationships/image" Target="media/image732.png"/><Relationship Id="rId751" Type="http://schemas.openxmlformats.org/officeDocument/2006/relationships/image" Target="media/image733.png"/><Relationship Id="rId752" Type="http://schemas.openxmlformats.org/officeDocument/2006/relationships/image" Target="media/image734.png"/><Relationship Id="rId753" Type="http://schemas.openxmlformats.org/officeDocument/2006/relationships/image" Target="media/image735.png"/><Relationship Id="rId754" Type="http://schemas.openxmlformats.org/officeDocument/2006/relationships/image" Target="media/image736.png"/><Relationship Id="rId755" Type="http://schemas.openxmlformats.org/officeDocument/2006/relationships/image" Target="media/image737.png"/><Relationship Id="rId756" Type="http://schemas.openxmlformats.org/officeDocument/2006/relationships/image" Target="media/image738.png"/><Relationship Id="rId757" Type="http://schemas.openxmlformats.org/officeDocument/2006/relationships/image" Target="media/image739.png"/><Relationship Id="rId758" Type="http://schemas.openxmlformats.org/officeDocument/2006/relationships/image" Target="media/image740.jpeg"/><Relationship Id="rId759" Type="http://schemas.openxmlformats.org/officeDocument/2006/relationships/image" Target="media/image741.png"/><Relationship Id="rId760" Type="http://schemas.openxmlformats.org/officeDocument/2006/relationships/image" Target="media/image742.png"/><Relationship Id="rId761" Type="http://schemas.openxmlformats.org/officeDocument/2006/relationships/image" Target="media/image743.png"/><Relationship Id="rId762" Type="http://schemas.openxmlformats.org/officeDocument/2006/relationships/image" Target="media/image744.png"/><Relationship Id="rId763" Type="http://schemas.openxmlformats.org/officeDocument/2006/relationships/image" Target="media/image745.png"/><Relationship Id="rId764" Type="http://schemas.openxmlformats.org/officeDocument/2006/relationships/image" Target="media/image746.png"/><Relationship Id="rId765" Type="http://schemas.openxmlformats.org/officeDocument/2006/relationships/image" Target="media/image747.png"/><Relationship Id="rId766" Type="http://schemas.openxmlformats.org/officeDocument/2006/relationships/image" Target="media/image748.png"/><Relationship Id="rId767" Type="http://schemas.openxmlformats.org/officeDocument/2006/relationships/image" Target="media/image749.png"/><Relationship Id="rId723" Type="http://schemas.openxmlformats.org/officeDocument/2006/relationships/hyperlink" Target="https://www.sec.gov/Archives/edgar/data/792966/000119312522174225/d368190dex21.htm" TargetMode="External"/><Relationship Id="rId724" Type="http://schemas.openxmlformats.org/officeDocument/2006/relationships/hyperlink" Target="https://www.sec.gov/Archives/edgar/data/792966/000119312517318709/d447990dex31.htm" TargetMode="External"/><Relationship Id="rId725" Type="http://schemas.openxmlformats.org/officeDocument/2006/relationships/hyperlink" Target="https://www.sec.gov/Archives/edgar/data/792966/000119312517235925/d422994dex32.htm" TargetMode="External"/><Relationship Id="rId726" Type="http://schemas.openxmlformats.org/officeDocument/2006/relationships/hyperlink" Target="https://www.sec.gov/Archives/edgar/data/792966/000156459020006695/fmao-ex41_282.htm" TargetMode="External"/><Relationship Id="rId727" Type="http://schemas.openxmlformats.org/officeDocument/2006/relationships/hyperlink" Target="https://www.sec.gov/Archives/edgar/data/792966/000156459021039640/fmao-ex101_70.htm" TargetMode="External"/><Relationship Id="rId728" Type="http://schemas.openxmlformats.org/officeDocument/2006/relationships/hyperlink" Target="https://www.sec.gov/Archives/edgar/data/792966/000119312513073008/d445099dex101.htm" TargetMode="External"/><Relationship Id="rId729" Type="http://schemas.openxmlformats.org/officeDocument/2006/relationships/hyperlink" Target="https://www.sec.gov/Archives/edgar/data/792966/000119312513073008/d445099dex102.htm" TargetMode="External"/><Relationship Id="rId732" Type="http://schemas.openxmlformats.org/officeDocument/2006/relationships/hyperlink" Target="https://www.sec.gov/Archives/edgar/data/792966/000156459021045036/fmao-ex101_7.htm" TargetMode="External"/><Relationship Id="rId735" Type="http://schemas.openxmlformats.org/officeDocument/2006/relationships/hyperlink" Target="https://www.sec.gov/Archives/edgar/data/792966/000119312515093241/d891255ddef14a.htm" TargetMode="External"/><Relationship Id="rId738" Type="http://schemas.openxmlformats.org/officeDocument/2006/relationships/hyperlink" Target="https://www.sec.gov/Archives/edgar/data/792966/000095012405005979/k99341exv10w2.txt" TargetMode="External"/><Relationship Id="rId744" Type="http://schemas.openxmlformats.org/officeDocument/2006/relationships/hyperlink" Target="https://www.sec.gov/Archives/edgar/data/792966/000095017022020005/fmao-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2023-02-24T14:27:56Z</dcterms:created>
  <dcterms:modified xsi:type="dcterms:W3CDTF">2023-02-24T14:27:56Z</dcterms:modified>
</cp:coreProperties>
</file>