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33"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52" w:lineRule="exact"/>
        <w:rPr>
          <w:sz w:val="24"/>
          <w:szCs w:val="24"/>
          <w:color w:val="auto"/>
        </w:rPr>
      </w:pPr>
    </w:p>
    <w:p>
      <w:pPr>
        <w:ind w:left="2620"/>
        <w:spacing w:after="0"/>
        <w:rPr>
          <w:sz w:val="20"/>
          <w:szCs w:val="20"/>
          <w:color w:val="auto"/>
        </w:rPr>
      </w:pPr>
      <w:r>
        <w:rPr>
          <w:rFonts w:ascii="Courier New" w:cs="Courier New" w:eastAsia="Courier New" w:hAnsi="Courier New"/>
          <w:sz w:val="15"/>
          <w:szCs w:val="15"/>
          <w:color w:val="auto"/>
        </w:rPr>
        <w:t>Washington, D.C. 20549</w:t>
      </w:r>
    </w:p>
    <w:p>
      <w:pPr>
        <w:spacing w:after="0" w:line="33"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FORM 10-K</w:t>
      </w:r>
    </w:p>
    <w:p>
      <w:pPr>
        <w:spacing w:after="0" w:line="5" w:lineRule="exact"/>
        <w:rPr>
          <w:sz w:val="24"/>
          <w:szCs w:val="24"/>
          <w:color w:val="auto"/>
        </w:rPr>
      </w:pPr>
    </w:p>
    <w:p>
      <w:pPr>
        <w:ind w:left="1360"/>
        <w:spacing w:after="0"/>
        <w:rPr>
          <w:sz w:val="20"/>
          <w:szCs w:val="20"/>
          <w:color w:val="auto"/>
        </w:rPr>
      </w:pPr>
      <w:r>
        <w:rPr>
          <w:rFonts w:ascii="Courier New" w:cs="Courier New" w:eastAsia="Courier New" w:hAnsi="Courier New"/>
          <w:sz w:val="15"/>
          <w:szCs w:val="15"/>
          <w:color w:val="auto"/>
        </w:rPr>
        <w:t>/X/ Annual Report Pursuant to Section 13 or 15(d)</w:t>
      </w:r>
    </w:p>
    <w:p>
      <w:pPr>
        <w:spacing w:after="0" w:line="5" w:lineRule="exact"/>
        <w:rPr>
          <w:sz w:val="24"/>
          <w:szCs w:val="24"/>
          <w:color w:val="auto"/>
        </w:rPr>
      </w:pPr>
    </w:p>
    <w:p>
      <w:pPr>
        <w:ind w:left="190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For the fiscal year ended December 31, 1998</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or</w:t>
      </w:r>
    </w:p>
    <w:p>
      <w:pPr>
        <w:spacing w:after="0" w:line="5" w:lineRule="exact"/>
        <w:rPr>
          <w:sz w:val="24"/>
          <w:szCs w:val="24"/>
          <w:color w:val="auto"/>
        </w:rPr>
      </w:pPr>
    </w:p>
    <w:p>
      <w:pPr>
        <w:ind w:left="1900" w:right="4039" w:hanging="725"/>
        <w:spacing w:after="0" w:line="246" w:lineRule="auto"/>
        <w:tabs>
          <w:tab w:leader="none" w:pos="135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 w:lineRule="exact"/>
        <w:rPr>
          <w:sz w:val="24"/>
          <w:szCs w:val="24"/>
          <w:color w:val="auto"/>
        </w:rPr>
      </w:pPr>
    </w:p>
    <w:p>
      <w:pPr>
        <w:ind w:left="2000"/>
        <w:spacing w:after="0"/>
        <w:tabs>
          <w:tab w:leader="none" w:pos="4980"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5"/>
          <w:szCs w:val="15"/>
          <w:color w:val="auto"/>
        </w:rPr>
        <w:t>to</w:t>
      </w:r>
    </w:p>
    <w:p>
      <w:pPr>
        <w:spacing w:after="0" w:line="152" w:lineRule="exact"/>
        <w:rPr>
          <w:sz w:val="24"/>
          <w:szCs w:val="24"/>
          <w:color w:val="auto"/>
        </w:rPr>
      </w:pPr>
    </w:p>
    <w:p>
      <w:pPr>
        <w:ind w:left="2260"/>
        <w:spacing w:after="0"/>
        <w:rPr>
          <w:sz w:val="20"/>
          <w:szCs w:val="20"/>
          <w:color w:val="auto"/>
        </w:rPr>
      </w:pPr>
      <w:r>
        <w:rPr>
          <w:rFonts w:ascii="Courier New" w:cs="Courier New" w:eastAsia="Courier New" w:hAnsi="Courier New"/>
          <w:sz w:val="15"/>
          <w:szCs w:val="15"/>
          <w:color w:val="auto"/>
        </w:rPr>
        <w:t>Commission File Number 0-14492</w:t>
      </w:r>
    </w:p>
    <w:p>
      <w:pPr>
        <w:spacing w:after="0" w:line="180" w:lineRule="exact"/>
        <w:rPr>
          <w:sz w:val="24"/>
          <w:szCs w:val="24"/>
          <w:color w:val="auto"/>
        </w:rPr>
      </w:pPr>
    </w:p>
    <w:p>
      <w:pPr>
        <w:ind w:left="2180"/>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80" w:type="dxa"/>
            <w:vAlign w:val="bottom"/>
          </w:tcPr>
          <w:p>
            <w:pPr>
              <w:jc w:val="center"/>
              <w:ind w:right="1446"/>
              <w:spacing w:after="0"/>
              <w:rPr>
                <w:sz w:val="20"/>
                <w:szCs w:val="20"/>
                <w:color w:val="auto"/>
              </w:rPr>
            </w:pPr>
            <w:r>
              <w:rPr>
                <w:rFonts w:ascii="Courier New" w:cs="Courier New" w:eastAsia="Courier New" w:hAnsi="Courier New"/>
                <w:sz w:val="15"/>
                <w:szCs w:val="15"/>
                <w:color w:val="auto"/>
                <w:w w:val="99"/>
              </w:rPr>
              <w:t>OHIO</w:t>
            </w:r>
          </w:p>
        </w:tc>
        <w:tc>
          <w:tcPr>
            <w:tcW w:w="3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34-1469491</w:t>
            </w:r>
          </w:p>
        </w:tc>
        <w:tc>
          <w:tcPr>
            <w:tcW w:w="0" w:type="dxa"/>
            <w:vAlign w:val="bottom"/>
          </w:tcPr>
          <w:p>
            <w:pPr>
              <w:spacing w:after="0"/>
              <w:rPr>
                <w:sz w:val="1"/>
                <w:szCs w:val="1"/>
                <w:color w:val="auto"/>
              </w:rPr>
            </w:pPr>
          </w:p>
        </w:tc>
      </w:tr>
      <w:tr>
        <w:trPr>
          <w:trHeight w:val="175"/>
        </w:trPr>
        <w:tc>
          <w:tcPr>
            <w:tcW w:w="3680" w:type="dxa"/>
            <w:vAlign w:val="bottom"/>
            <w:vMerge w:val="restart"/>
          </w:tcPr>
          <w:p>
            <w:pPr>
              <w:spacing w:after="0"/>
              <w:rPr>
                <w:sz w:val="20"/>
                <w:szCs w:val="20"/>
                <w:color w:val="auto"/>
              </w:rPr>
            </w:pPr>
            <w:r>
              <w:rPr>
                <w:rFonts w:ascii="Courier New" w:cs="Courier New" w:eastAsia="Courier New" w:hAnsi="Courier New"/>
                <w:sz w:val="25"/>
                <w:szCs w:val="25"/>
                <w:color w:val="auto"/>
                <w:w w:val="70"/>
                <w:vertAlign w:val="subscript"/>
              </w:rPr>
              <w:t>(State</w:t>
            </w: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orotherjurisdictionof</w:t>
            </w:r>
          </w:p>
        </w:tc>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80" w:type="dxa"/>
            <w:vAlign w:val="bottom"/>
            <w:vMerge w:val="continue"/>
          </w:tcPr>
          <w:p>
            <w:pPr>
              <w:spacing w:after="0"/>
              <w:rPr>
                <w:sz w:val="15"/>
                <w:szCs w:val="15"/>
                <w:color w:val="auto"/>
              </w:rPr>
            </w:pPr>
          </w:p>
        </w:tc>
        <w:tc>
          <w:tcPr>
            <w:tcW w:w="3040" w:type="dxa"/>
            <w:vAlign w:val="bottom"/>
          </w:tcPr>
          <w:p>
            <w:pPr>
              <w:ind w:left="940"/>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3040" w:type="dxa"/>
            <w:vAlign w:val="bottom"/>
          </w:tcPr>
          <w:p>
            <w:pPr>
              <w:ind w:left="940"/>
              <w:spacing w:after="0"/>
              <w:rPr>
                <w:sz w:val="20"/>
                <w:szCs w:val="20"/>
                <w:color w:val="auto"/>
              </w:rPr>
            </w:pPr>
            <w:r>
              <w:rPr>
                <w:rFonts w:ascii="Courier New" w:cs="Courier New" w:eastAsia="Courier New" w:hAnsi="Courier New"/>
                <w:sz w:val="15"/>
                <w:szCs w:val="15"/>
                <w:color w:val="auto"/>
              </w:rPr>
              <w:t>Identification No.)</w:t>
            </w:r>
          </w:p>
        </w:tc>
        <w:tc>
          <w:tcPr>
            <w:tcW w:w="0" w:type="dxa"/>
            <w:vAlign w:val="bottom"/>
          </w:tcPr>
          <w:p>
            <w:pPr>
              <w:spacing w:after="0"/>
              <w:rPr>
                <w:sz w:val="1"/>
                <w:szCs w:val="1"/>
                <w:color w:val="auto"/>
              </w:rPr>
            </w:pPr>
          </w:p>
        </w:tc>
      </w:tr>
      <w:tr>
        <w:trPr>
          <w:trHeight w:val="268"/>
        </w:trPr>
        <w:tc>
          <w:tcPr>
            <w:tcW w:w="3680" w:type="dxa"/>
            <w:vAlign w:val="bottom"/>
          </w:tcPr>
          <w:p>
            <w:pPr>
              <w:spacing w:after="0"/>
              <w:rPr>
                <w:sz w:val="20"/>
                <w:szCs w:val="20"/>
                <w:color w:val="auto"/>
              </w:rPr>
            </w:pPr>
            <w:r>
              <w:rPr>
                <w:rFonts w:ascii="Courier New" w:cs="Courier New" w:eastAsia="Courier New" w:hAnsi="Courier New"/>
                <w:sz w:val="15"/>
                <w:szCs w:val="15"/>
                <w:color w:val="auto"/>
              </w:rPr>
              <w:t>307-11 North Defiance Street</w:t>
            </w:r>
          </w:p>
        </w:tc>
        <w:tc>
          <w:tcPr>
            <w:tcW w:w="3040" w:type="dxa"/>
            <w:vAlign w:val="bottom"/>
            <w:vMerge w:val="restart"/>
          </w:tcPr>
          <w:p>
            <w:pPr>
              <w:jc w:val="right"/>
              <w:ind w:right="1204"/>
              <w:spacing w:after="0"/>
              <w:rPr>
                <w:sz w:val="20"/>
                <w:szCs w:val="20"/>
                <w:color w:val="auto"/>
              </w:rPr>
            </w:pPr>
            <w:r>
              <w:rPr>
                <w:rFonts w:ascii="Courier New" w:cs="Courier New" w:eastAsia="Courier New" w:hAnsi="Courier New"/>
                <w:sz w:val="15"/>
                <w:szCs w:val="15"/>
                <w:color w:val="auto"/>
              </w:rPr>
              <w:t>43502</w:t>
            </w:r>
          </w:p>
        </w:tc>
        <w:tc>
          <w:tcPr>
            <w:tcW w:w="0" w:type="dxa"/>
            <w:vAlign w:val="bottom"/>
          </w:tcPr>
          <w:p>
            <w:pPr>
              <w:spacing w:after="0"/>
              <w:rPr>
                <w:sz w:val="1"/>
                <w:szCs w:val="1"/>
                <w:color w:val="auto"/>
              </w:rPr>
            </w:pPr>
          </w:p>
        </w:tc>
      </w:tr>
      <w:tr>
        <w:trPr>
          <w:trHeight w:val="175"/>
        </w:trPr>
        <w:tc>
          <w:tcPr>
            <w:tcW w:w="3680" w:type="dxa"/>
            <w:vAlign w:val="bottom"/>
          </w:tcPr>
          <w:p>
            <w:pPr>
              <w:jc w:val="center"/>
              <w:ind w:right="1446"/>
              <w:spacing w:after="0"/>
              <w:rPr>
                <w:sz w:val="20"/>
                <w:szCs w:val="20"/>
                <w:color w:val="auto"/>
              </w:rPr>
            </w:pPr>
            <w:r>
              <w:rPr>
                <w:rFonts w:ascii="Courier New" w:cs="Courier New" w:eastAsia="Courier New" w:hAnsi="Courier New"/>
                <w:sz w:val="15"/>
                <w:szCs w:val="15"/>
                <w:color w:val="auto"/>
              </w:rPr>
              <w:t>Archbold, Ohio</w:t>
            </w:r>
          </w:p>
        </w:tc>
        <w:tc>
          <w:tcPr>
            <w:tcW w:w="3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vMerge w:val="restart"/>
          </w:tcPr>
          <w:p>
            <w:pPr>
              <w:spacing w:after="0"/>
              <w:rPr>
                <w:sz w:val="20"/>
                <w:szCs w:val="20"/>
                <w:color w:val="auto"/>
              </w:rPr>
            </w:pPr>
            <w:r>
              <w:rPr>
                <w:rFonts w:ascii="Courier New" w:cs="Courier New" w:eastAsia="Courier New" w:hAnsi="Courier New"/>
                <w:sz w:val="15"/>
                <w:szCs w:val="15"/>
                <w:color w:val="auto"/>
                <w:w w:val="70"/>
              </w:rPr>
              <w:t xml:space="preserve">- </w:t>
            </w:r>
            <w:r>
              <w:rPr>
                <w:rFonts w:ascii="Courier New" w:cs="Courier New" w:eastAsia="Courier New" w:hAnsi="Courier New"/>
                <w:sz w:val="29"/>
                <w:szCs w:val="29"/>
                <w:color w:val="auto"/>
                <w:w w:val="70"/>
                <w:vertAlign w:val="subscript"/>
              </w:rPr>
              <w:t>(Address</w:t>
            </w: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ofprincipal</w:t>
            </w:r>
          </w:p>
        </w:tc>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80" w:type="dxa"/>
            <w:vAlign w:val="bottom"/>
            <w:vMerge w:val="continue"/>
          </w:tcPr>
          <w:p>
            <w:pPr>
              <w:spacing w:after="0"/>
              <w:rPr>
                <w:sz w:val="15"/>
                <w:szCs w:val="15"/>
                <w:color w:val="auto"/>
              </w:rPr>
            </w:pPr>
          </w:p>
        </w:tc>
        <w:tc>
          <w:tcPr>
            <w:tcW w:w="3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r>
        <w:trPr>
          <w:trHeight w:val="256"/>
        </w:trPr>
        <w:tc>
          <w:tcPr>
            <w:tcW w:w="3680" w:type="dxa"/>
            <w:vAlign w:val="bottom"/>
          </w:tcPr>
          <w:p>
            <w:pPr>
              <w:jc w:val="center"/>
              <w:ind w:right="1446"/>
              <w:spacing w:after="0"/>
              <w:rPr>
                <w:sz w:val="20"/>
                <w:szCs w:val="20"/>
                <w:color w:val="auto"/>
              </w:rPr>
            </w:pPr>
            <w:r>
              <w:rPr>
                <w:rFonts w:ascii="Courier New" w:cs="Courier New" w:eastAsia="Courier New" w:hAnsi="Courier New"/>
                <w:sz w:val="15"/>
                <w:szCs w:val="15"/>
                <w:color w:val="auto"/>
              </w:rPr>
              <w:t>Executive offices)</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Registrant's telephone number, including area code (419)446-2501</w:t>
      </w:r>
    </w:p>
    <w:p>
      <w:pPr>
        <w:spacing w:after="0" w:line="180" w:lineRule="exact"/>
        <w:rPr>
          <w:sz w:val="24"/>
          <w:szCs w:val="24"/>
          <w:color w:val="auto"/>
        </w:rPr>
      </w:pPr>
    </w:p>
    <w:p>
      <w:pPr>
        <w:ind w:left="100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080" w:type="dxa"/>
            <w:vAlign w:val="bottom"/>
            <w:vMerge w:val="restart"/>
          </w:tcPr>
          <w:p>
            <w:pPr>
              <w:spacing w:after="0"/>
              <w:rPr>
                <w:sz w:val="20"/>
                <w:szCs w:val="20"/>
                <w:color w:val="auto"/>
              </w:rPr>
            </w:pPr>
            <w:r>
              <w:rPr>
                <w:rFonts w:ascii="Courier New" w:cs="Courier New" w:eastAsia="Courier New" w:hAnsi="Courier New"/>
                <w:sz w:val="15"/>
                <w:szCs w:val="15"/>
                <w:color w:val="auto"/>
              </w:rPr>
              <w:t>Title of each class</w:t>
            </w:r>
          </w:p>
        </w:tc>
        <w:tc>
          <w:tcPr>
            <w:tcW w:w="3540" w:type="dxa"/>
            <w:vAlign w:val="bottom"/>
          </w:tcPr>
          <w:p>
            <w:pPr>
              <w:jc w:val="center"/>
              <w:ind w:left="1284"/>
              <w:spacing w:after="0"/>
              <w:rPr>
                <w:sz w:val="20"/>
                <w:szCs w:val="20"/>
                <w:color w:val="auto"/>
              </w:rPr>
            </w:pPr>
            <w:r>
              <w:rPr>
                <w:rFonts w:ascii="Courier New" w:cs="Courier New" w:eastAsia="Courier New" w:hAnsi="Courier New"/>
                <w:sz w:val="15"/>
                <w:szCs w:val="15"/>
                <w:color w:val="auto"/>
              </w:rPr>
              <w:t>Name of each exchange on</w:t>
            </w: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3540" w:type="dxa"/>
            <w:vAlign w:val="bottom"/>
          </w:tcPr>
          <w:p>
            <w:pPr>
              <w:jc w:val="center"/>
              <w:ind w:left="1284"/>
              <w:spacing w:after="0"/>
              <w:rPr>
                <w:sz w:val="20"/>
                <w:szCs w:val="20"/>
                <w:color w:val="auto"/>
              </w:rPr>
            </w:pPr>
            <w:r>
              <w:rPr>
                <w:rFonts w:ascii="Courier New" w:cs="Courier New" w:eastAsia="Courier New" w:hAnsi="Courier New"/>
                <w:sz w:val="15"/>
                <w:szCs w:val="15"/>
                <w:color w:val="auto"/>
              </w:rPr>
              <w:t>which registered</w:t>
            </w:r>
          </w:p>
        </w:tc>
        <w:tc>
          <w:tcPr>
            <w:tcW w:w="0" w:type="dxa"/>
            <w:vAlign w:val="bottom"/>
          </w:tcPr>
          <w:p>
            <w:pPr>
              <w:spacing w:after="0"/>
              <w:rPr>
                <w:sz w:val="1"/>
                <w:szCs w:val="1"/>
                <w:color w:val="auto"/>
              </w:rPr>
            </w:pPr>
          </w:p>
        </w:tc>
      </w:tr>
      <w:tr>
        <w:trPr>
          <w:trHeight w:val="256"/>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None</w:t>
            </w:r>
          </w:p>
        </w:tc>
        <w:tc>
          <w:tcPr>
            <w:tcW w:w="3540" w:type="dxa"/>
            <w:vAlign w:val="bottom"/>
          </w:tcPr>
          <w:p>
            <w:pPr>
              <w:ind w:left="2180"/>
              <w:spacing w:after="0"/>
              <w:rPr>
                <w:sz w:val="20"/>
                <w:szCs w:val="20"/>
                <w:color w:val="auto"/>
              </w:rPr>
            </w:pPr>
            <w:r>
              <w:rPr>
                <w:rFonts w:ascii="Courier New" w:cs="Courier New" w:eastAsia="Courier New" w:hAnsi="Courier New"/>
                <w:sz w:val="15"/>
                <w:szCs w:val="15"/>
                <w:color w:val="auto"/>
              </w:rPr>
              <w:t>None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3"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80" w:lineRule="exact"/>
        <w:rPr>
          <w:sz w:val="24"/>
          <w:szCs w:val="24"/>
          <w:color w:val="auto"/>
        </w:rPr>
      </w:pPr>
    </w:p>
    <w:p>
      <w:pPr>
        <w:ind w:left="2260"/>
        <w:spacing w:after="0"/>
        <w:rPr>
          <w:sz w:val="20"/>
          <w:szCs w:val="20"/>
          <w:color w:val="auto"/>
        </w:rPr>
      </w:pPr>
      <w:r>
        <w:rPr>
          <w:rFonts w:ascii="Courier New" w:cs="Courier New" w:eastAsia="Courier New" w:hAnsi="Courier New"/>
          <w:sz w:val="15"/>
          <w:szCs w:val="15"/>
          <w:color w:val="auto"/>
        </w:rPr>
        <w:t>Common shares without par value</w:t>
      </w:r>
    </w:p>
    <w:p>
      <w:pPr>
        <w:spacing w:after="0" w:line="33"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(Title of class)</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2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(Title of class)</w:t>
            </w: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68"/>
        </w:trPr>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Indicate by check mark</w:t>
            </w:r>
          </w:p>
        </w:tc>
        <w:tc>
          <w:tcPr>
            <w:tcW w:w="2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whether the registrant (1)</w:t>
            </w:r>
          </w:p>
        </w:tc>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has filed all reports</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required to be filed by</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2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13 or Section 15(d) of the</w:t>
            </w:r>
          </w:p>
        </w:tc>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rPr>
              <w:t>Securities Exchange</w:t>
            </w:r>
          </w:p>
        </w:tc>
      </w:tr>
      <w:tr>
        <w:trPr>
          <w:trHeight w:val="175"/>
        </w:trPr>
        <w:tc>
          <w:tcPr>
            <w:tcW w:w="5760" w:type="dxa"/>
            <w:vAlign w:val="bottom"/>
            <w:gridSpan w:val="5"/>
          </w:tcPr>
          <w:p>
            <w:pPr>
              <w:spacing w:after="0"/>
              <w:rPr>
                <w:sz w:val="20"/>
                <w:szCs w:val="20"/>
                <w:color w:val="auto"/>
              </w:rPr>
            </w:pPr>
            <w:r>
              <w:rPr>
                <w:rFonts w:ascii="Courier New" w:cs="Courier New" w:eastAsia="Courier New" w:hAnsi="Courier New"/>
                <w:sz w:val="15"/>
                <w:szCs w:val="15"/>
                <w:color w:val="auto"/>
              </w:rPr>
              <w:t>Act of 1934 during the preceding 12 months (or for such shorter</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period that the</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registrant was required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to file</w:t>
            </w:r>
          </w:p>
        </w:tc>
        <w:tc>
          <w:tcPr>
            <w:tcW w:w="2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such reports), and (2) has</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been</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subject to such</w:t>
            </w:r>
          </w:p>
        </w:tc>
      </w:tr>
      <w:tr>
        <w:trPr>
          <w:trHeight w:val="256"/>
        </w:trPr>
        <w:tc>
          <w:tcPr>
            <w:tcW w:w="2120" w:type="dxa"/>
            <w:vAlign w:val="bottom"/>
          </w:tcPr>
          <w:p>
            <w:pPr>
              <w:spacing w:after="0"/>
              <w:rPr>
                <w:sz w:val="20"/>
                <w:szCs w:val="20"/>
                <w:color w:val="auto"/>
              </w:rPr>
            </w:pPr>
            <w:r>
              <w:rPr>
                <w:rFonts w:ascii="Courier New" w:cs="Courier New" w:eastAsia="Courier New" w:hAnsi="Courier New"/>
                <w:sz w:val="15"/>
                <w:szCs w:val="15"/>
                <w:color w:val="auto"/>
              </w:rPr>
              <w:t>filing requirements for</w:t>
            </w:r>
          </w:p>
        </w:tc>
        <w:tc>
          <w:tcPr>
            <w:tcW w:w="28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the past 90 days. Yes   / X /</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No</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w:t>
            </w:r>
          </w:p>
        </w:tc>
      </w:tr>
    </w:tbl>
    <w:p>
      <w:pPr>
        <w:spacing w:after="0" w:line="93" w:lineRule="exact"/>
        <w:rPr>
          <w:sz w:val="24"/>
          <w:szCs w:val="24"/>
          <w:color w:val="auto"/>
        </w:rPr>
      </w:pPr>
    </w:p>
    <w:p>
      <w:pPr>
        <w:ind w:right="3139" w:firstLine="818"/>
        <w:spacing w:after="0" w:line="27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305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68" w:lineRule="exact"/>
        <w:rPr>
          <w:sz w:val="24"/>
          <w:szCs w:val="24"/>
          <w:color w:val="auto"/>
        </w:rPr>
      </w:pPr>
    </w:p>
    <w:p>
      <w:pPr>
        <w:ind w:right="2959"/>
        <w:spacing w:after="0" w:line="368" w:lineRule="auto"/>
        <w:rPr>
          <w:sz w:val="20"/>
          <w:szCs w:val="20"/>
          <w:color w:val="auto"/>
        </w:rPr>
      </w:pPr>
      <w:r>
        <w:rPr>
          <w:rFonts w:ascii="Courier New" w:cs="Courier New" w:eastAsia="Courier New" w:hAnsi="Courier New"/>
          <w:sz w:val="15"/>
          <w:szCs w:val="15"/>
          <w:color w:val="auto"/>
        </w:rPr>
        <w:t>As of March 1, 1999, Registrant had outstanding 1,300,000 shares of common stock at a market value of $97,500,000.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34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07"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50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68"/>
        </w:trPr>
        <w:tc>
          <w:tcPr>
            <w:tcW w:w="1500" w:type="dxa"/>
            <w:vAlign w:val="bottom"/>
          </w:tcPr>
          <w:p>
            <w:pPr>
              <w:spacing w:after="0"/>
              <w:rPr>
                <w:sz w:val="20"/>
                <w:szCs w:val="20"/>
                <w:color w:val="auto"/>
              </w:rPr>
            </w:pPr>
            <w:r>
              <w:rPr>
                <w:rFonts w:ascii="Courier New" w:cs="Courier New" w:eastAsia="Courier New" w:hAnsi="Courier New"/>
                <w:sz w:val="15"/>
                <w:szCs w:val="15"/>
                <w:color w:val="auto"/>
              </w:rPr>
              <w:t>Form 10-K Items</w:t>
            </w:r>
          </w:p>
        </w:tc>
        <w:tc>
          <w:tcPr>
            <w:tcW w:w="690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Business</w:t>
            </w:r>
          </w:p>
        </w:tc>
        <w:tc>
          <w:tcPr>
            <w:tcW w:w="2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2-16</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900" w:type="dxa"/>
            <w:vAlign w:val="bottom"/>
            <w:vMerge w:val="continue"/>
          </w:tcPr>
          <w:p>
            <w:pPr>
              <w:spacing w:after="0"/>
              <w:rPr>
                <w:sz w:val="22"/>
                <w:szCs w:val="22"/>
                <w:color w:val="auto"/>
              </w:rPr>
            </w:pPr>
          </w:p>
        </w:tc>
        <w:tc>
          <w:tcPr>
            <w:tcW w:w="2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15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Properties</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350"/>
        </w:trPr>
        <w:tc>
          <w:tcPr>
            <w:tcW w:w="150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Legal Proceedings</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268"/>
        </w:trPr>
        <w:tc>
          <w:tcPr>
            <w:tcW w:w="15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Submission of Matters to a Vote</w:t>
            </w:r>
          </w:p>
        </w:tc>
        <w:tc>
          <w:tcPr>
            <w:tcW w:w="2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of Security Holders</w:t>
            </w:r>
          </w:p>
        </w:tc>
        <w:tc>
          <w:tcPr>
            <w:tcW w:w="2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50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Market for Registrant's Common Equity</w:t>
            </w:r>
          </w:p>
        </w:tc>
        <w:tc>
          <w:tcPr>
            <w:tcW w:w="2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and Related Stockholder Matters</w:t>
            </w:r>
          </w:p>
        </w:tc>
        <w:tc>
          <w:tcPr>
            <w:tcW w:w="2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15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Selected Financial Data</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268"/>
        </w:trPr>
        <w:tc>
          <w:tcPr>
            <w:tcW w:w="150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Management's Discussion and Analysis</w:t>
            </w:r>
          </w:p>
        </w:tc>
        <w:tc>
          <w:tcPr>
            <w:tcW w:w="2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of Financial Condition and Results</w:t>
            </w:r>
          </w:p>
        </w:tc>
        <w:tc>
          <w:tcPr>
            <w:tcW w:w="2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18-23</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of Operations</w:t>
            </w:r>
          </w:p>
        </w:tc>
        <w:tc>
          <w:tcPr>
            <w:tcW w:w="2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150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Financial Statements and Supplementary Data</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268"/>
        </w:trPr>
        <w:tc>
          <w:tcPr>
            <w:tcW w:w="150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Disagreements on Accounting and</w:t>
            </w:r>
          </w:p>
        </w:tc>
        <w:tc>
          <w:tcPr>
            <w:tcW w:w="2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Financial Disclosure</w:t>
            </w:r>
          </w:p>
        </w:tc>
        <w:tc>
          <w:tcPr>
            <w:tcW w:w="2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50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Directors and Executive Officers</w:t>
            </w:r>
          </w:p>
        </w:tc>
        <w:tc>
          <w:tcPr>
            <w:tcW w:w="2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26-28</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of the Registrant</w:t>
            </w:r>
          </w:p>
        </w:tc>
        <w:tc>
          <w:tcPr>
            <w:tcW w:w="2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150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Management Remuneration and Transactions</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268"/>
        </w:trPr>
        <w:tc>
          <w:tcPr>
            <w:tcW w:w="150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Security Ownership of Certain</w:t>
            </w:r>
          </w:p>
        </w:tc>
        <w:tc>
          <w:tcPr>
            <w:tcW w:w="2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Beneficial Owners and Management</w:t>
            </w:r>
          </w:p>
        </w:tc>
        <w:tc>
          <w:tcPr>
            <w:tcW w:w="2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50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Certain Relationships and Related</w:t>
            </w:r>
          </w:p>
        </w:tc>
        <w:tc>
          <w:tcPr>
            <w:tcW w:w="2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Transactions</w:t>
            </w:r>
          </w:p>
        </w:tc>
        <w:tc>
          <w:tcPr>
            <w:tcW w:w="2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50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Financial Schedules and Reports on Form 8-K</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Schedule 1 - Schedule of Property and Equipment</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Schedule 2 - Schedule of Accumulated Depreciation -</w:t>
            </w:r>
          </w:p>
        </w:tc>
        <w:tc>
          <w:tcPr>
            <w:tcW w:w="2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6900" w:type="dxa"/>
            <w:vAlign w:val="bottom"/>
          </w:tcPr>
          <w:p>
            <w:pPr>
              <w:ind w:left="1500"/>
              <w:spacing w:after="0"/>
              <w:rPr>
                <w:sz w:val="20"/>
                <w:szCs w:val="20"/>
                <w:color w:val="auto"/>
              </w:rPr>
            </w:pPr>
            <w:r>
              <w:rPr>
                <w:rFonts w:ascii="Courier New" w:cs="Courier New" w:eastAsia="Courier New" w:hAnsi="Courier New"/>
                <w:sz w:val="15"/>
                <w:szCs w:val="15"/>
                <w:color w:val="auto"/>
              </w:rPr>
              <w:t>Property and Equipment</w:t>
            </w:r>
          </w:p>
        </w:tc>
        <w:tc>
          <w:tcPr>
            <w:tcW w:w="2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1500" w:type="dxa"/>
            <w:vAlign w:val="bottom"/>
          </w:tcPr>
          <w:p>
            <w:pPr>
              <w:spacing w:after="0"/>
              <w:rPr>
                <w:sz w:val="20"/>
                <w:szCs w:val="20"/>
                <w:color w:val="auto"/>
              </w:rPr>
            </w:pPr>
            <w:r>
              <w:rPr>
                <w:rFonts w:ascii="Courier New" w:cs="Courier New" w:eastAsia="Courier New" w:hAnsi="Courier New"/>
                <w:sz w:val="15"/>
                <w:szCs w:val="15"/>
                <w:color w:val="auto"/>
              </w:rPr>
              <w:t>Signatures</w:t>
            </w:r>
          </w:p>
        </w:tc>
        <w:tc>
          <w:tcPr>
            <w:tcW w:w="690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350"/>
        </w:trPr>
        <w:tc>
          <w:tcPr>
            <w:tcW w:w="8400" w:type="dxa"/>
            <w:vAlign w:val="bottom"/>
            <w:gridSpan w:val="2"/>
          </w:tcPr>
          <w:p>
            <w:pPr>
              <w:spacing w:after="0"/>
              <w:rPr>
                <w:sz w:val="20"/>
                <w:szCs w:val="20"/>
                <w:color w:val="auto"/>
              </w:rPr>
            </w:pPr>
            <w:r>
              <w:rPr>
                <w:rFonts w:ascii="Courier New" w:cs="Courier New" w:eastAsia="Courier New" w:hAnsi="Courier New"/>
                <w:sz w:val="15"/>
                <w:szCs w:val="15"/>
                <w:color w:val="auto"/>
              </w:rPr>
              <w:t>Financial Data Schedule</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34-35</w:t>
            </w:r>
          </w:p>
        </w:tc>
        <w:tc>
          <w:tcPr>
            <w:tcW w:w="0" w:type="dxa"/>
            <w:vAlign w:val="bottom"/>
          </w:tcPr>
          <w:p>
            <w:pPr>
              <w:spacing w:after="0"/>
              <w:rPr>
                <w:sz w:val="1"/>
                <w:szCs w:val="1"/>
                <w:color w:val="auto"/>
              </w:rPr>
            </w:pPr>
          </w:p>
        </w:tc>
      </w:tr>
      <w:tr>
        <w:trPr>
          <w:trHeight w:val="350"/>
        </w:trPr>
        <w:tc>
          <w:tcPr>
            <w:tcW w:w="1500" w:type="dxa"/>
            <w:vAlign w:val="bottom"/>
          </w:tcPr>
          <w:p>
            <w:pPr>
              <w:spacing w:after="0"/>
              <w:rPr>
                <w:sz w:val="20"/>
                <w:szCs w:val="20"/>
                <w:color w:val="auto"/>
              </w:rPr>
            </w:pPr>
            <w:r>
              <w:rPr>
                <w:rFonts w:ascii="Courier New" w:cs="Courier New" w:eastAsia="Courier New" w:hAnsi="Courier New"/>
                <w:sz w:val="15"/>
                <w:szCs w:val="15"/>
                <w:color w:val="auto"/>
              </w:rPr>
              <w:t>Total Pages:</w:t>
            </w:r>
          </w:p>
        </w:tc>
        <w:tc>
          <w:tcPr>
            <w:tcW w:w="690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980"/>
          </w:cols>
          <w:pgMar w:left="240" w:top="265" w:right="67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PART I</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HISTORY</w:t>
      </w:r>
    </w:p>
    <w:p>
      <w:pPr>
        <w:spacing w:after="0" w:line="180" w:lineRule="exact"/>
        <w:rPr>
          <w:sz w:val="20"/>
          <w:szCs w:val="20"/>
          <w:color w:val="auto"/>
        </w:rPr>
      </w:pPr>
    </w:p>
    <w:p>
      <w:pPr>
        <w:ind w:right="2959" w:firstLine="818"/>
        <w:spacing w:after="0" w:line="262" w:lineRule="auto"/>
        <w:rPr>
          <w:sz w:val="20"/>
          <w:szCs w:val="20"/>
          <w:color w:val="auto"/>
        </w:rPr>
      </w:pPr>
      <w:r>
        <w:rPr>
          <w:rFonts w:ascii="Courier New" w:cs="Courier New" w:eastAsia="Courier New" w:hAnsi="Courier New"/>
          <w:sz w:val="15"/>
          <w:szCs w:val="15"/>
          <w:color w:val="auto"/>
        </w:rPr>
        <w:t>The Farmers &amp; Merchants State Bank is a community bank, as it has been since 1897. When Archbold's population was less than 900, there were six local businessmen foresighted enough in their thinking and views to realize the need for a bank in the village of Archbold. J. O. Swisher and Jacob Ehrat (livestock brokers) C. M. McLaughlin and A. J. Vernier (hardware merchants) and L. D. Gotshall and I. W. Gotshall (lumber merchants), were founders of the then Farmers &amp; Merchants Bank, a private bank. The bank's first office was one room located in the Vernier Hotel building, currently occupied by the Archbold Barber Shop.</w:t>
      </w:r>
    </w:p>
    <w:p>
      <w:pPr>
        <w:spacing w:after="0" w:line="78" w:lineRule="exact"/>
        <w:rPr>
          <w:sz w:val="20"/>
          <w:szCs w:val="20"/>
          <w:color w:val="auto"/>
        </w:rPr>
      </w:pPr>
    </w:p>
    <w:p>
      <w:pPr>
        <w:ind w:right="2959" w:firstLine="818"/>
        <w:spacing w:after="0" w:line="267" w:lineRule="auto"/>
        <w:rPr>
          <w:sz w:val="20"/>
          <w:szCs w:val="20"/>
          <w:color w:val="auto"/>
        </w:rPr>
      </w:pPr>
      <w:r>
        <w:rPr>
          <w:rFonts w:ascii="Courier New" w:cs="Courier New" w:eastAsia="Courier New" w:hAnsi="Courier New"/>
          <w:sz w:val="15"/>
          <w:szCs w:val="15"/>
          <w:color w:val="auto"/>
        </w:rPr>
        <w:t>In 1907, the first new structure was built at the corner of Depot and North Defiance Streets, which is now the Subway. The bank was heralded as one of the most unusual and attractive banks in the area, featuring marble interior, brass trimmed teller cages, tile floor, leaded windows, and high vaulted ceiling. The vault featured a time controlled money safe. The building and equipment were unique to the early 1900's and adequately served the banking needs of the area for over 50 years with only minor interior alterations.</w:t>
      </w:r>
    </w:p>
    <w:p>
      <w:pPr>
        <w:spacing w:after="0" w:line="75" w:lineRule="exact"/>
        <w:rPr>
          <w:sz w:val="20"/>
          <w:szCs w:val="20"/>
          <w:color w:val="auto"/>
        </w:rPr>
      </w:pPr>
    </w:p>
    <w:p>
      <w:pPr>
        <w:ind w:right="2959" w:firstLine="818"/>
        <w:spacing w:after="0" w:line="264" w:lineRule="auto"/>
        <w:rPr>
          <w:sz w:val="20"/>
          <w:szCs w:val="20"/>
          <w:color w:val="auto"/>
        </w:rPr>
      </w:pPr>
      <w:r>
        <w:rPr>
          <w:rFonts w:ascii="Courier New" w:cs="Courier New" w:eastAsia="Courier New" w:hAnsi="Courier New"/>
          <w:sz w:val="15"/>
          <w:szCs w:val="15"/>
          <w:color w:val="auto"/>
        </w:rPr>
        <w:t>In August of 1913 the village of Archbold was hit by a disastrous fire which destroyed all the business district on the east side of N. Defiance Street from the bank at the corner of Depot Street to the Murbach medical building at the corner of Holland Street. This was a tremendous loss for a dozen or more businesses, causing many to liquidate. Young businessmen and enterprising citizens promoted a waterworks system and passed a $16,000 bond issue to finance the project. This seemed to be the turning point for the advancement of industry and the community rallied from this eventful experience to an unusual growth.</w:t>
      </w:r>
    </w:p>
    <w:p>
      <w:pPr>
        <w:spacing w:after="0" w:line="78" w:lineRule="exact"/>
        <w:rPr>
          <w:sz w:val="20"/>
          <w:szCs w:val="20"/>
          <w:color w:val="auto"/>
        </w:rPr>
      </w:pPr>
    </w:p>
    <w:p>
      <w:pPr>
        <w:ind w:right="2959" w:firstLine="818"/>
        <w:spacing w:after="0" w:line="277" w:lineRule="auto"/>
        <w:rPr>
          <w:sz w:val="20"/>
          <w:szCs w:val="20"/>
          <w:color w:val="auto"/>
        </w:rPr>
      </w:pPr>
      <w:r>
        <w:rPr>
          <w:rFonts w:ascii="Courier New" w:cs="Courier New" w:eastAsia="Courier New" w:hAnsi="Courier New"/>
          <w:sz w:val="15"/>
          <w:szCs w:val="15"/>
          <w:color w:val="auto"/>
        </w:rPr>
        <w:t>In 1919 the founding directors elected to change from a private bank to a state chartered bank and at this time changed its name from the Farmers &amp; Merchants Bank to The Farmers &amp; Merchants State Bank, as required in the state charter. This has been the only name change in the bank's 99 year history. The bank's capital funds were $53,510 thousand and resources were $571,549 thousand.</w:t>
      </w:r>
    </w:p>
    <w:p>
      <w:pPr>
        <w:spacing w:after="0" w:line="68" w:lineRule="exact"/>
        <w:rPr>
          <w:sz w:val="20"/>
          <w:szCs w:val="20"/>
          <w:color w:val="auto"/>
        </w:rPr>
      </w:pPr>
    </w:p>
    <w:p>
      <w:pPr>
        <w:ind w:right="3039" w:firstLine="818"/>
        <w:spacing w:after="0" w:line="262" w:lineRule="auto"/>
        <w:rPr>
          <w:sz w:val="20"/>
          <w:szCs w:val="20"/>
          <w:color w:val="auto"/>
        </w:rPr>
      </w:pPr>
      <w:r>
        <w:rPr>
          <w:rFonts w:ascii="Courier New" w:cs="Courier New" w:eastAsia="Courier New" w:hAnsi="Courier New"/>
          <w:sz w:val="15"/>
          <w:szCs w:val="15"/>
          <w:color w:val="auto"/>
        </w:rPr>
        <w:t>The bank experienced growth, especially during the post-war years and early 1950's. By 1958, the bank's resources had grown to 7 1/2 million dollars. The directors and officers realized the need for a larger building to accommodate the increase in business and services. In 1958, the bank moved to its present N. Defiance Street location greatly improving service to its customers and offering drive-up banking, electronic bookkeeping, convenient parking, and a social room for the community to use. The new building featured the latest in modern banking facilities and The Farmers &amp; Merchants State Bank was prepared to more efficiently serve the ever growing community.</w:t>
      </w:r>
    </w:p>
    <w:p>
      <w:pPr>
        <w:spacing w:after="0" w:line="78" w:lineRule="exact"/>
        <w:rPr>
          <w:sz w:val="20"/>
          <w:szCs w:val="20"/>
          <w:color w:val="auto"/>
        </w:rPr>
      </w:pPr>
    </w:p>
    <w:p>
      <w:pPr>
        <w:ind w:right="2959" w:firstLine="818"/>
        <w:spacing w:after="0" w:line="267" w:lineRule="auto"/>
        <w:rPr>
          <w:sz w:val="20"/>
          <w:szCs w:val="20"/>
          <w:color w:val="auto"/>
        </w:rPr>
      </w:pPr>
      <w:r>
        <w:rPr>
          <w:rFonts w:ascii="Courier New" w:cs="Courier New" w:eastAsia="Courier New" w:hAnsi="Courier New"/>
          <w:sz w:val="15"/>
          <w:szCs w:val="15"/>
          <w:color w:val="auto"/>
        </w:rPr>
        <w:t>With resources of over $23 million in 1969, The Farmers &amp; Merchants State Bank again realized the need for additional space and inaugurated a building expansion, which nearly doubled the original structure built in 1958. The new addition, opened early in 1970, provided for an additional drive-up window, walk-up window, direct entrance from the bank parking lot to the lobby, three spacious private offices, conference room, and a large community room with a fully equipped kitchen to facilitate groups from 60 to 100.</w:t>
      </w:r>
    </w:p>
    <w:p>
      <w:pPr>
        <w:spacing w:after="0" w:line="75" w:lineRule="exact"/>
        <w:rPr>
          <w:sz w:val="20"/>
          <w:szCs w:val="20"/>
          <w:color w:val="auto"/>
        </w:rPr>
      </w:pPr>
    </w:p>
    <w:p>
      <w:pPr>
        <w:ind w:right="3139" w:firstLine="818"/>
        <w:spacing w:after="0" w:line="271" w:lineRule="auto"/>
        <w:rPr>
          <w:sz w:val="20"/>
          <w:szCs w:val="20"/>
          <w:color w:val="auto"/>
        </w:rPr>
      </w:pPr>
      <w:r>
        <w:rPr>
          <w:rFonts w:ascii="Courier New" w:cs="Courier New" w:eastAsia="Courier New" w:hAnsi="Courier New"/>
          <w:sz w:val="15"/>
          <w:szCs w:val="15"/>
          <w:color w:val="auto"/>
        </w:rPr>
        <w:t>In 1972, with total resources of over $34 million and to continue its growth, The Farmers &amp; Merchants State Bank established an office on N. Shoop Avenue, Wauseon. The office was opened in November 1973 and provided greater banking service to the Wauseon area. The Wauseon office provided complete banking service and a community room with kitchen facilities to accommodate 15-80 people.</w:t>
      </w:r>
    </w:p>
    <w:p>
      <w:pPr>
        <w:spacing w:after="0" w:line="2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54" w:lineRule="exact"/>
        <w:rPr>
          <w:sz w:val="20"/>
          <w:szCs w:val="20"/>
          <w:color w:val="auto"/>
        </w:rPr>
      </w:pPr>
    </w:p>
    <w:p>
      <w:pPr>
        <w:ind w:right="3039" w:firstLine="818"/>
        <w:spacing w:after="0" w:line="307" w:lineRule="auto"/>
        <w:rPr>
          <w:sz w:val="20"/>
          <w:szCs w:val="20"/>
          <w:color w:val="auto"/>
        </w:rPr>
      </w:pPr>
      <w:r>
        <w:rPr>
          <w:rFonts w:ascii="Courier New" w:cs="Courier New" w:eastAsia="Courier New" w:hAnsi="Courier New"/>
          <w:sz w:val="15"/>
          <w:szCs w:val="15"/>
          <w:color w:val="auto"/>
        </w:rPr>
        <w:t>In 1977 - 1978 additional office space was added to The Farmers &amp; Merchants State Bank in Archbold, and an automatic teller machine, "Teller 24", was installed in the entrance lobby.</w:t>
      </w:r>
    </w:p>
    <w:p>
      <w:pPr>
        <w:spacing w:after="0" w:line="47" w:lineRule="exact"/>
        <w:rPr>
          <w:sz w:val="20"/>
          <w:szCs w:val="20"/>
          <w:color w:val="auto"/>
        </w:rPr>
      </w:pPr>
    </w:p>
    <w:p>
      <w:pPr>
        <w:ind w:right="2959" w:firstLine="818"/>
        <w:spacing w:after="0" w:line="287" w:lineRule="auto"/>
        <w:rPr>
          <w:sz w:val="20"/>
          <w:szCs w:val="20"/>
          <w:color w:val="auto"/>
        </w:rPr>
      </w:pPr>
      <w:r>
        <w:rPr>
          <w:rFonts w:ascii="Courier New" w:cs="Courier New" w:eastAsia="Courier New" w:hAnsi="Courier New"/>
          <w:sz w:val="15"/>
          <w:szCs w:val="15"/>
          <w:color w:val="auto"/>
        </w:rPr>
        <w:t>A second Wauseon office was established in the downtown area on the corner of N. Fulton and Depot streets in August of 1978. It is a very convenient location for shoppers and businesses. The Downtown office also provides 24 hour banking with "Teller 24".</w:t>
      </w:r>
    </w:p>
    <w:p>
      <w:pPr>
        <w:spacing w:after="0" w:line="61" w:lineRule="exact"/>
        <w:rPr>
          <w:sz w:val="20"/>
          <w:szCs w:val="20"/>
          <w:color w:val="auto"/>
        </w:rPr>
      </w:pPr>
    </w:p>
    <w:p>
      <w:pPr>
        <w:ind w:right="2959" w:firstLine="818"/>
        <w:spacing w:after="0" w:line="287" w:lineRule="auto"/>
        <w:rPr>
          <w:sz w:val="20"/>
          <w:szCs w:val="20"/>
          <w:color w:val="auto"/>
        </w:rPr>
      </w:pPr>
      <w:r>
        <w:rPr>
          <w:rFonts w:ascii="Courier New" w:cs="Courier New" w:eastAsia="Courier New" w:hAnsi="Courier New"/>
          <w:sz w:val="15"/>
          <w:szCs w:val="15"/>
          <w:color w:val="auto"/>
        </w:rPr>
        <w:t>During April of 1980 a second office was opened in Archbold, located in the Lugbill Addition near Woodland Oaks. The Woodland office is a convenient branch offering full banking services to those Archbold residents in the outlying area.</w:t>
      </w:r>
    </w:p>
    <w:p>
      <w:pPr>
        <w:spacing w:after="0" w:line="61" w:lineRule="exact"/>
        <w:rPr>
          <w:sz w:val="20"/>
          <w:szCs w:val="20"/>
          <w:color w:val="auto"/>
        </w:rPr>
      </w:pPr>
    </w:p>
    <w:p>
      <w:pPr>
        <w:ind w:right="3599" w:firstLine="818"/>
        <w:spacing w:after="0" w:line="368" w:lineRule="auto"/>
        <w:rPr>
          <w:sz w:val="20"/>
          <w:szCs w:val="20"/>
          <w:color w:val="auto"/>
        </w:rPr>
      </w:pPr>
      <w:r>
        <w:rPr>
          <w:rFonts w:ascii="Courier New" w:cs="Courier New" w:eastAsia="Courier New" w:hAnsi="Courier New"/>
          <w:sz w:val="15"/>
          <w:szCs w:val="15"/>
          <w:color w:val="auto"/>
        </w:rPr>
        <w:t>With resources of $83 million the decision was made to open full service offices in Stryker and West Unity in 1981.</w:t>
      </w:r>
    </w:p>
    <w:p>
      <w:pPr>
        <w:spacing w:after="0" w:line="3" w:lineRule="exact"/>
        <w:rPr>
          <w:sz w:val="20"/>
          <w:szCs w:val="20"/>
          <w:color w:val="auto"/>
        </w:rPr>
      </w:pPr>
    </w:p>
    <w:p>
      <w:pPr>
        <w:ind w:right="2959" w:firstLine="818"/>
        <w:spacing w:after="0" w:line="277" w:lineRule="auto"/>
        <w:rPr>
          <w:sz w:val="20"/>
          <w:szCs w:val="20"/>
          <w:color w:val="auto"/>
        </w:rPr>
      </w:pPr>
      <w:r>
        <w:rPr>
          <w:rFonts w:ascii="Courier New" w:cs="Courier New" w:eastAsia="Courier New" w:hAnsi="Courier New"/>
          <w:sz w:val="15"/>
          <w:szCs w:val="15"/>
          <w:color w:val="auto"/>
        </w:rPr>
        <w:t>During that year, new computerized proof equipment was added to capture the required data in today's complex and competitive banking environment. A new division was added to the Operations Department in the creation of the Central Information File Department. Plus, two new branches were opened, the Delta office in June and the all new Bryan E. High office in December.</w:t>
      </w:r>
    </w:p>
    <w:p>
      <w:pPr>
        <w:spacing w:after="0" w:line="68" w:lineRule="exact"/>
        <w:rPr>
          <w:sz w:val="20"/>
          <w:szCs w:val="20"/>
          <w:color w:val="auto"/>
        </w:rPr>
      </w:pPr>
    </w:p>
    <w:p>
      <w:pPr>
        <w:ind w:right="2959" w:firstLine="818"/>
        <w:spacing w:after="0" w:line="252" w:lineRule="auto"/>
        <w:rPr>
          <w:sz w:val="20"/>
          <w:szCs w:val="20"/>
          <w:color w:val="auto"/>
        </w:rPr>
      </w:pPr>
      <w:r>
        <w:rPr>
          <w:rFonts w:ascii="Courier New" w:cs="Courier New" w:eastAsia="Courier New" w:hAnsi="Courier New"/>
          <w:sz w:val="15"/>
          <w:szCs w:val="15"/>
          <w:color w:val="auto"/>
        </w:rPr>
        <w:t>In 1985 the conversion of the former bank, The Farmers &amp; Merchants State Bank, into a holding company structure was performed to provide greater flexibility for expanding the bank's business into activities closely related to banking, as well as, placing the bank in a position to react in a timely and effective manner to the many complex changes affecting the banking industry. On April 22, 1985, a new Ohio chartered bank was formed and incorporated as the FMSB Bank following the formation of a holding company, The Farmers &amp; Merchants Bancorp, Inc., which was incorporated as a bank holding company under the laws of the State of Ohio on February 25, 1985. A triangular merger was then effected whereby the former bank, The Farmers &amp; Merchants State Bank, was merged with and into the new bank, the FMSB Bank with each outstanding share of common stock of the former bank being converted by operation of law upon consummation of the merger into two shares of common stock of Farmers &amp; Merchants Bancorp, Inc. Upon the merger becoming effective July 31, 1985, 260,000 shares of Farmers &amp; Merchants Bancorp, Inc., no par value common stock were issued. The resulting new bank in the merger is the FMSB Bank; however, its name was changed concurrently with the merger to The Farmers &amp; Merchants State Bank. Upon consummation of the merger, the stockholders of Farmers &amp; Merchants Bancorp, Inc. received the same percentage of ownership in the holding company as their percentage of ownership of the former bank. The former bank then ceased to exist. All of the 260,000 issued and outstanding shares of stock of the new bank, The Farmers &amp; Merchants State Bank, were held by the bank holding company, Farmers &amp; Merchants Bancorp, Inc.</w:t>
      </w:r>
    </w:p>
    <w:p>
      <w:pPr>
        <w:spacing w:after="0" w:line="91" w:lineRule="exact"/>
        <w:rPr>
          <w:sz w:val="20"/>
          <w:szCs w:val="20"/>
          <w:color w:val="auto"/>
        </w:rPr>
      </w:pPr>
    </w:p>
    <w:p>
      <w:pPr>
        <w:ind w:right="2959" w:firstLine="818"/>
        <w:spacing w:after="0" w:line="262" w:lineRule="auto"/>
        <w:rPr>
          <w:sz w:val="20"/>
          <w:szCs w:val="20"/>
          <w:color w:val="auto"/>
        </w:rPr>
      </w:pPr>
      <w:r>
        <w:rPr>
          <w:rFonts w:ascii="Courier New" w:cs="Courier New" w:eastAsia="Courier New" w:hAnsi="Courier New"/>
          <w:sz w:val="15"/>
          <w:szCs w:val="15"/>
          <w:color w:val="auto"/>
        </w:rPr>
        <w:t>With the success The Farmers &amp; Merchants State Bank was experiencing in Stryker, West Unity and Bryan and the prospect of continued growth in Williams County, it was decided to open another office in Bryan and one in Montpelier. In May of 1992, the doors were opened at a second office in Bryan located on S. Main Street; and in July of 1992 the bank was pleased to be able to offer their financial services to the community of Montpelier. The Bryan S. Main Street banking center has three drive-up lanes and a drive-up ATM. Also during 1992, the West Unity Office was expanded and an additional drive-up lane was added at the Delta Office.</w:t>
      </w:r>
    </w:p>
    <w:p>
      <w:pPr>
        <w:spacing w:after="0" w:line="78" w:lineRule="exact"/>
        <w:rPr>
          <w:sz w:val="20"/>
          <w:szCs w:val="20"/>
          <w:color w:val="auto"/>
        </w:rPr>
      </w:pPr>
    </w:p>
    <w:p>
      <w:pPr>
        <w:ind w:right="2959" w:firstLine="818"/>
        <w:spacing w:after="0" w:line="277" w:lineRule="auto"/>
        <w:rPr>
          <w:sz w:val="20"/>
          <w:szCs w:val="20"/>
          <w:color w:val="auto"/>
        </w:rPr>
      </w:pPr>
      <w:r>
        <w:rPr>
          <w:rFonts w:ascii="Courier New" w:cs="Courier New" w:eastAsia="Courier New" w:hAnsi="Courier New"/>
          <w:sz w:val="15"/>
          <w:szCs w:val="15"/>
          <w:color w:val="auto"/>
        </w:rPr>
        <w:t>Also during 1992, an accidental death and disability insurance company was formed, Farmers &amp; Merchants Life Insurance Company. The company was organized under the laws of the State of Arizona with 100% of the 100,000 issued and outstanding shares of common stock owned by Farmers &amp; Merchants Bancorp, Inc.</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354" w:lineRule="exact"/>
        <w:rPr>
          <w:sz w:val="20"/>
          <w:szCs w:val="20"/>
          <w:color w:val="auto"/>
        </w:rPr>
      </w:pPr>
    </w:p>
    <w:p>
      <w:pPr>
        <w:ind w:right="2959" w:firstLine="818"/>
        <w:spacing w:after="0" w:line="257" w:lineRule="auto"/>
        <w:rPr>
          <w:sz w:val="20"/>
          <w:szCs w:val="20"/>
          <w:color w:val="auto"/>
        </w:rPr>
      </w:pPr>
      <w:r>
        <w:rPr>
          <w:rFonts w:ascii="Courier New" w:cs="Courier New" w:eastAsia="Courier New" w:hAnsi="Courier New"/>
          <w:sz w:val="15"/>
          <w:szCs w:val="15"/>
          <w:color w:val="auto"/>
        </w:rPr>
        <w:t>The growth of The Farmers &amp; Merchants State Bank continued to be very favorable in 1993 with assets in excess of $370 million, but with the tremendous growth that was occurring, the bank was feeling growing pains brought on by cramped quarters. There were no longer community rooms in either the Main Office or the Wauseon Shoop Office. All available space at the Main Office had been used, by turning closets and storage space into offices and many of the offices that were designed for one officer were housing two officers. The Marketing and Personnel departments had been moved to the Wauseon Shoop Office basement, the former community room. The time had come for the addition of more office space at the Main Office. The former Christy Building, located on the north side of the Main Office, was demolished during the fall of 1993 to clear the way for the building expansion to begin.</w:t>
      </w:r>
    </w:p>
    <w:p>
      <w:pPr>
        <w:spacing w:after="0" w:line="89" w:lineRule="exact"/>
        <w:rPr>
          <w:sz w:val="20"/>
          <w:szCs w:val="20"/>
          <w:color w:val="auto"/>
        </w:rPr>
      </w:pPr>
    </w:p>
    <w:p>
      <w:pPr>
        <w:ind w:right="2959" w:firstLine="818"/>
        <w:spacing w:after="0" w:line="277" w:lineRule="auto"/>
        <w:rPr>
          <w:sz w:val="20"/>
          <w:szCs w:val="20"/>
          <w:color w:val="auto"/>
        </w:rPr>
      </w:pPr>
      <w:r>
        <w:rPr>
          <w:rFonts w:ascii="Courier New" w:cs="Courier New" w:eastAsia="Courier New" w:hAnsi="Courier New"/>
          <w:sz w:val="15"/>
          <w:szCs w:val="15"/>
          <w:color w:val="auto"/>
        </w:rPr>
        <w:t>Because of the ever-increasing flow of customers at the Wauseon N. Shoop Office, a decision was made to install a drive-up ATM. That ATM was installed in December, 1993. An ATM was also installed at Sauder Woodworking Co. to better serve the Sauder employees, who work various shifts, making it inconvenient for them to bank during regular banking hours.</w:t>
      </w:r>
    </w:p>
    <w:p>
      <w:pPr>
        <w:spacing w:after="0" w:line="68" w:lineRule="exact"/>
        <w:rPr>
          <w:sz w:val="20"/>
          <w:szCs w:val="20"/>
          <w:color w:val="auto"/>
        </w:rPr>
      </w:pPr>
    </w:p>
    <w:p>
      <w:pPr>
        <w:ind w:right="2959" w:firstLine="818"/>
        <w:spacing w:after="0" w:line="262" w:lineRule="auto"/>
        <w:rPr>
          <w:sz w:val="20"/>
          <w:szCs w:val="20"/>
          <w:color w:val="auto"/>
        </w:rPr>
      </w:pPr>
      <w:r>
        <w:rPr>
          <w:rFonts w:ascii="Courier New" w:cs="Courier New" w:eastAsia="Courier New" w:hAnsi="Courier New"/>
          <w:sz w:val="15"/>
          <w:szCs w:val="15"/>
          <w:color w:val="auto"/>
        </w:rPr>
        <w:t>1994 was a very special year for The Farmers &amp; Merchants State Bank. Earnings were very strong, asset quality remained outstanding, and the bank expanded its presence within its market area. The goals for 1994 were exceeded, with a new high in assets of $406 million. With a growing interest to expand the bank's market area and branch into Henry County, an application was submitted for a Napoleon office. Once the application was approved, the bank wasted no time in getting the building constructed. The full service Napoleon Office, with a drive-up ATM, was conveniently located on St. Rt. 108 on the north edge of Napoleon making it easily accessible for the residents of Henry County.</w:t>
      </w:r>
    </w:p>
    <w:p>
      <w:pPr>
        <w:spacing w:after="0" w:line="78" w:lineRule="exact"/>
        <w:rPr>
          <w:sz w:val="20"/>
          <w:szCs w:val="20"/>
          <w:color w:val="auto"/>
        </w:rPr>
      </w:pPr>
    </w:p>
    <w:p>
      <w:pPr>
        <w:ind w:right="3039" w:firstLine="818"/>
        <w:spacing w:after="0" w:line="271" w:lineRule="auto"/>
        <w:rPr>
          <w:sz w:val="20"/>
          <w:szCs w:val="20"/>
          <w:color w:val="auto"/>
        </w:rPr>
      </w:pPr>
      <w:r>
        <w:rPr>
          <w:rFonts w:ascii="Courier New" w:cs="Courier New" w:eastAsia="Courier New" w:hAnsi="Courier New"/>
          <w:sz w:val="15"/>
          <w:szCs w:val="15"/>
          <w:color w:val="auto"/>
        </w:rPr>
        <w:t>During the time the Napoleon office was under construction, plans were completed for expansion of the Wauseon N. Shoop Office. This was the first expansion of this office since its opening in 1973, and with the basement being used for offices, more office space was greatly needed. The new addition consisted of four additional offices, a large secretarial/new accounts area, restroom, and supply room.</w:t>
      </w:r>
    </w:p>
    <w:p>
      <w:pPr>
        <w:spacing w:after="0" w:line="72" w:lineRule="exact"/>
        <w:rPr>
          <w:sz w:val="20"/>
          <w:szCs w:val="20"/>
          <w:color w:val="auto"/>
        </w:rPr>
      </w:pPr>
    </w:p>
    <w:p>
      <w:pPr>
        <w:ind w:right="3039" w:firstLine="818"/>
        <w:spacing w:after="0" w:line="277" w:lineRule="auto"/>
        <w:rPr>
          <w:sz w:val="20"/>
          <w:szCs w:val="20"/>
          <w:color w:val="auto"/>
        </w:rPr>
      </w:pPr>
      <w:r>
        <w:rPr>
          <w:rFonts w:ascii="Courier New" w:cs="Courier New" w:eastAsia="Courier New" w:hAnsi="Courier New"/>
          <w:sz w:val="15"/>
          <w:szCs w:val="15"/>
          <w:color w:val="auto"/>
        </w:rPr>
        <w:t>In October, 1994, the newly constructed expansion of the Main Office and the remodeling of the first floor of the original structure was completed. The offices were ready for occupancy in time for the annual Christmas Club Open House, November 4th and 5th. The remodeling of the offices located in the basement of the Main Office began as soon as Open House was over.</w:t>
      </w:r>
    </w:p>
    <w:p>
      <w:pPr>
        <w:spacing w:after="0" w:line="68" w:lineRule="exact"/>
        <w:rPr>
          <w:sz w:val="20"/>
          <w:szCs w:val="20"/>
          <w:color w:val="auto"/>
        </w:rPr>
      </w:pPr>
    </w:p>
    <w:p>
      <w:pPr>
        <w:ind w:right="2959" w:firstLine="818"/>
        <w:spacing w:after="0" w:line="307" w:lineRule="auto"/>
        <w:rPr>
          <w:sz w:val="20"/>
          <w:szCs w:val="20"/>
          <w:color w:val="auto"/>
        </w:rPr>
      </w:pPr>
      <w:r>
        <w:rPr>
          <w:rFonts w:ascii="Courier New" w:cs="Courier New" w:eastAsia="Courier New" w:hAnsi="Courier New"/>
          <w:sz w:val="15"/>
          <w:szCs w:val="15"/>
          <w:color w:val="auto"/>
        </w:rPr>
        <w:t>The Napoleon Office opened for business during the second week of February, 1995. On Sunday, February 12, 1995, an Open House was held at the Main Office and the new Napoleon Office.</w:t>
      </w:r>
    </w:p>
    <w:p>
      <w:pPr>
        <w:spacing w:after="0" w:line="47" w:lineRule="exact"/>
        <w:rPr>
          <w:sz w:val="20"/>
          <w:szCs w:val="20"/>
          <w:color w:val="auto"/>
        </w:rPr>
      </w:pPr>
    </w:p>
    <w:p>
      <w:pPr>
        <w:ind w:right="3039" w:firstLine="818"/>
        <w:spacing w:after="0" w:line="307" w:lineRule="auto"/>
        <w:rPr>
          <w:sz w:val="20"/>
          <w:szCs w:val="20"/>
          <w:color w:val="auto"/>
        </w:rPr>
      </w:pPr>
      <w:r>
        <w:rPr>
          <w:rFonts w:ascii="Courier New" w:cs="Courier New" w:eastAsia="Courier New" w:hAnsi="Courier New"/>
          <w:sz w:val="15"/>
          <w:szCs w:val="15"/>
          <w:color w:val="auto"/>
        </w:rPr>
        <w:t>An ATM was placed at Northwest State Community College in March, 1995, to better serve the customers from the Four County Area. In April, 1995, a drive-up ATM was installed at the Archbold Woodland Office.</w:t>
      </w:r>
    </w:p>
    <w:p>
      <w:pPr>
        <w:spacing w:after="0" w:line="47" w:lineRule="exact"/>
        <w:rPr>
          <w:sz w:val="20"/>
          <w:szCs w:val="20"/>
          <w:color w:val="auto"/>
        </w:rPr>
      </w:pPr>
    </w:p>
    <w:p>
      <w:pPr>
        <w:ind w:right="2959" w:firstLine="818"/>
        <w:spacing w:after="0" w:line="267" w:lineRule="auto"/>
        <w:rPr>
          <w:sz w:val="20"/>
          <w:szCs w:val="20"/>
          <w:color w:val="auto"/>
        </w:rPr>
      </w:pPr>
      <w:r>
        <w:rPr>
          <w:rFonts w:ascii="Courier New" w:cs="Courier New" w:eastAsia="Courier New" w:hAnsi="Courier New"/>
          <w:sz w:val="15"/>
          <w:szCs w:val="15"/>
          <w:color w:val="auto"/>
        </w:rPr>
        <w:t>During the spring of 1996, the Delta Office began an extensive remodeling and expansion project. The need was seen for more loan officer space and an ATM machine. The project was completed in October of 1996. Two more ATM locations were also secured during this year. An ATM was placed in the Community Hospital of Williams County, Bryan, and another in the Fulton County Health Center, Wauseon. The Farmers &amp; Merchants State Bank now has twelve ATM's located throughout Fulton, Williams, and Henry Counties.</w:t>
      </w:r>
    </w:p>
    <w:p>
      <w:pPr>
        <w:spacing w:after="0" w:line="75" w:lineRule="exact"/>
        <w:rPr>
          <w:sz w:val="20"/>
          <w:szCs w:val="20"/>
          <w:color w:val="auto"/>
        </w:rPr>
      </w:pPr>
    </w:p>
    <w:p>
      <w:pPr>
        <w:ind w:right="3039" w:firstLine="818"/>
        <w:spacing w:after="0" w:line="307" w:lineRule="auto"/>
        <w:rPr>
          <w:sz w:val="20"/>
          <w:szCs w:val="20"/>
          <w:color w:val="auto"/>
        </w:rPr>
      </w:pPr>
      <w:r>
        <w:rPr>
          <w:rFonts w:ascii="Courier New" w:cs="Courier New" w:eastAsia="Courier New" w:hAnsi="Courier New"/>
          <w:sz w:val="15"/>
          <w:szCs w:val="15"/>
          <w:color w:val="auto"/>
        </w:rPr>
        <w:t>In June of 1996, Farmers &amp; Merchants Bancorp split its stock, 5 for 1. The goal was to bring the price per share down so it would be more affordable and possibly encourage trading.</w:t>
      </w:r>
    </w:p>
    <w:p>
      <w:pPr>
        <w:spacing w:after="0" w:line="47" w:lineRule="exact"/>
        <w:rPr>
          <w:sz w:val="20"/>
          <w:szCs w:val="20"/>
          <w:color w:val="auto"/>
        </w:rPr>
      </w:pPr>
    </w:p>
    <w:p>
      <w:pPr>
        <w:ind w:right="3139" w:firstLine="818"/>
        <w:spacing w:after="0" w:line="368" w:lineRule="auto"/>
        <w:rPr>
          <w:sz w:val="20"/>
          <w:szCs w:val="20"/>
          <w:color w:val="auto"/>
        </w:rPr>
      </w:pPr>
      <w:r>
        <w:rPr>
          <w:rFonts w:ascii="Courier New" w:cs="Courier New" w:eastAsia="Courier New" w:hAnsi="Courier New"/>
          <w:sz w:val="15"/>
          <w:szCs w:val="15"/>
          <w:color w:val="auto"/>
        </w:rPr>
        <w:t>The Farmers &amp; Merchants State Bank again hit a new growth plateau. At year end assets went over the $500 million mark.</w:t>
      </w:r>
    </w:p>
    <w:p>
      <w:pPr>
        <w:spacing w:after="0" w:line="200" w:lineRule="exact"/>
        <w:rPr>
          <w:sz w:val="20"/>
          <w:szCs w:val="20"/>
          <w:color w:val="auto"/>
        </w:rPr>
      </w:pPr>
    </w:p>
    <w:p>
      <w:pPr>
        <w:spacing w:after="0" w:line="32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ACTIVITIES</w:t>
      </w:r>
    </w:p>
    <w:p>
      <w:pPr>
        <w:spacing w:after="0" w:line="180" w:lineRule="exact"/>
        <w:rPr>
          <w:sz w:val="20"/>
          <w:szCs w:val="20"/>
          <w:color w:val="auto"/>
        </w:rPr>
      </w:pPr>
    </w:p>
    <w:p>
      <w:pPr>
        <w:ind w:right="3039" w:firstLine="818"/>
        <w:spacing w:after="0" w:line="257" w:lineRule="auto"/>
        <w:rPr>
          <w:sz w:val="20"/>
          <w:szCs w:val="20"/>
          <w:color w:val="auto"/>
        </w:rPr>
      </w:pPr>
      <w:r>
        <w:rPr>
          <w:rFonts w:ascii="Courier New" w:cs="Courier New" w:eastAsia="Courier New" w:hAnsi="Courier New"/>
          <w:sz w:val="15"/>
          <w:szCs w:val="15"/>
          <w:color w:val="auto"/>
        </w:rPr>
        <w:t>The Farmers &amp; Merchants State Bank through its equivalent of 210 full time employees engages in general commercial banking and savings business. Its activities include commercial and residential mortgage, consumer, and credit card lending activities. Because of the geographical locations in which the bank's branches are located, a substantial amount of the bank's loan portfolio is composed of loans made to the farming industry for such things as farm land, farm equipment, livestock and general operation loans for seed, fertilizer, feed, etc. Other types of lending activities include loans for home improvements, student loans, and loans for such items as autos, trucks, recreational vehicles, mobile homes, motorcycles, etc. The bank also is engaged in direct finance leasing and has invested in leveraged type leases, although the activity in this area has substantially decreased in recent years.</w:t>
      </w:r>
    </w:p>
    <w:p>
      <w:pPr>
        <w:spacing w:after="0" w:line="89" w:lineRule="exact"/>
        <w:rPr>
          <w:sz w:val="20"/>
          <w:szCs w:val="20"/>
          <w:color w:val="auto"/>
        </w:rPr>
      </w:pPr>
    </w:p>
    <w:p>
      <w:pPr>
        <w:ind w:right="3039" w:firstLine="818"/>
        <w:spacing w:after="0" w:line="267" w:lineRule="auto"/>
        <w:rPr>
          <w:sz w:val="20"/>
          <w:szCs w:val="20"/>
          <w:color w:val="auto"/>
        </w:rPr>
      </w:pPr>
      <w:r>
        <w:rPr>
          <w:rFonts w:ascii="Courier New" w:cs="Courier New" w:eastAsia="Courier New" w:hAnsi="Courier New"/>
          <w:sz w:val="15"/>
          <w:szCs w:val="15"/>
          <w:color w:val="auto"/>
        </w:rPr>
        <w:t>The bank also provides checking account services, as well as, savings and other time deposit services such as certificates of deposits. In addition, ATM's (automated teller machines) (Money Access Corporation) are also provided in its offices in Archbold, Wauseon, Bryan, Delta and Napoleon, Ohio. Two ATM's are also located at Sauder Woodworking Co., Inc., a major employer in Archbold. Additional locations are at Northwest State Community College, Fulton County Hospital in Wauseon, and Williams County Hospital in Bryan.</w:t>
      </w:r>
    </w:p>
    <w:p>
      <w:pPr>
        <w:spacing w:after="0" w:line="75" w:lineRule="exact"/>
        <w:rPr>
          <w:sz w:val="20"/>
          <w:szCs w:val="20"/>
          <w:color w:val="auto"/>
        </w:rPr>
      </w:pPr>
    </w:p>
    <w:p>
      <w:pPr>
        <w:ind w:right="2959" w:firstLine="818"/>
        <w:spacing w:after="0" w:line="287" w:lineRule="auto"/>
        <w:rPr>
          <w:sz w:val="20"/>
          <w:szCs w:val="20"/>
          <w:color w:val="auto"/>
        </w:rPr>
      </w:pPr>
      <w:r>
        <w:rPr>
          <w:rFonts w:ascii="Courier New" w:cs="Courier New" w:eastAsia="Courier New" w:hAnsi="Courier New"/>
          <w:sz w:val="15"/>
          <w:szCs w:val="15"/>
          <w:color w:val="auto"/>
        </w:rPr>
        <w:t>During 1987 The Farmers &amp; Merchants State Bank began offering discount brokerage services to its customers. The offering of these services was a result of management's ongoing commitment to offer a full range of financial services to its customers.</w:t>
      </w:r>
    </w:p>
    <w:p>
      <w:pPr>
        <w:spacing w:after="0" w:line="61" w:lineRule="exact"/>
        <w:rPr>
          <w:sz w:val="20"/>
          <w:szCs w:val="20"/>
          <w:color w:val="auto"/>
        </w:rPr>
      </w:pPr>
    </w:p>
    <w:p>
      <w:pPr>
        <w:ind w:right="3039" w:firstLine="818"/>
        <w:spacing w:after="0" w:line="260" w:lineRule="auto"/>
        <w:rPr>
          <w:sz w:val="20"/>
          <w:szCs w:val="20"/>
          <w:color w:val="auto"/>
        </w:rPr>
      </w:pPr>
      <w:r>
        <w:rPr>
          <w:rFonts w:ascii="Courier New" w:cs="Courier New" w:eastAsia="Courier New" w:hAnsi="Courier New"/>
          <w:sz w:val="15"/>
          <w:szCs w:val="15"/>
          <w:color w:val="auto"/>
        </w:rPr>
        <w:t>Farmers &amp; Merchants Life Insurance Company was established to provide needed additional services to The Farmers &amp; Merchants State Bank's customers through the issuance of life and disability insurance policies. The lending officers of The Farmers &amp; Merchants State Bank are the selling agents of the policies to the bank's customers. The insuring company will be USLIFE Credit Insurance Company, an Illinois Corporation, while Farmers &amp; Merchants Life Insurance Co. will be the participating reinsurer. Farmers &amp; Merchants Bancorp, Inc.'s original investment in Farmers &amp; Merchants Life Insurance Co. was $100,000. This investment represented less than 5% of Farmers &amp; Merchants Bancorp, Inc.'s equity capital.</w:t>
      </w:r>
    </w:p>
    <w:p>
      <w:pPr>
        <w:spacing w:after="0" w:line="82" w:lineRule="exact"/>
        <w:rPr>
          <w:sz w:val="20"/>
          <w:szCs w:val="20"/>
          <w:color w:val="auto"/>
        </w:rPr>
      </w:pPr>
    </w:p>
    <w:p>
      <w:pPr>
        <w:ind w:right="2959" w:firstLine="818"/>
        <w:spacing w:after="0" w:line="257" w:lineRule="auto"/>
        <w:rPr>
          <w:sz w:val="20"/>
          <w:szCs w:val="20"/>
          <w:color w:val="auto"/>
        </w:rPr>
      </w:pPr>
      <w:r>
        <w:rPr>
          <w:rFonts w:ascii="Courier New" w:cs="Courier New" w:eastAsia="Courier New" w:hAnsi="Courier New"/>
          <w:sz w:val="15"/>
          <w:szCs w:val="15"/>
          <w:color w:val="auto"/>
        </w:rPr>
        <w:t>Farmers &amp; Merchants Bancorp, Inc. is a bank holding company within the meaning of the Bank Holding Company Act of 1956. The bank subsidiary, The Farmers &amp; Merchant State Bank, is in turn regulated and examined by the Ohio Division of Banks, the Federal Deposit Insurance Corporation and the Federal Reserve System. The activities of the bank subsidiary are also subject to other federal and state laws and regulations, including usury and consumer credit laws, state laws relating to fiduciaries, the Federal Truth-in-Lending Act and Regulation Z as promulgated thereunder by the Board of Governors, the Truth in Savings Act, the Bank Bribery Act, the Competitive Equality Banking Act of 1987, the Expedited Funds Availability Act, the Community Reinvestment Act, the FDICIA (Federal Deposit Insurance Corporation Insurance Act), FIRREA (Federal Institutions Reform, Recovery, and Enforcement Act of 1989), and the Bank Merger Act among others.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5"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354" w:lineRule="exact"/>
        <w:rPr>
          <w:sz w:val="20"/>
          <w:szCs w:val="20"/>
          <w:color w:val="auto"/>
        </w:rPr>
      </w:pPr>
    </w:p>
    <w:p>
      <w:pPr>
        <w:ind w:right="3139" w:firstLine="818"/>
        <w:spacing w:after="0" w:line="271" w:lineRule="auto"/>
        <w:rPr>
          <w:sz w:val="20"/>
          <w:szCs w:val="20"/>
          <w:color w:val="auto"/>
        </w:rPr>
      </w:pPr>
      <w:r>
        <w:rPr>
          <w:rFonts w:ascii="Courier New" w:cs="Courier New" w:eastAsia="Courier New" w:hAnsi="Courier New"/>
          <w:sz w:val="15"/>
          <w:szCs w:val="15"/>
          <w:color w:val="auto"/>
        </w:rPr>
        <w:t>The commercial banking business in the geographical area in which The Farmers &amp; Merchants State Bank operates is highly competitive. In its banking activities, it competes directly with other commercial banks and savings and loan institutions in each of its operating localities. The following is a summary by geographical area of The Farmers &amp; Merchants State Bank principal competition:</w:t>
      </w:r>
    </w:p>
    <w:p>
      <w:pPr>
        <w:sectPr>
          <w:pgSz w:w="11900" w:h="16838" w:orient="portrait"/>
          <w:cols w:equalWidth="0" w:num="1">
            <w:col w:w="10219"/>
          </w:cols>
          <w:pgMar w:left="2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Branch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Location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ectPr>
          <w:pgSz w:w="11900" w:h="16838" w:orient="portrait"/>
          <w:cols w:equalWidth="0" w:num="2">
            <w:col w:w="4280" w:space="720"/>
            <w:col w:w="521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Archbold, Ohio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First National Bank of Northwest Ohio</w:t>
      </w:r>
    </w:p>
    <w:p>
      <w:pPr>
        <w:spacing w:after="0" w:line="3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(2 offices)</w:t>
      </w:r>
    </w:p>
    <w:p>
      <w:pPr>
        <w:spacing w:after="0" w:line="152" w:lineRule="exact"/>
        <w:rPr>
          <w:sz w:val="20"/>
          <w:szCs w:val="20"/>
          <w:color w:val="auto"/>
        </w:rPr>
      </w:pPr>
    </w:p>
    <w:p>
      <w:pPr>
        <w:sectPr>
          <w:pgSz w:w="11900" w:h="16838" w:orient="portrait"/>
          <w:cols w:equalWidth="0" w:num="2">
            <w:col w:w="4080" w:space="720"/>
            <w:col w:w="541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Wauseon, Ohio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National City Bank (Subsidiary of National City</w:t>
      </w:r>
    </w:p>
    <w:p>
      <w:pPr>
        <w:spacing w:after="0" w:line="3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Federal Savings &amp; Loan of Defiance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City Loan 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Bank &amp; Trust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National Bank of Northwest Ohio</w:t>
      </w:r>
    </w:p>
    <w:p>
      <w:pPr>
        <w:spacing w:after="0" w:line="152" w:lineRule="exact"/>
        <w:rPr>
          <w:sz w:val="20"/>
          <w:szCs w:val="20"/>
          <w:color w:val="auto"/>
        </w:rPr>
      </w:pPr>
    </w:p>
    <w:p>
      <w:pPr>
        <w:sectPr>
          <w:pgSz w:w="11900" w:h="16838" w:orient="portrait"/>
          <w:cols w:equalWidth="0" w:num="2">
            <w:col w:w="4080" w:space="720"/>
            <w:col w:w="541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Stryker, Ohio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First National Bank of Northwest Ohio</w:t>
      </w:r>
    </w:p>
    <w:p>
      <w:pPr>
        <w:spacing w:after="0" w:line="180" w:lineRule="exact"/>
        <w:rPr>
          <w:sz w:val="20"/>
          <w:szCs w:val="20"/>
          <w:color w:val="auto"/>
        </w:rPr>
      </w:pPr>
    </w:p>
    <w:p>
      <w:pPr>
        <w:sectPr>
          <w:pgSz w:w="11900" w:h="16838" w:orient="portrait"/>
          <w:cols w:equalWidth="0" w:num="2">
            <w:col w:w="4080" w:space="720"/>
            <w:col w:w="541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West Unity, Ohio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National Bank of Montpelier</w:t>
      </w:r>
    </w:p>
    <w:p>
      <w:pPr>
        <w:spacing w:after="0" w:line="180" w:lineRule="exact"/>
        <w:rPr>
          <w:sz w:val="20"/>
          <w:szCs w:val="20"/>
          <w:color w:val="auto"/>
        </w:rPr>
      </w:pPr>
    </w:p>
    <w:p>
      <w:pPr>
        <w:sectPr>
          <w:pgSz w:w="11900" w:h="16838" w:orient="portrait"/>
          <w:cols w:equalWidth="0" w:num="2">
            <w:col w:w="4080" w:space="720"/>
            <w:col w:w="541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Delta, Ohio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State Bank &amp; Trust Company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Federal Savings &amp; Loan of Delta</w:t>
      </w:r>
    </w:p>
    <w:p>
      <w:pPr>
        <w:spacing w:after="0" w:line="152" w:lineRule="exact"/>
        <w:rPr>
          <w:sz w:val="20"/>
          <w:szCs w:val="20"/>
          <w:color w:val="auto"/>
        </w:rPr>
      </w:pPr>
    </w:p>
    <w:p>
      <w:pPr>
        <w:sectPr>
          <w:pgSz w:w="11900" w:h="16838" w:orient="portrait"/>
          <w:cols w:equalWidth="0" w:num="2">
            <w:col w:w="4080" w:space="720"/>
            <w:col w:w="541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Bryan, Ohio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First National Bank of Northwest Ohio</w:t>
      </w:r>
    </w:p>
    <w:p>
      <w:pPr>
        <w:spacing w:after="0" w:line="3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(2 offices)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National City Bank (Subsidiary of National City</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Federal Savings &amp; Loan of Defiance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(2 offices)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Community First Bank &amp; Trust</w:t>
      </w:r>
    </w:p>
    <w:p>
      <w:pPr>
        <w:spacing w:after="0" w:line="152" w:lineRule="exact"/>
        <w:rPr>
          <w:sz w:val="20"/>
          <w:szCs w:val="20"/>
          <w:color w:val="auto"/>
        </w:rPr>
      </w:pPr>
    </w:p>
    <w:p>
      <w:pPr>
        <w:sectPr>
          <w:pgSz w:w="11900" w:h="16838" w:orient="portrait"/>
          <w:cols w:equalWidth="0" w:num="2">
            <w:col w:w="4080" w:space="720"/>
            <w:col w:w="541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Montpelier, Ohio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First National Bank of Northwest Ohio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National Bank of Montpelier (2 offices)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Federal Savings &amp; Loan of Defiance</w:t>
      </w:r>
    </w:p>
    <w:p>
      <w:pPr>
        <w:spacing w:after="0" w:line="152" w:lineRule="exact"/>
        <w:rPr>
          <w:sz w:val="20"/>
          <w:szCs w:val="20"/>
          <w:color w:val="auto"/>
        </w:rPr>
      </w:pPr>
    </w:p>
    <w:p>
      <w:pPr>
        <w:sectPr>
          <w:pgSz w:w="11900" w:h="16838" w:orient="portrait"/>
          <w:cols w:equalWidth="0" w:num="2">
            <w:col w:w="4080" w:space="720"/>
            <w:col w:w="5419"/>
          </w:cols>
          <w:pgMar w:left="240" w:top="26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Napoleon, Ohio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Henry County Bank (3 offices)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Federal Savings &amp; Loan of Defiance, Ohio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National Bank of Northwest Ohio (2 offices)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National City Bank (Subsidiary of National City</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Corporation) (2 offices)</w:t>
      </w:r>
    </w:p>
    <w:p>
      <w:pPr>
        <w:spacing w:after="0" w:line="200" w:lineRule="exact"/>
        <w:rPr>
          <w:sz w:val="20"/>
          <w:szCs w:val="20"/>
          <w:color w:val="auto"/>
        </w:rPr>
      </w:pPr>
    </w:p>
    <w:p>
      <w:pPr>
        <w:sectPr>
          <w:pgSz w:w="11900" w:h="16838" w:orient="portrait"/>
          <w:cols w:equalWidth="0" w:num="2">
            <w:col w:w="4080" w:space="720"/>
            <w:col w:w="5419"/>
          </w:cols>
          <w:pgMar w:left="24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65"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STATISTICAL AND FINANCIAL INFORMATION</w:t>
      </w:r>
    </w:p>
    <w:p>
      <w:pPr>
        <w:spacing w:after="0" w:line="180" w:lineRule="exact"/>
        <w:rPr>
          <w:sz w:val="20"/>
          <w:szCs w:val="20"/>
          <w:color w:val="auto"/>
        </w:rPr>
      </w:pPr>
    </w:p>
    <w:p>
      <w:pPr>
        <w:ind w:right="3039" w:firstLine="818"/>
        <w:spacing w:after="0" w:line="277" w:lineRule="auto"/>
        <w:rPr>
          <w:sz w:val="20"/>
          <w:szCs w:val="20"/>
          <w:color w:val="auto"/>
        </w:rPr>
      </w:pPr>
      <w:r>
        <w:rPr>
          <w:rFonts w:ascii="Courier New" w:cs="Courier New" w:eastAsia="Courier New" w:hAnsi="Courier New"/>
          <w:sz w:val="15"/>
          <w:szCs w:val="15"/>
          <w:color w:val="auto"/>
        </w:rPr>
        <w:t>The following statistical information concerning the operations of the company is provided in accordance with Guide 3 of the Securities and Exchange Commission relating to the operations of bank holding companies. It should be read in conjunction with the financial statements, notes thereto and other financial information appearing elsewhere herein.</w:t>
      </w:r>
    </w:p>
    <w:p>
      <w:pPr>
        <w:spacing w:after="0" w:line="68" w:lineRule="exact"/>
        <w:rPr>
          <w:sz w:val="20"/>
          <w:szCs w:val="20"/>
          <w:color w:val="auto"/>
        </w:rPr>
      </w:pPr>
    </w:p>
    <w:p>
      <w:pPr>
        <w:ind w:right="3319"/>
        <w:spacing w:after="0" w:line="368" w:lineRule="auto"/>
        <w:rPr>
          <w:sz w:val="20"/>
          <w:szCs w:val="20"/>
          <w:color w:val="auto"/>
        </w:rPr>
      </w:pPr>
      <w:r>
        <w:rPr>
          <w:rFonts w:ascii="Courier New" w:cs="Courier New" w:eastAsia="Courier New" w:hAnsi="Courier New"/>
          <w:sz w:val="15"/>
          <w:szCs w:val="15"/>
          <w:color w:val="auto"/>
        </w:rPr>
        <w:t>DISTRIBUTION OF ASSETS, LIABILITIES AND STOCKHOLDERS' EQUITY, INTEREST RATES AND INTEREST DIFFERENTIAL</w:t>
      </w:r>
    </w:p>
    <w:p>
      <w:pPr>
        <w:spacing w:after="0" w:line="353" w:lineRule="exact"/>
        <w:rPr>
          <w:sz w:val="20"/>
          <w:szCs w:val="20"/>
          <w:color w:val="auto"/>
        </w:rPr>
      </w:pPr>
    </w:p>
    <w:tbl>
      <w:tblPr>
        <w:tblLayout w:type="fixed"/>
        <w:tblInd w:w="440" w:type="dxa"/>
        <w:tblCellMar>
          <w:top w:w="0" w:type="dxa"/>
          <w:left w:w="0" w:type="dxa"/>
          <w:bottom w:w="0" w:type="dxa"/>
          <w:right w:w="0" w:type="dxa"/>
        </w:tblCellMar>
      </w:tblPr>
      <w:tr>
        <w:trPr>
          <w:trHeight w:val="256"/>
        </w:trPr>
        <w:tc>
          <w:tcPr>
            <w:tcW w:w="4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2"/>
                <w:szCs w:val="22"/>
                <w:color w:val="auto"/>
              </w:rPr>
            </w:pPr>
          </w:p>
        </w:tc>
        <w:tc>
          <w:tcPr>
            <w:tcW w:w="122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4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4960" w:type="dxa"/>
            <w:vAlign w:val="bottom"/>
            <w:gridSpan w:val="5"/>
          </w:tcPr>
          <w:p>
            <w:pPr>
              <w:ind w:left="5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Average</w:t>
            </w:r>
          </w:p>
        </w:tc>
        <w:tc>
          <w:tcPr>
            <w:tcW w:w="360" w:type="dxa"/>
            <w:vAlign w:val="bottom"/>
          </w:tcPr>
          <w:p>
            <w:pPr>
              <w:spacing w:after="0"/>
              <w:rPr>
                <w:sz w:val="15"/>
                <w:szCs w:val="15"/>
                <w:color w:val="auto"/>
              </w:rPr>
            </w:pPr>
          </w:p>
        </w:tc>
        <w:tc>
          <w:tcPr>
            <w:tcW w:w="12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Interest</w:t>
            </w:r>
          </w:p>
        </w:tc>
        <w:tc>
          <w:tcPr>
            <w:tcW w:w="146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Yield/</w:t>
            </w: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and</w:t>
            </w: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Balance</w:t>
            </w:r>
          </w:p>
        </w:tc>
        <w:tc>
          <w:tcPr>
            <w:tcW w:w="360" w:type="dxa"/>
            <w:vAlign w:val="bottom"/>
          </w:tcPr>
          <w:p>
            <w:pPr>
              <w:spacing w:after="0"/>
              <w:rPr>
                <w:sz w:val="15"/>
                <w:szCs w:val="15"/>
                <w:color w:val="auto"/>
              </w:rPr>
            </w:pPr>
          </w:p>
        </w:tc>
        <w:tc>
          <w:tcPr>
            <w:tcW w:w="12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Dividend</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Rate</w:t>
            </w:r>
          </w:p>
        </w:tc>
        <w:tc>
          <w:tcPr>
            <w:tcW w:w="0" w:type="dxa"/>
            <w:vAlign w:val="bottom"/>
          </w:tcPr>
          <w:p>
            <w:pPr>
              <w:spacing w:after="0"/>
              <w:rPr>
                <w:sz w:val="1"/>
                <w:szCs w:val="1"/>
                <w:color w:val="auto"/>
              </w:rPr>
            </w:pPr>
          </w:p>
        </w:tc>
      </w:tr>
      <w:tr>
        <w:trPr>
          <w:trHeight w:val="256"/>
        </w:trPr>
        <w:tc>
          <w:tcPr>
            <w:tcW w:w="4680" w:type="dxa"/>
            <w:vAlign w:val="bottom"/>
          </w:tcPr>
          <w:p>
            <w:pPr>
              <w:spacing w:after="0"/>
              <w:rPr>
                <w:sz w:val="22"/>
                <w:szCs w:val="22"/>
                <w:color w:val="auto"/>
              </w:rPr>
            </w:pPr>
          </w:p>
        </w:tc>
        <w:tc>
          <w:tcPr>
            <w:tcW w:w="19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Interest Earning Assets:</w:t>
            </w:r>
          </w:p>
        </w:tc>
        <w:tc>
          <w:tcPr>
            <w:tcW w:w="680" w:type="dxa"/>
            <w:vAlign w:val="bottom"/>
            <w:vMerge w:val="restart"/>
          </w:tcPr>
          <w:p>
            <w:pPr>
              <w:ind w:left="500"/>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408,291</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36,335</w:t>
            </w:r>
          </w:p>
        </w:tc>
        <w:tc>
          <w:tcPr>
            <w:tcW w:w="14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8.90%</w:t>
            </w:r>
          </w:p>
        </w:tc>
        <w:tc>
          <w:tcPr>
            <w:tcW w:w="0" w:type="dxa"/>
            <w:vAlign w:val="bottom"/>
          </w:tcPr>
          <w:p>
            <w:pPr>
              <w:spacing w:after="0"/>
              <w:rPr>
                <w:sz w:val="1"/>
                <w:szCs w:val="1"/>
                <w:color w:val="auto"/>
              </w:rPr>
            </w:pPr>
          </w:p>
        </w:tc>
      </w:tr>
      <w:tr>
        <w:trPr>
          <w:trHeight w:val="175"/>
        </w:trPr>
        <w:tc>
          <w:tcPr>
            <w:tcW w:w="4680" w:type="dxa"/>
            <w:vAlign w:val="bottom"/>
          </w:tcPr>
          <w:p>
            <w:pPr>
              <w:ind w:left="380"/>
              <w:spacing w:after="0"/>
              <w:rPr>
                <w:sz w:val="20"/>
                <w:szCs w:val="20"/>
                <w:color w:val="auto"/>
              </w:rPr>
            </w:pPr>
            <w:r>
              <w:rPr>
                <w:rFonts w:ascii="Courier New" w:cs="Courier New" w:eastAsia="Courier New" w:hAnsi="Courier New"/>
                <w:sz w:val="15"/>
                <w:szCs w:val="15"/>
                <w:color w:val="auto"/>
              </w:rPr>
              <w:t>Loans (1)</w:t>
            </w:r>
          </w:p>
        </w:tc>
        <w:tc>
          <w:tcPr>
            <w:tcW w:w="6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380"/>
              <w:spacing w:after="0"/>
              <w:rPr>
                <w:sz w:val="20"/>
                <w:szCs w:val="20"/>
                <w:color w:val="auto"/>
              </w:rPr>
            </w:pPr>
            <w:r>
              <w:rPr>
                <w:rFonts w:ascii="Courier New" w:cs="Courier New" w:eastAsia="Courier New" w:hAnsi="Courier New"/>
                <w:sz w:val="15"/>
                <w:szCs w:val="15"/>
                <w:color w:val="auto"/>
              </w:rPr>
              <w:t>Taxable investment securities</w:t>
            </w:r>
          </w:p>
        </w:tc>
        <w:tc>
          <w:tcPr>
            <w:tcW w:w="6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75,880</w:t>
            </w:r>
          </w:p>
        </w:tc>
        <w:tc>
          <w:tcPr>
            <w:tcW w:w="3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4,641</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6.12</w:t>
            </w:r>
          </w:p>
        </w:tc>
        <w:tc>
          <w:tcPr>
            <w:tcW w:w="0" w:type="dxa"/>
            <w:vAlign w:val="bottom"/>
          </w:tcPr>
          <w:p>
            <w:pPr>
              <w:spacing w:after="0"/>
              <w:rPr>
                <w:sz w:val="1"/>
                <w:szCs w:val="1"/>
                <w:color w:val="auto"/>
              </w:rPr>
            </w:pPr>
          </w:p>
        </w:tc>
      </w:tr>
      <w:tr>
        <w:trPr>
          <w:trHeight w:val="175"/>
        </w:trPr>
        <w:tc>
          <w:tcPr>
            <w:tcW w:w="4680" w:type="dxa"/>
            <w:vAlign w:val="bottom"/>
          </w:tcPr>
          <w:p>
            <w:pPr>
              <w:ind w:left="380"/>
              <w:spacing w:after="0"/>
              <w:rPr>
                <w:sz w:val="20"/>
                <w:szCs w:val="20"/>
                <w:color w:val="auto"/>
              </w:rPr>
            </w:pPr>
            <w:r>
              <w:rPr>
                <w:rFonts w:ascii="Courier New" w:cs="Courier New" w:eastAsia="Courier New" w:hAnsi="Courier New"/>
                <w:sz w:val="15"/>
                <w:szCs w:val="15"/>
                <w:color w:val="auto"/>
              </w:rPr>
              <w:t>Tax-exempt investment securities</w:t>
            </w:r>
          </w:p>
        </w:tc>
        <w:tc>
          <w:tcPr>
            <w:tcW w:w="6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25,654</w:t>
            </w:r>
          </w:p>
        </w:tc>
        <w:tc>
          <w:tcPr>
            <w:tcW w:w="3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1,259</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4.91</w:t>
            </w:r>
          </w:p>
        </w:tc>
        <w:tc>
          <w:tcPr>
            <w:tcW w:w="0" w:type="dxa"/>
            <w:vAlign w:val="bottom"/>
          </w:tcPr>
          <w:p>
            <w:pPr>
              <w:spacing w:after="0"/>
              <w:rPr>
                <w:sz w:val="1"/>
                <w:szCs w:val="1"/>
                <w:color w:val="auto"/>
              </w:rPr>
            </w:pPr>
          </w:p>
        </w:tc>
      </w:tr>
      <w:tr>
        <w:trPr>
          <w:trHeight w:val="175"/>
        </w:trPr>
        <w:tc>
          <w:tcPr>
            <w:tcW w:w="4680" w:type="dxa"/>
            <w:vAlign w:val="bottom"/>
          </w:tcPr>
          <w:p>
            <w:pPr>
              <w:ind w:left="380"/>
              <w:spacing w:after="0"/>
              <w:rPr>
                <w:sz w:val="20"/>
                <w:szCs w:val="20"/>
                <w:color w:val="auto"/>
              </w:rPr>
            </w:pPr>
            <w:r>
              <w:rPr>
                <w:rFonts w:ascii="Courier New" w:cs="Courier New" w:eastAsia="Courier New" w:hAnsi="Courier New"/>
                <w:sz w:val="15"/>
                <w:szCs w:val="15"/>
                <w:color w:val="auto"/>
              </w:rPr>
              <w:t>Interest bearing deposits with other banks</w:t>
            </w:r>
          </w:p>
        </w:tc>
        <w:tc>
          <w:tcPr>
            <w:tcW w:w="6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5.00</w:t>
            </w:r>
          </w:p>
        </w:tc>
        <w:tc>
          <w:tcPr>
            <w:tcW w:w="0" w:type="dxa"/>
            <w:vAlign w:val="bottom"/>
          </w:tcPr>
          <w:p>
            <w:pPr>
              <w:spacing w:after="0"/>
              <w:rPr>
                <w:sz w:val="1"/>
                <w:szCs w:val="1"/>
                <w:color w:val="auto"/>
              </w:rPr>
            </w:pPr>
          </w:p>
        </w:tc>
      </w:tr>
      <w:tr>
        <w:trPr>
          <w:trHeight w:val="175"/>
        </w:trPr>
        <w:tc>
          <w:tcPr>
            <w:tcW w:w="4680" w:type="dxa"/>
            <w:vAlign w:val="bottom"/>
          </w:tcPr>
          <w:p>
            <w:pPr>
              <w:ind w:left="380"/>
              <w:spacing w:after="0"/>
              <w:rPr>
                <w:sz w:val="20"/>
                <w:szCs w:val="20"/>
                <w:color w:val="auto"/>
              </w:rPr>
            </w:pPr>
            <w:r>
              <w:rPr>
                <w:rFonts w:ascii="Courier New" w:cs="Courier New" w:eastAsia="Courier New" w:hAnsi="Courier New"/>
                <w:sz w:val="15"/>
                <w:szCs w:val="15"/>
                <w:color w:val="auto"/>
              </w:rPr>
              <w:t>Federal funds sold and securities</w:t>
            </w:r>
          </w:p>
        </w:tc>
        <w:tc>
          <w:tcPr>
            <w:tcW w:w="680" w:type="dxa"/>
            <w:vAlign w:val="bottom"/>
          </w:tcPr>
          <w:p>
            <w:pPr>
              <w:spacing w:after="0"/>
              <w:rPr>
                <w:sz w:val="15"/>
                <w:szCs w:val="15"/>
                <w:color w:val="auto"/>
              </w:rPr>
            </w:pP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12,123</w:t>
            </w:r>
          </w:p>
        </w:tc>
        <w:tc>
          <w:tcPr>
            <w:tcW w:w="360" w:type="dxa"/>
            <w:vAlign w:val="bottom"/>
          </w:tcPr>
          <w:p>
            <w:pPr>
              <w:spacing w:after="0"/>
              <w:rPr>
                <w:sz w:val="15"/>
                <w:szCs w:val="15"/>
                <w:color w:val="auto"/>
              </w:rPr>
            </w:pPr>
          </w:p>
        </w:tc>
        <w:tc>
          <w:tcPr>
            <w:tcW w:w="12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648</w:t>
            </w:r>
          </w:p>
        </w:tc>
        <w:tc>
          <w:tcPr>
            <w:tcW w:w="14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5.35</w:t>
            </w:r>
          </w:p>
        </w:tc>
        <w:tc>
          <w:tcPr>
            <w:tcW w:w="0" w:type="dxa"/>
            <w:vAlign w:val="bottom"/>
          </w:tcPr>
          <w:p>
            <w:pPr>
              <w:spacing w:after="0"/>
              <w:rPr>
                <w:sz w:val="1"/>
                <w:szCs w:val="1"/>
                <w:color w:val="auto"/>
              </w:rPr>
            </w:pPr>
          </w:p>
        </w:tc>
      </w:tr>
      <w:tr>
        <w:trPr>
          <w:trHeight w:val="175"/>
        </w:trPr>
        <w:tc>
          <w:tcPr>
            <w:tcW w:w="4680" w:type="dxa"/>
            <w:vAlign w:val="bottom"/>
          </w:tcPr>
          <w:p>
            <w:pPr>
              <w:ind w:left="560"/>
              <w:spacing w:after="0"/>
              <w:rPr>
                <w:sz w:val="20"/>
                <w:szCs w:val="20"/>
                <w:color w:val="auto"/>
              </w:rPr>
            </w:pPr>
            <w:r>
              <w:rPr>
                <w:rFonts w:ascii="Courier New" w:cs="Courier New" w:eastAsia="Courier New" w:hAnsi="Courier New"/>
                <w:sz w:val="15"/>
                <w:szCs w:val="15"/>
                <w:color w:val="auto"/>
              </w:rPr>
              <w:t>purchased under agreement to resell</w:t>
            </w:r>
          </w:p>
        </w:tc>
        <w:tc>
          <w:tcPr>
            <w:tcW w:w="6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vMerge w:val="restart"/>
          </w:tcPr>
          <w:p>
            <w:pPr>
              <w:spacing w:after="0"/>
              <w:rPr>
                <w:sz w:val="20"/>
                <w:szCs w:val="20"/>
                <w:color w:val="auto"/>
              </w:rPr>
            </w:pPr>
            <w:r>
              <w:rPr>
                <w:rFonts w:ascii="Courier New" w:cs="Courier New" w:eastAsia="Courier New" w:hAnsi="Courier New"/>
                <w:sz w:val="15"/>
                <w:szCs w:val="15"/>
                <w:color w:val="auto"/>
              </w:rPr>
              <w:t>Total Interest Earning Assets</w:t>
            </w:r>
          </w:p>
        </w:tc>
        <w:tc>
          <w:tcPr>
            <w:tcW w:w="19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8.22%</w:t>
            </w:r>
          </w:p>
        </w:tc>
        <w:tc>
          <w:tcPr>
            <w:tcW w:w="0" w:type="dxa"/>
            <w:vAlign w:val="bottom"/>
          </w:tcPr>
          <w:p>
            <w:pPr>
              <w:spacing w:after="0"/>
              <w:rPr>
                <w:sz w:val="1"/>
                <w:szCs w:val="1"/>
                <w:color w:val="auto"/>
              </w:rPr>
            </w:pPr>
          </w:p>
        </w:tc>
      </w:tr>
      <w:tr>
        <w:trPr>
          <w:trHeight w:val="175"/>
        </w:trPr>
        <w:tc>
          <w:tcPr>
            <w:tcW w:w="468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522,048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42,888</w:t>
            </w: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680" w:type="dxa"/>
            <w:vAlign w:val="bottom"/>
            <w:vMerge w:val="restart"/>
          </w:tcPr>
          <w:p>
            <w:pPr>
              <w:spacing w:after="0"/>
              <w:rPr>
                <w:sz w:val="20"/>
                <w:szCs w:val="20"/>
                <w:color w:val="auto"/>
              </w:rPr>
            </w:pPr>
            <w:r>
              <w:rPr>
                <w:rFonts w:ascii="Courier New" w:cs="Courier New" w:eastAsia="Courier New" w:hAnsi="Courier New"/>
                <w:sz w:val="15"/>
                <w:szCs w:val="15"/>
                <w:color w:val="auto"/>
              </w:rPr>
              <w:t>Non-interest Earnings Assets:</w:t>
            </w:r>
          </w:p>
        </w:tc>
        <w:tc>
          <w:tcPr>
            <w:tcW w:w="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68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14,745</w:t>
            </w: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380"/>
              <w:spacing w:after="0"/>
              <w:rPr>
                <w:sz w:val="20"/>
                <w:szCs w:val="20"/>
                <w:color w:val="auto"/>
              </w:rPr>
            </w:pPr>
            <w:r>
              <w:rPr>
                <w:rFonts w:ascii="Courier New" w:cs="Courier New" w:eastAsia="Courier New" w:hAnsi="Courier New"/>
                <w:sz w:val="15"/>
                <w:szCs w:val="15"/>
                <w:color w:val="auto"/>
              </w:rPr>
              <w:t>Cash and due from banks</w:t>
            </w:r>
          </w:p>
        </w:tc>
        <w:tc>
          <w:tcPr>
            <w:tcW w:w="6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380"/>
              <w:spacing w:after="0"/>
              <w:rPr>
                <w:sz w:val="20"/>
                <w:szCs w:val="20"/>
                <w:color w:val="auto"/>
              </w:rPr>
            </w:pPr>
            <w:r>
              <w:rPr>
                <w:rFonts w:ascii="Courier New" w:cs="Courier New" w:eastAsia="Courier New" w:hAnsi="Courier New"/>
                <w:sz w:val="15"/>
                <w:szCs w:val="15"/>
                <w:color w:val="auto"/>
              </w:rPr>
              <w:t>Other assets</w:t>
            </w:r>
          </w:p>
        </w:tc>
        <w:tc>
          <w:tcPr>
            <w:tcW w:w="6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16,484</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19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6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553,277</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19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80" w:type="dxa"/>
            <w:vAlign w:val="bottom"/>
            <w:gridSpan w:val="5"/>
          </w:tcPr>
          <w:p>
            <w:pPr>
              <w:ind w:left="4100"/>
              <w:spacing w:after="0"/>
              <w:rPr>
                <w:sz w:val="20"/>
                <w:szCs w:val="20"/>
                <w:color w:val="auto"/>
              </w:rPr>
            </w:pPr>
            <w:r>
              <w:rPr>
                <w:rFonts w:ascii="Courier New" w:cs="Courier New" w:eastAsia="Courier New" w:hAnsi="Courier New"/>
                <w:sz w:val="15"/>
                <w:szCs w:val="15"/>
                <w:color w:val="auto"/>
              </w:rPr>
              <w:t>LIABILITIES AND SHAREHOLDERS' EQUITY</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Interest Bearing Liabilities:</w:t>
            </w:r>
          </w:p>
        </w:tc>
        <w:tc>
          <w:tcPr>
            <w:tcW w:w="680" w:type="dxa"/>
            <w:vAlign w:val="bottom"/>
            <w:vMerge w:val="restart"/>
          </w:tcPr>
          <w:p>
            <w:pPr>
              <w:ind w:left="500"/>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89,643</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4,635</w:t>
            </w:r>
          </w:p>
        </w:tc>
        <w:tc>
          <w:tcPr>
            <w:tcW w:w="14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5.17%</w:t>
            </w:r>
          </w:p>
        </w:tc>
        <w:tc>
          <w:tcPr>
            <w:tcW w:w="0" w:type="dxa"/>
            <w:vAlign w:val="bottom"/>
          </w:tcPr>
          <w:p>
            <w:pPr>
              <w:spacing w:after="0"/>
              <w:rPr>
                <w:sz w:val="1"/>
                <w:szCs w:val="1"/>
                <w:color w:val="auto"/>
              </w:rPr>
            </w:pPr>
          </w:p>
        </w:tc>
      </w:tr>
      <w:tr>
        <w:trPr>
          <w:trHeight w:val="175"/>
        </w:trPr>
        <w:tc>
          <w:tcPr>
            <w:tcW w:w="4680" w:type="dxa"/>
            <w:vAlign w:val="bottom"/>
          </w:tcPr>
          <w:p>
            <w:pPr>
              <w:ind w:left="380"/>
              <w:spacing w:after="0"/>
              <w:rPr>
                <w:sz w:val="20"/>
                <w:szCs w:val="20"/>
                <w:color w:val="auto"/>
              </w:rPr>
            </w:pPr>
            <w:r>
              <w:rPr>
                <w:rFonts w:ascii="Courier New" w:cs="Courier New" w:eastAsia="Courier New" w:hAnsi="Courier New"/>
                <w:sz w:val="15"/>
                <w:szCs w:val="15"/>
                <w:color w:val="auto"/>
              </w:rPr>
              <w:t>Savings deposits</w:t>
            </w:r>
          </w:p>
        </w:tc>
        <w:tc>
          <w:tcPr>
            <w:tcW w:w="6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380"/>
              <w:spacing w:after="0"/>
              <w:rPr>
                <w:sz w:val="20"/>
                <w:szCs w:val="20"/>
                <w:color w:val="auto"/>
              </w:rPr>
            </w:pPr>
            <w:r>
              <w:rPr>
                <w:rFonts w:ascii="Courier New" w:cs="Courier New" w:eastAsia="Courier New" w:hAnsi="Courier New"/>
                <w:sz w:val="15"/>
                <w:szCs w:val="15"/>
                <w:color w:val="auto"/>
              </w:rPr>
              <w:t>Other time deposits</w:t>
            </w:r>
          </w:p>
        </w:tc>
        <w:tc>
          <w:tcPr>
            <w:tcW w:w="6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290,141</w:t>
            </w:r>
          </w:p>
        </w:tc>
        <w:tc>
          <w:tcPr>
            <w:tcW w:w="3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16,547</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5.70</w:t>
            </w:r>
          </w:p>
        </w:tc>
        <w:tc>
          <w:tcPr>
            <w:tcW w:w="0" w:type="dxa"/>
            <w:vAlign w:val="bottom"/>
          </w:tcPr>
          <w:p>
            <w:pPr>
              <w:spacing w:after="0"/>
              <w:rPr>
                <w:sz w:val="1"/>
                <w:szCs w:val="1"/>
                <w:color w:val="auto"/>
              </w:rPr>
            </w:pPr>
          </w:p>
        </w:tc>
      </w:tr>
      <w:tr>
        <w:trPr>
          <w:trHeight w:val="175"/>
        </w:trPr>
        <w:tc>
          <w:tcPr>
            <w:tcW w:w="4680" w:type="dxa"/>
            <w:vAlign w:val="bottom"/>
          </w:tcPr>
          <w:p>
            <w:pPr>
              <w:ind w:left="380"/>
              <w:spacing w:after="0"/>
              <w:rPr>
                <w:sz w:val="20"/>
                <w:szCs w:val="20"/>
                <w:color w:val="auto"/>
              </w:rPr>
            </w:pPr>
            <w:r>
              <w:rPr>
                <w:rFonts w:ascii="Courier New" w:cs="Courier New" w:eastAsia="Courier New" w:hAnsi="Courier New"/>
                <w:sz w:val="15"/>
                <w:szCs w:val="15"/>
                <w:color w:val="auto"/>
              </w:rPr>
              <w:t>Other borrowed money</w:t>
            </w:r>
          </w:p>
        </w:tc>
        <w:tc>
          <w:tcPr>
            <w:tcW w:w="6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11,051</w:t>
            </w:r>
          </w:p>
        </w:tc>
        <w:tc>
          <w:tcPr>
            <w:tcW w:w="3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698</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6.32</w:t>
            </w:r>
          </w:p>
        </w:tc>
        <w:tc>
          <w:tcPr>
            <w:tcW w:w="0" w:type="dxa"/>
            <w:vAlign w:val="bottom"/>
          </w:tcPr>
          <w:p>
            <w:pPr>
              <w:spacing w:after="0"/>
              <w:rPr>
                <w:sz w:val="1"/>
                <w:szCs w:val="1"/>
                <w:color w:val="auto"/>
              </w:rPr>
            </w:pPr>
          </w:p>
        </w:tc>
      </w:tr>
      <w:tr>
        <w:trPr>
          <w:trHeight w:val="175"/>
        </w:trPr>
        <w:tc>
          <w:tcPr>
            <w:tcW w:w="4680" w:type="dxa"/>
            <w:vAlign w:val="bottom"/>
          </w:tcPr>
          <w:p>
            <w:pPr>
              <w:ind w:left="380"/>
              <w:spacing w:after="0"/>
              <w:rPr>
                <w:sz w:val="20"/>
                <w:szCs w:val="20"/>
                <w:color w:val="auto"/>
              </w:rPr>
            </w:pPr>
            <w:r>
              <w:rPr>
                <w:rFonts w:ascii="Courier New" w:cs="Courier New" w:eastAsia="Courier New" w:hAnsi="Courier New"/>
                <w:sz w:val="15"/>
                <w:szCs w:val="15"/>
                <w:color w:val="auto"/>
              </w:rPr>
              <w:t>Federal funds purchased and securities</w:t>
            </w:r>
          </w:p>
        </w:tc>
        <w:tc>
          <w:tcPr>
            <w:tcW w:w="680" w:type="dxa"/>
            <w:vAlign w:val="bottom"/>
          </w:tcPr>
          <w:p>
            <w:pPr>
              <w:spacing w:after="0"/>
              <w:rPr>
                <w:sz w:val="15"/>
                <w:szCs w:val="15"/>
                <w:color w:val="auto"/>
              </w:rPr>
            </w:pP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3,276</w:t>
            </w:r>
          </w:p>
        </w:tc>
        <w:tc>
          <w:tcPr>
            <w:tcW w:w="360" w:type="dxa"/>
            <w:vAlign w:val="bottom"/>
          </w:tcPr>
          <w:p>
            <w:pPr>
              <w:spacing w:after="0"/>
              <w:rPr>
                <w:sz w:val="15"/>
                <w:szCs w:val="15"/>
                <w:color w:val="auto"/>
              </w:rPr>
            </w:pPr>
          </w:p>
        </w:tc>
        <w:tc>
          <w:tcPr>
            <w:tcW w:w="12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206</w:t>
            </w:r>
          </w:p>
        </w:tc>
        <w:tc>
          <w:tcPr>
            <w:tcW w:w="14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6.25</w:t>
            </w:r>
          </w:p>
        </w:tc>
        <w:tc>
          <w:tcPr>
            <w:tcW w:w="0" w:type="dxa"/>
            <w:vAlign w:val="bottom"/>
          </w:tcPr>
          <w:p>
            <w:pPr>
              <w:spacing w:after="0"/>
              <w:rPr>
                <w:sz w:val="1"/>
                <w:szCs w:val="1"/>
                <w:color w:val="auto"/>
              </w:rPr>
            </w:pPr>
          </w:p>
        </w:tc>
      </w:tr>
      <w:tr>
        <w:trPr>
          <w:trHeight w:val="175"/>
        </w:trPr>
        <w:tc>
          <w:tcPr>
            <w:tcW w:w="4680" w:type="dxa"/>
            <w:vAlign w:val="bottom"/>
          </w:tcPr>
          <w:p>
            <w:pPr>
              <w:ind w:left="560"/>
              <w:spacing w:after="0"/>
              <w:rPr>
                <w:sz w:val="20"/>
                <w:szCs w:val="20"/>
                <w:color w:val="auto"/>
              </w:rPr>
            </w:pPr>
            <w:r>
              <w:rPr>
                <w:rFonts w:ascii="Courier New" w:cs="Courier New" w:eastAsia="Courier New" w:hAnsi="Courier New"/>
                <w:sz w:val="15"/>
                <w:szCs w:val="15"/>
                <w:color w:val="auto"/>
              </w:rPr>
              <w:t>sold under agreement to repurchase</w:t>
            </w:r>
          </w:p>
        </w:tc>
        <w:tc>
          <w:tcPr>
            <w:tcW w:w="6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vMerge w:val="restart"/>
          </w:tcPr>
          <w:p>
            <w:pPr>
              <w:spacing w:after="0"/>
              <w:rPr>
                <w:sz w:val="20"/>
                <w:szCs w:val="20"/>
                <w:color w:val="auto"/>
              </w:rPr>
            </w:pPr>
            <w:r>
              <w:rPr>
                <w:rFonts w:ascii="Courier New" w:cs="Courier New" w:eastAsia="Courier New" w:hAnsi="Courier New"/>
                <w:sz w:val="15"/>
                <w:szCs w:val="15"/>
                <w:color w:val="auto"/>
              </w:rPr>
              <w:t>Total Interest Bearing Liabilities</w:t>
            </w:r>
          </w:p>
        </w:tc>
        <w:tc>
          <w:tcPr>
            <w:tcW w:w="19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5.60%</w:t>
            </w:r>
          </w:p>
        </w:tc>
        <w:tc>
          <w:tcPr>
            <w:tcW w:w="0" w:type="dxa"/>
            <w:vAlign w:val="bottom"/>
          </w:tcPr>
          <w:p>
            <w:pPr>
              <w:spacing w:after="0"/>
              <w:rPr>
                <w:sz w:val="1"/>
                <w:szCs w:val="1"/>
                <w:color w:val="auto"/>
              </w:rPr>
            </w:pPr>
          </w:p>
        </w:tc>
      </w:tr>
      <w:tr>
        <w:trPr>
          <w:trHeight w:val="175"/>
        </w:trPr>
        <w:tc>
          <w:tcPr>
            <w:tcW w:w="468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394,111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22,086</w:t>
            </w: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680" w:type="dxa"/>
            <w:vAlign w:val="bottom"/>
            <w:vMerge w:val="restart"/>
          </w:tcPr>
          <w:p>
            <w:pPr>
              <w:spacing w:after="0"/>
              <w:rPr>
                <w:sz w:val="20"/>
                <w:szCs w:val="20"/>
                <w:color w:val="auto"/>
              </w:rPr>
            </w:pPr>
            <w:r>
              <w:rPr>
                <w:rFonts w:ascii="Courier New" w:cs="Courier New" w:eastAsia="Courier New" w:hAnsi="Courier New"/>
                <w:sz w:val="15"/>
                <w:szCs w:val="15"/>
                <w:color w:val="auto"/>
              </w:rPr>
              <w:t>Non-interest Bearing Obligations:</w:t>
            </w:r>
          </w:p>
        </w:tc>
        <w:tc>
          <w:tcPr>
            <w:tcW w:w="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68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100,420</w:t>
            </w: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380"/>
              <w:spacing w:after="0"/>
              <w:rPr>
                <w:sz w:val="20"/>
                <w:szCs w:val="20"/>
                <w:color w:val="auto"/>
              </w:rPr>
            </w:pPr>
            <w:r>
              <w:rPr>
                <w:rFonts w:ascii="Courier New" w:cs="Courier New" w:eastAsia="Courier New" w:hAnsi="Courier New"/>
                <w:sz w:val="15"/>
                <w:szCs w:val="15"/>
                <w:color w:val="auto"/>
              </w:rPr>
              <w:t>Non-interest bearing deposits</w:t>
            </w:r>
          </w:p>
        </w:tc>
        <w:tc>
          <w:tcPr>
            <w:tcW w:w="6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380"/>
              <w:spacing w:after="0"/>
              <w:rPr>
                <w:sz w:val="20"/>
                <w:szCs w:val="20"/>
                <w:color w:val="auto"/>
              </w:rPr>
            </w:pPr>
            <w:r>
              <w:rPr>
                <w:rFonts w:ascii="Courier New" w:cs="Courier New" w:eastAsia="Courier New" w:hAnsi="Courier New"/>
                <w:sz w:val="15"/>
                <w:szCs w:val="15"/>
                <w:color w:val="auto"/>
              </w:rPr>
              <w:t>Other</w:t>
            </w:r>
          </w:p>
        </w:tc>
        <w:tc>
          <w:tcPr>
            <w:tcW w:w="6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5,807</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Total Liabilities</w:t>
            </w:r>
          </w:p>
        </w:tc>
        <w:tc>
          <w:tcPr>
            <w:tcW w:w="19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500,338</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380"/>
              <w:spacing w:after="0"/>
              <w:rPr>
                <w:sz w:val="20"/>
                <w:szCs w:val="20"/>
                <w:color w:val="auto"/>
              </w:rPr>
            </w:pPr>
            <w:r>
              <w:rPr>
                <w:rFonts w:ascii="Courier New" w:cs="Courier New" w:eastAsia="Courier New" w:hAnsi="Courier New"/>
                <w:sz w:val="15"/>
                <w:szCs w:val="15"/>
                <w:color w:val="auto"/>
              </w:rPr>
              <w:t>Stockholders' Equity</w:t>
            </w:r>
          </w:p>
        </w:tc>
        <w:tc>
          <w:tcPr>
            <w:tcW w:w="6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52,939</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9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vMerge w:val="continue"/>
          </w:tcPr>
          <w:p>
            <w:pPr>
              <w:spacing w:after="0"/>
              <w:rPr>
                <w:sz w:val="15"/>
                <w:szCs w:val="15"/>
                <w:color w:val="auto"/>
              </w:rPr>
            </w:pPr>
          </w:p>
        </w:tc>
        <w:tc>
          <w:tcPr>
            <w:tcW w:w="6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553,277</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68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Interest and dividend income/yield</w:t>
            </w:r>
          </w:p>
        </w:tc>
        <w:tc>
          <w:tcPr>
            <w:tcW w:w="19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42,888</w:t>
            </w:r>
          </w:p>
        </w:tc>
        <w:tc>
          <w:tcPr>
            <w:tcW w:w="14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8.22%</w:t>
            </w:r>
          </w:p>
        </w:tc>
        <w:tc>
          <w:tcPr>
            <w:tcW w:w="0" w:type="dxa"/>
            <w:vAlign w:val="bottom"/>
          </w:tcPr>
          <w:p>
            <w:pPr>
              <w:spacing w:after="0"/>
              <w:rPr>
                <w:sz w:val="1"/>
                <w:szCs w:val="1"/>
                <w:color w:val="auto"/>
              </w:rPr>
            </w:pPr>
          </w:p>
        </w:tc>
      </w:tr>
      <w:tr>
        <w:trPr>
          <w:trHeight w:val="93"/>
        </w:trPr>
        <w:tc>
          <w:tcPr>
            <w:tcW w:w="468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380"/>
              <w:spacing w:after="0"/>
              <w:rPr>
                <w:sz w:val="20"/>
                <w:szCs w:val="20"/>
                <w:color w:val="auto"/>
              </w:rPr>
            </w:pPr>
            <w:r>
              <w:rPr>
                <w:rFonts w:ascii="Courier New" w:cs="Courier New" w:eastAsia="Courier New" w:hAnsi="Courier New"/>
                <w:sz w:val="15"/>
                <w:szCs w:val="15"/>
                <w:color w:val="auto"/>
              </w:rPr>
              <w:t>Interest expense/rate</w:t>
            </w: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22,086</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5.61</w:t>
            </w:r>
          </w:p>
        </w:tc>
        <w:tc>
          <w:tcPr>
            <w:tcW w:w="0" w:type="dxa"/>
            <w:vAlign w:val="bottom"/>
          </w:tcPr>
          <w:p>
            <w:pPr>
              <w:spacing w:after="0"/>
              <w:rPr>
                <w:sz w:val="1"/>
                <w:szCs w:val="1"/>
                <w:color w:val="auto"/>
              </w:rPr>
            </w:pPr>
          </w:p>
        </w:tc>
      </w:tr>
      <w:tr>
        <w:trPr>
          <w:trHeight w:val="175"/>
        </w:trPr>
        <w:tc>
          <w:tcPr>
            <w:tcW w:w="468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Net Interest Spread</w:t>
            </w: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8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20,802</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2.61%</w:t>
            </w:r>
          </w:p>
        </w:tc>
        <w:tc>
          <w:tcPr>
            <w:tcW w:w="0" w:type="dxa"/>
            <w:vAlign w:val="bottom"/>
          </w:tcPr>
          <w:p>
            <w:pPr>
              <w:spacing w:after="0"/>
              <w:rPr>
                <w:sz w:val="1"/>
                <w:szCs w:val="1"/>
                <w:color w:val="auto"/>
              </w:rPr>
            </w:pPr>
          </w:p>
        </w:tc>
      </w:tr>
      <w:tr>
        <w:trPr>
          <w:trHeight w:val="175"/>
        </w:trPr>
        <w:tc>
          <w:tcPr>
            <w:tcW w:w="468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Net Interest Margin</w:t>
            </w: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8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3.98%</w:t>
            </w:r>
          </w:p>
        </w:tc>
        <w:tc>
          <w:tcPr>
            <w:tcW w:w="0" w:type="dxa"/>
            <w:vAlign w:val="bottom"/>
          </w:tcPr>
          <w:p>
            <w:pPr>
              <w:spacing w:after="0"/>
              <w:rPr>
                <w:sz w:val="1"/>
                <w:szCs w:val="1"/>
                <w:color w:val="auto"/>
              </w:rPr>
            </w:pPr>
          </w:p>
        </w:tc>
      </w:tr>
      <w:tr>
        <w:trPr>
          <w:trHeight w:val="256"/>
        </w:trPr>
        <w:tc>
          <w:tcPr>
            <w:tcW w:w="4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256"/>
        </w:trPr>
        <w:tc>
          <w:tcPr>
            <w:tcW w:w="4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2"/>
                <w:szCs w:val="22"/>
                <w:color w:val="auto"/>
              </w:rPr>
            </w:pPr>
          </w:p>
        </w:tc>
        <w:tc>
          <w:tcPr>
            <w:tcW w:w="122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4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50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Average</w:t>
            </w:r>
          </w:p>
        </w:tc>
        <w:tc>
          <w:tcPr>
            <w:tcW w:w="360" w:type="dxa"/>
            <w:vAlign w:val="bottom"/>
          </w:tcPr>
          <w:p>
            <w:pPr>
              <w:spacing w:after="0"/>
              <w:rPr>
                <w:sz w:val="15"/>
                <w:szCs w:val="15"/>
                <w:color w:val="auto"/>
              </w:rPr>
            </w:pPr>
          </w:p>
        </w:tc>
        <w:tc>
          <w:tcPr>
            <w:tcW w:w="12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Interest</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Yield/</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and</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Balance</w:t>
            </w:r>
          </w:p>
        </w:tc>
        <w:tc>
          <w:tcPr>
            <w:tcW w:w="360" w:type="dxa"/>
            <w:vAlign w:val="bottom"/>
          </w:tcPr>
          <w:p>
            <w:pPr>
              <w:spacing w:after="0"/>
              <w:rPr>
                <w:sz w:val="15"/>
                <w:szCs w:val="15"/>
                <w:color w:val="auto"/>
              </w:rPr>
            </w:pPr>
          </w:p>
        </w:tc>
        <w:tc>
          <w:tcPr>
            <w:tcW w:w="12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Dividend</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Rate</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2"/>
                <w:szCs w:val="22"/>
                <w:color w:val="auto"/>
              </w:rPr>
            </w:pPr>
          </w:p>
        </w:tc>
        <w:tc>
          <w:tcPr>
            <w:tcW w:w="2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360" w:type="dxa"/>
            <w:vAlign w:val="bottom"/>
          </w:tcPr>
          <w:p>
            <w:pPr>
              <w:spacing w:after="0"/>
              <w:rPr>
                <w:sz w:val="20"/>
                <w:szCs w:val="20"/>
                <w:color w:val="auto"/>
              </w:rPr>
            </w:pPr>
            <w:r>
              <w:rPr>
                <w:rFonts w:ascii="Courier New" w:cs="Courier New" w:eastAsia="Courier New" w:hAnsi="Courier New"/>
                <w:sz w:val="15"/>
                <w:szCs w:val="15"/>
                <w:color w:val="auto"/>
              </w:rPr>
              <w:t>Interest Earning Assets:</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384,498</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34,271</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8.91%</w:t>
            </w: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rPr>
                <w:sz w:val="20"/>
                <w:szCs w:val="20"/>
                <w:color w:val="auto"/>
              </w:rPr>
            </w:pPr>
            <w:r>
              <w:rPr>
                <w:rFonts w:ascii="Courier New" w:cs="Courier New" w:eastAsia="Courier New" w:hAnsi="Courier New"/>
                <w:sz w:val="15"/>
                <w:szCs w:val="15"/>
                <w:color w:val="auto"/>
              </w:rPr>
              <w:t>Loans (1)</w:t>
            </w:r>
          </w:p>
        </w:tc>
        <w:tc>
          <w:tcPr>
            <w:tcW w:w="9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rPr>
                <w:sz w:val="20"/>
                <w:szCs w:val="20"/>
                <w:color w:val="auto"/>
              </w:rPr>
            </w:pPr>
            <w:r>
              <w:rPr>
                <w:rFonts w:ascii="Courier New" w:cs="Courier New" w:eastAsia="Courier New" w:hAnsi="Courier New"/>
                <w:sz w:val="15"/>
                <w:szCs w:val="15"/>
                <w:color w:val="auto"/>
              </w:rPr>
              <w:t>Taxable investment securities</w:t>
            </w:r>
          </w:p>
        </w:tc>
        <w:tc>
          <w:tcPr>
            <w:tcW w:w="96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72,158</w:t>
            </w:r>
          </w:p>
        </w:tc>
        <w:tc>
          <w:tcPr>
            <w:tcW w:w="3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4,540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6.29</w:t>
            </w: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rPr>
                <w:sz w:val="20"/>
                <w:szCs w:val="20"/>
                <w:color w:val="auto"/>
              </w:rPr>
            </w:pPr>
            <w:r>
              <w:rPr>
                <w:rFonts w:ascii="Courier New" w:cs="Courier New" w:eastAsia="Courier New" w:hAnsi="Courier New"/>
                <w:sz w:val="15"/>
                <w:szCs w:val="15"/>
                <w:color w:val="auto"/>
              </w:rPr>
              <w:t>Tax-exempt investment securities</w:t>
            </w:r>
          </w:p>
        </w:tc>
        <w:tc>
          <w:tcPr>
            <w:tcW w:w="96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22,069</w:t>
            </w:r>
          </w:p>
        </w:tc>
        <w:tc>
          <w:tcPr>
            <w:tcW w:w="3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1,131</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5.13</w:t>
            </w: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rPr>
                <w:sz w:val="20"/>
                <w:szCs w:val="20"/>
                <w:color w:val="auto"/>
              </w:rPr>
            </w:pPr>
            <w:r>
              <w:rPr>
                <w:rFonts w:ascii="Courier New" w:cs="Courier New" w:eastAsia="Courier New" w:hAnsi="Courier New"/>
                <w:sz w:val="15"/>
                <w:szCs w:val="15"/>
                <w:color w:val="auto"/>
              </w:rPr>
              <w:t>Interest bearing deposits with other banks</w:t>
            </w:r>
          </w:p>
        </w:tc>
        <w:tc>
          <w:tcPr>
            <w:tcW w:w="96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5.00</w:t>
            </w: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rPr>
                <w:sz w:val="20"/>
                <w:szCs w:val="20"/>
                <w:color w:val="auto"/>
              </w:rPr>
            </w:pPr>
            <w:r>
              <w:rPr>
                <w:rFonts w:ascii="Courier New" w:cs="Courier New" w:eastAsia="Courier New" w:hAnsi="Courier New"/>
                <w:sz w:val="15"/>
                <w:szCs w:val="15"/>
                <w:color w:val="auto"/>
              </w:rPr>
              <w:t>Federal funds sold and securities</w:t>
            </w:r>
          </w:p>
        </w:tc>
        <w:tc>
          <w:tcPr>
            <w:tcW w:w="960" w:type="dxa"/>
            <w:vAlign w:val="bottom"/>
          </w:tcPr>
          <w:p>
            <w:pPr>
              <w:spacing w:after="0"/>
              <w:rPr>
                <w:sz w:val="15"/>
                <w:szCs w:val="15"/>
                <w:color w:val="auto"/>
              </w:rPr>
            </w:pPr>
          </w:p>
        </w:tc>
        <w:tc>
          <w:tcPr>
            <w:tcW w:w="12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3,805</w:t>
            </w:r>
          </w:p>
        </w:tc>
        <w:tc>
          <w:tcPr>
            <w:tcW w:w="360" w:type="dxa"/>
            <w:vAlign w:val="bottom"/>
          </w:tcPr>
          <w:p>
            <w:pPr>
              <w:spacing w:after="0"/>
              <w:rPr>
                <w:sz w:val="15"/>
                <w:szCs w:val="15"/>
                <w:color w:val="auto"/>
              </w:rPr>
            </w:pPr>
          </w:p>
        </w:tc>
        <w:tc>
          <w:tcPr>
            <w:tcW w:w="12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211</w:t>
            </w:r>
          </w:p>
        </w:tc>
        <w:tc>
          <w:tcPr>
            <w:tcW w:w="11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5.55</w:t>
            </w:r>
          </w:p>
        </w:tc>
        <w:tc>
          <w:tcPr>
            <w:tcW w:w="0" w:type="dxa"/>
            <w:vAlign w:val="bottom"/>
          </w:tcPr>
          <w:p>
            <w:pPr>
              <w:spacing w:after="0"/>
              <w:rPr>
                <w:sz w:val="1"/>
                <w:szCs w:val="1"/>
                <w:color w:val="auto"/>
              </w:rPr>
            </w:pPr>
          </w:p>
        </w:tc>
      </w:tr>
      <w:tr>
        <w:trPr>
          <w:trHeight w:val="175"/>
        </w:trPr>
        <w:tc>
          <w:tcPr>
            <w:tcW w:w="4360" w:type="dxa"/>
            <w:vAlign w:val="bottom"/>
          </w:tcPr>
          <w:p>
            <w:pPr>
              <w:ind w:left="560"/>
              <w:spacing w:after="0"/>
              <w:rPr>
                <w:sz w:val="20"/>
                <w:szCs w:val="20"/>
                <w:color w:val="auto"/>
              </w:rPr>
            </w:pPr>
            <w:r>
              <w:rPr>
                <w:rFonts w:ascii="Courier New" w:cs="Courier New" w:eastAsia="Courier New" w:hAnsi="Courier New"/>
                <w:sz w:val="15"/>
                <w:szCs w:val="15"/>
                <w:color w:val="auto"/>
              </w:rPr>
              <w:t>purchased under agreement to resell</w:t>
            </w:r>
          </w:p>
        </w:tc>
        <w:tc>
          <w:tcPr>
            <w:tcW w:w="9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vMerge w:val="restart"/>
          </w:tcPr>
          <w:p>
            <w:pPr>
              <w:spacing w:after="0"/>
              <w:rPr>
                <w:sz w:val="20"/>
                <w:szCs w:val="20"/>
                <w:color w:val="auto"/>
              </w:rPr>
            </w:pPr>
            <w:r>
              <w:rPr>
                <w:rFonts w:ascii="Courier New" w:cs="Courier New" w:eastAsia="Courier New" w:hAnsi="Courier New"/>
                <w:sz w:val="15"/>
                <w:szCs w:val="15"/>
                <w:color w:val="auto"/>
              </w:rPr>
              <w:t>Total Interest Earning Assets</w:t>
            </w:r>
          </w:p>
        </w:tc>
        <w:tc>
          <w:tcPr>
            <w:tcW w:w="2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8.32%</w:t>
            </w:r>
          </w:p>
        </w:tc>
        <w:tc>
          <w:tcPr>
            <w:tcW w:w="0" w:type="dxa"/>
            <w:vAlign w:val="bottom"/>
          </w:tcPr>
          <w:p>
            <w:pPr>
              <w:spacing w:after="0"/>
              <w:rPr>
                <w:sz w:val="1"/>
                <w:szCs w:val="1"/>
                <w:color w:val="auto"/>
              </w:rPr>
            </w:pPr>
          </w:p>
        </w:tc>
      </w:tr>
      <w:tr>
        <w:trPr>
          <w:trHeight w:val="175"/>
        </w:trPr>
        <w:tc>
          <w:tcPr>
            <w:tcW w:w="436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482,630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40,158</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360" w:type="dxa"/>
            <w:vAlign w:val="bottom"/>
            <w:vMerge w:val="restart"/>
          </w:tcPr>
          <w:p>
            <w:pPr>
              <w:spacing w:after="0"/>
              <w:rPr>
                <w:sz w:val="20"/>
                <w:szCs w:val="20"/>
                <w:color w:val="auto"/>
              </w:rPr>
            </w:pPr>
            <w:r>
              <w:rPr>
                <w:rFonts w:ascii="Courier New" w:cs="Courier New" w:eastAsia="Courier New" w:hAnsi="Courier New"/>
                <w:sz w:val="15"/>
                <w:szCs w:val="15"/>
                <w:color w:val="auto"/>
              </w:rPr>
              <w:t>Non-interest Earnings Assets:</w:t>
            </w:r>
          </w:p>
        </w:tc>
        <w:tc>
          <w:tcPr>
            <w:tcW w:w="9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3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13,161</w:t>
            </w: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rPr>
                <w:sz w:val="20"/>
                <w:szCs w:val="20"/>
                <w:color w:val="auto"/>
              </w:rPr>
            </w:pPr>
            <w:r>
              <w:rPr>
                <w:rFonts w:ascii="Courier New" w:cs="Courier New" w:eastAsia="Courier New" w:hAnsi="Courier New"/>
                <w:sz w:val="15"/>
                <w:szCs w:val="15"/>
                <w:color w:val="auto"/>
              </w:rPr>
              <w:t>Cash and due from banks</w:t>
            </w:r>
          </w:p>
        </w:tc>
        <w:tc>
          <w:tcPr>
            <w:tcW w:w="9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rPr>
                <w:sz w:val="20"/>
                <w:szCs w:val="20"/>
                <w:color w:val="auto"/>
              </w:rPr>
            </w:pPr>
            <w:r>
              <w:rPr>
                <w:rFonts w:ascii="Courier New" w:cs="Courier New" w:eastAsia="Courier New" w:hAnsi="Courier New"/>
                <w:sz w:val="15"/>
                <w:szCs w:val="15"/>
                <w:color w:val="auto"/>
              </w:rPr>
              <w:t>Other assets</w:t>
            </w:r>
          </w:p>
        </w:tc>
        <w:tc>
          <w:tcPr>
            <w:tcW w:w="96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14,371</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2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510,162</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2"/>
                <w:szCs w:val="22"/>
                <w:color w:val="auto"/>
              </w:rPr>
            </w:pPr>
          </w:p>
        </w:tc>
        <w:tc>
          <w:tcPr>
            <w:tcW w:w="2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436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Bearing Liabilities:</w:t>
            </w:r>
          </w:p>
        </w:tc>
        <w:tc>
          <w:tcPr>
            <w:tcW w:w="3820" w:type="dxa"/>
            <w:vAlign w:val="bottom"/>
            <w:gridSpan w:val="4"/>
          </w:tcPr>
          <w:p>
            <w:pPr>
              <w:jc w:val="right"/>
              <w:ind w:right="284"/>
              <w:spacing w:after="0"/>
              <w:rPr>
                <w:sz w:val="20"/>
                <w:szCs w:val="20"/>
                <w:color w:val="auto"/>
              </w:rPr>
            </w:pPr>
            <w:r>
              <w:rPr>
                <w:rFonts w:ascii="Courier New" w:cs="Courier New" w:eastAsia="Courier New" w:hAnsi="Courier New"/>
                <w:sz w:val="15"/>
                <w:szCs w:val="15"/>
                <w:color w:val="auto"/>
              </w:rPr>
              <w:t>LIABILITIES AND SHAREHOLDERS' EQUITY</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4360" w:type="dxa"/>
            <w:vAlign w:val="bottom"/>
            <w:vMerge w:val="continue"/>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87,439</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4,618</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5.28%</w:t>
            </w: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rPr>
                <w:sz w:val="20"/>
                <w:szCs w:val="20"/>
                <w:color w:val="auto"/>
              </w:rPr>
            </w:pPr>
            <w:r>
              <w:rPr>
                <w:rFonts w:ascii="Courier New" w:cs="Courier New" w:eastAsia="Courier New" w:hAnsi="Courier New"/>
                <w:sz w:val="15"/>
                <w:szCs w:val="15"/>
                <w:color w:val="auto"/>
              </w:rPr>
              <w:t>Savings deposits</w:t>
            </w:r>
          </w:p>
        </w:tc>
        <w:tc>
          <w:tcPr>
            <w:tcW w:w="9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rPr>
                <w:sz w:val="20"/>
                <w:szCs w:val="20"/>
                <w:color w:val="auto"/>
              </w:rPr>
            </w:pPr>
            <w:r>
              <w:rPr>
                <w:rFonts w:ascii="Courier New" w:cs="Courier New" w:eastAsia="Courier New" w:hAnsi="Courier New"/>
                <w:sz w:val="15"/>
                <w:szCs w:val="15"/>
                <w:color w:val="auto"/>
              </w:rPr>
              <w:t>Other time deposits</w:t>
            </w:r>
          </w:p>
        </w:tc>
        <w:tc>
          <w:tcPr>
            <w:tcW w:w="96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270,751</w:t>
            </w:r>
          </w:p>
        </w:tc>
        <w:tc>
          <w:tcPr>
            <w:tcW w:w="3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15,659</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5.78</w:t>
            </w: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rPr>
                <w:sz w:val="20"/>
                <w:szCs w:val="20"/>
                <w:color w:val="auto"/>
              </w:rPr>
            </w:pPr>
            <w:r>
              <w:rPr>
                <w:rFonts w:ascii="Courier New" w:cs="Courier New" w:eastAsia="Courier New" w:hAnsi="Courier New"/>
                <w:sz w:val="15"/>
                <w:szCs w:val="15"/>
                <w:color w:val="auto"/>
              </w:rPr>
              <w:t>Other borrowed money</w:t>
            </w:r>
          </w:p>
        </w:tc>
        <w:tc>
          <w:tcPr>
            <w:tcW w:w="96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9,414</w:t>
            </w:r>
          </w:p>
        </w:tc>
        <w:tc>
          <w:tcPr>
            <w:tcW w:w="3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596</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6.34</w:t>
            </w: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rPr>
                <w:sz w:val="20"/>
                <w:szCs w:val="20"/>
                <w:color w:val="auto"/>
              </w:rPr>
            </w:pPr>
            <w:r>
              <w:rPr>
                <w:rFonts w:ascii="Courier New" w:cs="Courier New" w:eastAsia="Courier New" w:hAnsi="Courier New"/>
                <w:sz w:val="15"/>
                <w:szCs w:val="15"/>
                <w:color w:val="auto"/>
              </w:rPr>
              <w:t>Federal funds purchased and securities</w:t>
            </w:r>
          </w:p>
        </w:tc>
        <w:tc>
          <w:tcPr>
            <w:tcW w:w="960" w:type="dxa"/>
            <w:vAlign w:val="bottom"/>
          </w:tcPr>
          <w:p>
            <w:pPr>
              <w:spacing w:after="0"/>
              <w:rPr>
                <w:sz w:val="15"/>
                <w:szCs w:val="15"/>
                <w:color w:val="auto"/>
              </w:rPr>
            </w:pPr>
          </w:p>
        </w:tc>
        <w:tc>
          <w:tcPr>
            <w:tcW w:w="12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4,443</w:t>
            </w:r>
          </w:p>
        </w:tc>
        <w:tc>
          <w:tcPr>
            <w:tcW w:w="360" w:type="dxa"/>
            <w:vAlign w:val="bottom"/>
          </w:tcPr>
          <w:p>
            <w:pPr>
              <w:spacing w:after="0"/>
              <w:rPr>
                <w:sz w:val="15"/>
                <w:szCs w:val="15"/>
                <w:color w:val="auto"/>
              </w:rPr>
            </w:pPr>
          </w:p>
        </w:tc>
        <w:tc>
          <w:tcPr>
            <w:tcW w:w="12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266</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5.99%</w:t>
            </w:r>
          </w:p>
        </w:tc>
        <w:tc>
          <w:tcPr>
            <w:tcW w:w="0" w:type="dxa"/>
            <w:vAlign w:val="bottom"/>
          </w:tcPr>
          <w:p>
            <w:pPr>
              <w:spacing w:after="0"/>
              <w:rPr>
                <w:sz w:val="1"/>
                <w:szCs w:val="1"/>
                <w:color w:val="auto"/>
              </w:rPr>
            </w:pPr>
          </w:p>
        </w:tc>
      </w:tr>
      <w:tr>
        <w:trPr>
          <w:trHeight w:val="175"/>
        </w:trPr>
        <w:tc>
          <w:tcPr>
            <w:tcW w:w="4360" w:type="dxa"/>
            <w:vAlign w:val="bottom"/>
          </w:tcPr>
          <w:p>
            <w:pPr>
              <w:ind w:left="560"/>
              <w:spacing w:after="0"/>
              <w:rPr>
                <w:sz w:val="20"/>
                <w:szCs w:val="20"/>
                <w:color w:val="auto"/>
              </w:rPr>
            </w:pPr>
            <w:r>
              <w:rPr>
                <w:rFonts w:ascii="Courier New" w:cs="Courier New" w:eastAsia="Courier New" w:hAnsi="Courier New"/>
                <w:sz w:val="15"/>
                <w:szCs w:val="15"/>
                <w:color w:val="auto"/>
              </w:rPr>
              <w:t>sold under agreement to repurchase</w:t>
            </w:r>
          </w:p>
        </w:tc>
        <w:tc>
          <w:tcPr>
            <w:tcW w:w="9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vMerge w:val="restart"/>
          </w:tcPr>
          <w:p>
            <w:pPr>
              <w:spacing w:after="0"/>
              <w:rPr>
                <w:sz w:val="20"/>
                <w:szCs w:val="20"/>
                <w:color w:val="auto"/>
              </w:rPr>
            </w:pPr>
            <w:r>
              <w:rPr>
                <w:rFonts w:ascii="Courier New" w:cs="Courier New" w:eastAsia="Courier New" w:hAnsi="Courier New"/>
                <w:sz w:val="15"/>
                <w:szCs w:val="15"/>
                <w:color w:val="auto"/>
              </w:rPr>
              <w:t>Total Interest Bearing Liabilities</w:t>
            </w:r>
          </w:p>
        </w:tc>
        <w:tc>
          <w:tcPr>
            <w:tcW w:w="2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5.68</w:t>
            </w:r>
          </w:p>
        </w:tc>
        <w:tc>
          <w:tcPr>
            <w:tcW w:w="0" w:type="dxa"/>
            <w:vAlign w:val="bottom"/>
          </w:tcPr>
          <w:p>
            <w:pPr>
              <w:spacing w:after="0"/>
              <w:rPr>
                <w:sz w:val="1"/>
                <w:szCs w:val="1"/>
                <w:color w:val="auto"/>
              </w:rPr>
            </w:pPr>
          </w:p>
        </w:tc>
      </w:tr>
      <w:tr>
        <w:trPr>
          <w:trHeight w:val="175"/>
        </w:trPr>
        <w:tc>
          <w:tcPr>
            <w:tcW w:w="436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372,047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21,139</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360" w:type="dxa"/>
            <w:vAlign w:val="bottom"/>
            <w:vMerge w:val="restart"/>
          </w:tcPr>
          <w:p>
            <w:pPr>
              <w:spacing w:after="0"/>
              <w:rPr>
                <w:sz w:val="20"/>
                <w:szCs w:val="20"/>
                <w:color w:val="auto"/>
              </w:rPr>
            </w:pPr>
            <w:r>
              <w:rPr>
                <w:rFonts w:ascii="Courier New" w:cs="Courier New" w:eastAsia="Courier New" w:hAnsi="Courier New"/>
                <w:sz w:val="15"/>
                <w:szCs w:val="15"/>
                <w:color w:val="auto"/>
              </w:rPr>
              <w:t>Non-interest Bearing Obligations:</w:t>
            </w:r>
          </w:p>
        </w:tc>
        <w:tc>
          <w:tcPr>
            <w:tcW w:w="9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3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87,013</w:t>
            </w: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rPr>
                <w:sz w:val="20"/>
                <w:szCs w:val="20"/>
                <w:color w:val="auto"/>
              </w:rPr>
            </w:pPr>
            <w:r>
              <w:rPr>
                <w:rFonts w:ascii="Courier New" w:cs="Courier New" w:eastAsia="Courier New" w:hAnsi="Courier New"/>
                <w:sz w:val="15"/>
                <w:szCs w:val="15"/>
                <w:color w:val="auto"/>
              </w:rPr>
              <w:t>Non-interest bearing deposits</w:t>
            </w:r>
          </w:p>
        </w:tc>
        <w:tc>
          <w:tcPr>
            <w:tcW w:w="9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rPr>
                <w:sz w:val="20"/>
                <w:szCs w:val="20"/>
                <w:color w:val="auto"/>
              </w:rPr>
            </w:pPr>
            <w:r>
              <w:rPr>
                <w:rFonts w:ascii="Courier New" w:cs="Courier New" w:eastAsia="Courier New" w:hAnsi="Courier New"/>
                <w:sz w:val="15"/>
                <w:szCs w:val="15"/>
                <w:color w:val="auto"/>
              </w:rPr>
              <w:t>Other</w:t>
            </w:r>
          </w:p>
        </w:tc>
        <w:tc>
          <w:tcPr>
            <w:tcW w:w="96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4,554</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Total Liabilities</w:t>
            </w:r>
          </w:p>
        </w:tc>
        <w:tc>
          <w:tcPr>
            <w:tcW w:w="2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463,614</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rPr>
                <w:sz w:val="20"/>
                <w:szCs w:val="20"/>
                <w:color w:val="auto"/>
              </w:rPr>
            </w:pPr>
            <w:r>
              <w:rPr>
                <w:rFonts w:ascii="Courier New" w:cs="Courier New" w:eastAsia="Courier New" w:hAnsi="Courier New"/>
                <w:sz w:val="15"/>
                <w:szCs w:val="15"/>
                <w:color w:val="auto"/>
              </w:rPr>
              <w:t>Stockholders' Equity</w:t>
            </w:r>
          </w:p>
        </w:tc>
        <w:tc>
          <w:tcPr>
            <w:tcW w:w="96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46,548</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vMerge w:val="continue"/>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510,162</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36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Interest and dividend income/yield</w:t>
            </w:r>
          </w:p>
        </w:tc>
        <w:tc>
          <w:tcPr>
            <w:tcW w:w="2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40,158</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8.32%</w:t>
            </w:r>
          </w:p>
        </w:tc>
        <w:tc>
          <w:tcPr>
            <w:tcW w:w="0" w:type="dxa"/>
            <w:vAlign w:val="bottom"/>
          </w:tcPr>
          <w:p>
            <w:pPr>
              <w:spacing w:after="0"/>
              <w:rPr>
                <w:sz w:val="1"/>
                <w:szCs w:val="1"/>
                <w:color w:val="auto"/>
              </w:rPr>
            </w:pPr>
          </w:p>
        </w:tc>
      </w:tr>
      <w:tr>
        <w:trPr>
          <w:trHeight w:val="93"/>
        </w:trPr>
        <w:tc>
          <w:tcPr>
            <w:tcW w:w="43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380"/>
              <w:spacing w:after="0"/>
              <w:rPr>
                <w:sz w:val="20"/>
                <w:szCs w:val="20"/>
                <w:color w:val="auto"/>
              </w:rPr>
            </w:pPr>
            <w:r>
              <w:rPr>
                <w:rFonts w:ascii="Courier New" w:cs="Courier New" w:eastAsia="Courier New" w:hAnsi="Courier New"/>
                <w:sz w:val="15"/>
                <w:szCs w:val="15"/>
                <w:color w:val="auto"/>
              </w:rPr>
              <w:t>Interest expense/rate</w:t>
            </w: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21,139</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5.68</w:t>
            </w:r>
          </w:p>
        </w:tc>
        <w:tc>
          <w:tcPr>
            <w:tcW w:w="0" w:type="dxa"/>
            <w:vAlign w:val="bottom"/>
          </w:tcPr>
          <w:p>
            <w:pPr>
              <w:spacing w:after="0"/>
              <w:rPr>
                <w:sz w:val="1"/>
                <w:szCs w:val="1"/>
                <w:color w:val="auto"/>
              </w:rPr>
            </w:pPr>
          </w:p>
        </w:tc>
      </w:tr>
      <w:tr>
        <w:trPr>
          <w:trHeight w:val="175"/>
        </w:trPr>
        <w:tc>
          <w:tcPr>
            <w:tcW w:w="436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Net Interest Spread</w:t>
            </w: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36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19,019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c>
          <w:tcPr>
            <w:tcW w:w="0" w:type="dxa"/>
            <w:vAlign w:val="bottom"/>
          </w:tcPr>
          <w:p>
            <w:pPr>
              <w:spacing w:after="0"/>
              <w:rPr>
                <w:sz w:val="1"/>
                <w:szCs w:val="1"/>
                <w:color w:val="auto"/>
              </w:rPr>
            </w:pPr>
          </w:p>
        </w:tc>
      </w:tr>
      <w:tr>
        <w:trPr>
          <w:trHeight w:val="175"/>
        </w:trPr>
        <w:tc>
          <w:tcPr>
            <w:tcW w:w="436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Net Interest Margin</w:t>
            </w: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36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3.94%</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65" w:right="1440" w:bottom="1440" w:gutter="0" w:footer="0" w:header="0"/>
        </w:sectPr>
      </w:pPr>
    </w:p>
    <w:bookmarkStart w:id="9" w:name="page10"/>
    <w:bookmarkEnd w:id="9"/>
    <w:p>
      <w:pPr>
        <w:ind w:left="267"/>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47" w:type="dxa"/>
        <w:tblCellMar>
          <w:top w:w="0" w:type="dxa"/>
          <w:left w:w="0" w:type="dxa"/>
          <w:bottom w:w="0" w:type="dxa"/>
          <w:right w:w="0" w:type="dxa"/>
        </w:tblCellMar>
      </w:tblPr>
      <w:tr>
        <w:trPr>
          <w:trHeight w:val="256"/>
        </w:trPr>
        <w:tc>
          <w:tcPr>
            <w:tcW w:w="4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22"/>
                <w:szCs w:val="22"/>
                <w:color w:val="auto"/>
              </w:rPr>
            </w:pPr>
          </w:p>
        </w:tc>
        <w:tc>
          <w:tcPr>
            <w:tcW w:w="11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1996</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4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4720" w:type="dxa"/>
            <w:vAlign w:val="bottom"/>
            <w:gridSpan w:val="5"/>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Average</w:t>
            </w:r>
          </w:p>
        </w:tc>
        <w:tc>
          <w:tcPr>
            <w:tcW w:w="400" w:type="dxa"/>
            <w:vAlign w:val="bottom"/>
          </w:tcPr>
          <w:p>
            <w:pPr>
              <w:spacing w:after="0"/>
              <w:rPr>
                <w:sz w:val="15"/>
                <w:szCs w:val="15"/>
                <w:color w:val="auto"/>
              </w:rPr>
            </w:pP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9"/>
              </w:rPr>
              <w:t>Interest</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Yield/</w:t>
            </w: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and</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Balance</w:t>
            </w:r>
          </w:p>
        </w:tc>
        <w:tc>
          <w:tcPr>
            <w:tcW w:w="400" w:type="dxa"/>
            <w:vAlign w:val="bottom"/>
          </w:tcPr>
          <w:p>
            <w:pPr>
              <w:spacing w:after="0"/>
              <w:rPr>
                <w:sz w:val="15"/>
                <w:szCs w:val="15"/>
                <w:color w:val="auto"/>
              </w:rPr>
            </w:pP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9"/>
              </w:rPr>
              <w:t>Dividend</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Rate</w:t>
            </w:r>
          </w:p>
        </w:tc>
        <w:tc>
          <w:tcPr>
            <w:tcW w:w="0" w:type="dxa"/>
            <w:vAlign w:val="bottom"/>
          </w:tcPr>
          <w:p>
            <w:pPr>
              <w:spacing w:after="0"/>
              <w:rPr>
                <w:sz w:val="1"/>
                <w:szCs w:val="1"/>
                <w:color w:val="auto"/>
              </w:rPr>
            </w:pPr>
          </w:p>
        </w:tc>
      </w:tr>
      <w:tr>
        <w:trPr>
          <w:trHeight w:val="256"/>
        </w:trPr>
        <w:tc>
          <w:tcPr>
            <w:tcW w:w="4640" w:type="dxa"/>
            <w:vAlign w:val="bottom"/>
          </w:tcPr>
          <w:p>
            <w:pPr>
              <w:spacing w:after="0"/>
              <w:rPr>
                <w:sz w:val="22"/>
                <w:szCs w:val="22"/>
                <w:color w:val="auto"/>
              </w:rPr>
            </w:pPr>
          </w:p>
        </w:tc>
        <w:tc>
          <w:tcPr>
            <w:tcW w:w="1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Interest Earning Assets:</w:t>
            </w:r>
          </w:p>
        </w:tc>
        <w:tc>
          <w:tcPr>
            <w:tcW w:w="68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358,261</w:t>
            </w:r>
          </w:p>
        </w:tc>
        <w:tc>
          <w:tcPr>
            <w:tcW w:w="4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32,353</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9.03%</w:t>
            </w:r>
          </w:p>
        </w:tc>
        <w:tc>
          <w:tcPr>
            <w:tcW w:w="0" w:type="dxa"/>
            <w:vAlign w:val="bottom"/>
          </w:tcPr>
          <w:p>
            <w:pPr>
              <w:spacing w:after="0"/>
              <w:rPr>
                <w:sz w:val="1"/>
                <w:szCs w:val="1"/>
                <w:color w:val="auto"/>
              </w:rPr>
            </w:pPr>
          </w:p>
        </w:tc>
      </w:tr>
      <w:tr>
        <w:trPr>
          <w:trHeight w:val="175"/>
        </w:trPr>
        <w:tc>
          <w:tcPr>
            <w:tcW w:w="4640" w:type="dxa"/>
            <w:vAlign w:val="bottom"/>
          </w:tcPr>
          <w:p>
            <w:pPr>
              <w:ind w:left="380"/>
              <w:spacing w:after="0"/>
              <w:rPr>
                <w:sz w:val="20"/>
                <w:szCs w:val="20"/>
                <w:color w:val="auto"/>
              </w:rPr>
            </w:pPr>
            <w:r>
              <w:rPr>
                <w:rFonts w:ascii="Courier New" w:cs="Courier New" w:eastAsia="Courier New" w:hAnsi="Courier New"/>
                <w:sz w:val="15"/>
                <w:szCs w:val="15"/>
                <w:color w:val="auto"/>
              </w:rPr>
              <w:t>Loans (1)</w:t>
            </w:r>
          </w:p>
        </w:tc>
        <w:tc>
          <w:tcPr>
            <w:tcW w:w="6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380"/>
              <w:spacing w:after="0"/>
              <w:rPr>
                <w:sz w:val="20"/>
                <w:szCs w:val="20"/>
                <w:color w:val="auto"/>
              </w:rPr>
            </w:pPr>
            <w:r>
              <w:rPr>
                <w:rFonts w:ascii="Courier New" w:cs="Courier New" w:eastAsia="Courier New" w:hAnsi="Courier New"/>
                <w:sz w:val="15"/>
                <w:szCs w:val="15"/>
                <w:color w:val="auto"/>
              </w:rPr>
              <w:t>Taxable investment securities</w:t>
            </w:r>
          </w:p>
        </w:tc>
        <w:tc>
          <w:tcPr>
            <w:tcW w:w="68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75,051</w:t>
            </w:r>
          </w:p>
        </w:tc>
        <w:tc>
          <w:tcPr>
            <w:tcW w:w="40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4,556</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6.07</w:t>
            </w:r>
          </w:p>
        </w:tc>
        <w:tc>
          <w:tcPr>
            <w:tcW w:w="0" w:type="dxa"/>
            <w:vAlign w:val="bottom"/>
          </w:tcPr>
          <w:p>
            <w:pPr>
              <w:spacing w:after="0"/>
              <w:rPr>
                <w:sz w:val="1"/>
                <w:szCs w:val="1"/>
                <w:color w:val="auto"/>
              </w:rPr>
            </w:pPr>
          </w:p>
        </w:tc>
      </w:tr>
      <w:tr>
        <w:trPr>
          <w:trHeight w:val="175"/>
        </w:trPr>
        <w:tc>
          <w:tcPr>
            <w:tcW w:w="4640" w:type="dxa"/>
            <w:vAlign w:val="bottom"/>
          </w:tcPr>
          <w:p>
            <w:pPr>
              <w:ind w:left="380"/>
              <w:spacing w:after="0"/>
              <w:rPr>
                <w:sz w:val="20"/>
                <w:szCs w:val="20"/>
                <w:color w:val="auto"/>
              </w:rPr>
            </w:pPr>
            <w:r>
              <w:rPr>
                <w:rFonts w:ascii="Courier New" w:cs="Courier New" w:eastAsia="Courier New" w:hAnsi="Courier New"/>
                <w:sz w:val="15"/>
                <w:szCs w:val="15"/>
                <w:color w:val="auto"/>
              </w:rPr>
              <w:t>Tax-exempt investment securities</w:t>
            </w:r>
          </w:p>
        </w:tc>
        <w:tc>
          <w:tcPr>
            <w:tcW w:w="68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21,223</w:t>
            </w:r>
          </w:p>
        </w:tc>
        <w:tc>
          <w:tcPr>
            <w:tcW w:w="40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1,109</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5.23</w:t>
            </w:r>
          </w:p>
        </w:tc>
        <w:tc>
          <w:tcPr>
            <w:tcW w:w="0" w:type="dxa"/>
            <w:vAlign w:val="bottom"/>
          </w:tcPr>
          <w:p>
            <w:pPr>
              <w:spacing w:after="0"/>
              <w:rPr>
                <w:sz w:val="1"/>
                <w:szCs w:val="1"/>
                <w:color w:val="auto"/>
              </w:rPr>
            </w:pPr>
          </w:p>
        </w:tc>
      </w:tr>
      <w:tr>
        <w:trPr>
          <w:trHeight w:val="175"/>
        </w:trPr>
        <w:tc>
          <w:tcPr>
            <w:tcW w:w="4640" w:type="dxa"/>
            <w:vAlign w:val="bottom"/>
          </w:tcPr>
          <w:p>
            <w:pPr>
              <w:ind w:left="380"/>
              <w:spacing w:after="0"/>
              <w:rPr>
                <w:sz w:val="20"/>
                <w:szCs w:val="20"/>
                <w:color w:val="auto"/>
              </w:rPr>
            </w:pPr>
            <w:r>
              <w:rPr>
                <w:rFonts w:ascii="Courier New" w:cs="Courier New" w:eastAsia="Courier New" w:hAnsi="Courier New"/>
                <w:sz w:val="15"/>
                <w:szCs w:val="15"/>
                <w:color w:val="auto"/>
              </w:rPr>
              <w:t>Interest bearing deposits with other banks</w:t>
            </w:r>
          </w:p>
        </w:tc>
        <w:tc>
          <w:tcPr>
            <w:tcW w:w="68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7.00</w:t>
            </w:r>
          </w:p>
        </w:tc>
        <w:tc>
          <w:tcPr>
            <w:tcW w:w="0" w:type="dxa"/>
            <w:vAlign w:val="bottom"/>
          </w:tcPr>
          <w:p>
            <w:pPr>
              <w:spacing w:after="0"/>
              <w:rPr>
                <w:sz w:val="1"/>
                <w:szCs w:val="1"/>
                <w:color w:val="auto"/>
              </w:rPr>
            </w:pPr>
          </w:p>
        </w:tc>
      </w:tr>
      <w:tr>
        <w:trPr>
          <w:trHeight w:val="175"/>
        </w:trPr>
        <w:tc>
          <w:tcPr>
            <w:tcW w:w="4640" w:type="dxa"/>
            <w:vAlign w:val="bottom"/>
          </w:tcPr>
          <w:p>
            <w:pPr>
              <w:ind w:left="380"/>
              <w:spacing w:after="0"/>
              <w:rPr>
                <w:sz w:val="20"/>
                <w:szCs w:val="20"/>
                <w:color w:val="auto"/>
              </w:rPr>
            </w:pPr>
            <w:r>
              <w:rPr>
                <w:rFonts w:ascii="Courier New" w:cs="Courier New" w:eastAsia="Courier New" w:hAnsi="Courier New"/>
                <w:sz w:val="15"/>
                <w:szCs w:val="15"/>
                <w:color w:val="auto"/>
              </w:rPr>
              <w:t>Federal funds sold and securities</w:t>
            </w:r>
          </w:p>
        </w:tc>
        <w:tc>
          <w:tcPr>
            <w:tcW w:w="680" w:type="dxa"/>
            <w:vAlign w:val="bottom"/>
          </w:tcPr>
          <w:p>
            <w:pPr>
              <w:spacing w:after="0"/>
              <w:rPr>
                <w:sz w:val="15"/>
                <w:szCs w:val="15"/>
                <w:color w:val="auto"/>
              </w:rPr>
            </w:pPr>
          </w:p>
        </w:tc>
        <w:tc>
          <w:tcPr>
            <w:tcW w:w="12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6,613</w:t>
            </w:r>
          </w:p>
        </w:tc>
        <w:tc>
          <w:tcPr>
            <w:tcW w:w="400" w:type="dxa"/>
            <w:vAlign w:val="bottom"/>
          </w:tcPr>
          <w:p>
            <w:pPr>
              <w:spacing w:after="0"/>
              <w:rPr>
                <w:sz w:val="15"/>
                <w:szCs w:val="15"/>
                <w:color w:val="auto"/>
              </w:rPr>
            </w:pP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357</w:t>
            </w:r>
          </w:p>
        </w:tc>
        <w:tc>
          <w:tcPr>
            <w:tcW w:w="11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5.40</w:t>
            </w:r>
          </w:p>
        </w:tc>
        <w:tc>
          <w:tcPr>
            <w:tcW w:w="0" w:type="dxa"/>
            <w:vAlign w:val="bottom"/>
          </w:tcPr>
          <w:p>
            <w:pPr>
              <w:spacing w:after="0"/>
              <w:rPr>
                <w:sz w:val="1"/>
                <w:szCs w:val="1"/>
                <w:color w:val="auto"/>
              </w:rPr>
            </w:pPr>
          </w:p>
        </w:tc>
      </w:tr>
      <w:tr>
        <w:trPr>
          <w:trHeight w:val="175"/>
        </w:trPr>
        <w:tc>
          <w:tcPr>
            <w:tcW w:w="4640" w:type="dxa"/>
            <w:vAlign w:val="bottom"/>
          </w:tcPr>
          <w:p>
            <w:pPr>
              <w:ind w:left="560"/>
              <w:spacing w:after="0"/>
              <w:rPr>
                <w:sz w:val="20"/>
                <w:szCs w:val="20"/>
                <w:color w:val="auto"/>
              </w:rPr>
            </w:pPr>
            <w:r>
              <w:rPr>
                <w:rFonts w:ascii="Courier New" w:cs="Courier New" w:eastAsia="Courier New" w:hAnsi="Courier New"/>
                <w:sz w:val="15"/>
                <w:szCs w:val="15"/>
                <w:color w:val="auto"/>
              </w:rPr>
              <w:t>purchased under agreement to resell</w:t>
            </w:r>
          </w:p>
        </w:tc>
        <w:tc>
          <w:tcPr>
            <w:tcW w:w="6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640" w:type="dxa"/>
            <w:vAlign w:val="bottom"/>
          </w:tcPr>
          <w:p>
            <w:pPr>
              <w:spacing w:after="0"/>
              <w:rPr>
                <w:sz w:val="22"/>
                <w:szCs w:val="22"/>
                <w:color w:val="auto"/>
              </w:rPr>
            </w:pPr>
          </w:p>
        </w:tc>
        <w:tc>
          <w:tcPr>
            <w:tcW w:w="1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640" w:type="dxa"/>
            <w:vAlign w:val="bottom"/>
          </w:tcPr>
          <w:p>
            <w:pPr>
              <w:spacing w:after="0"/>
              <w:rPr>
                <w:sz w:val="20"/>
                <w:szCs w:val="20"/>
                <w:color w:val="auto"/>
              </w:rPr>
            </w:pPr>
            <w:r>
              <w:rPr>
                <w:rFonts w:ascii="Courier New" w:cs="Courier New" w:eastAsia="Courier New" w:hAnsi="Courier New"/>
                <w:sz w:val="15"/>
                <w:szCs w:val="15"/>
                <w:color w:val="auto"/>
              </w:rPr>
              <w:t>Total Interest Earning Assets</w:t>
            </w:r>
          </w:p>
        </w:tc>
        <w:tc>
          <w:tcPr>
            <w:tcW w:w="680" w:type="dxa"/>
            <w:vAlign w:val="bottom"/>
          </w:tcPr>
          <w:p>
            <w:pPr>
              <w:spacing w:after="0"/>
              <w:rPr>
                <w:sz w:val="23"/>
                <w:szCs w:val="23"/>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461,248</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38,382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8.32%</w:t>
            </w:r>
          </w:p>
        </w:tc>
        <w:tc>
          <w:tcPr>
            <w:tcW w:w="0" w:type="dxa"/>
            <w:vAlign w:val="bottom"/>
          </w:tcPr>
          <w:p>
            <w:pPr>
              <w:spacing w:after="0"/>
              <w:rPr>
                <w:sz w:val="1"/>
                <w:szCs w:val="1"/>
                <w:color w:val="auto"/>
              </w:rPr>
            </w:pPr>
          </w:p>
        </w:tc>
      </w:tr>
      <w:tr>
        <w:trPr>
          <w:trHeight w:val="256"/>
        </w:trPr>
        <w:tc>
          <w:tcPr>
            <w:tcW w:w="4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640" w:type="dxa"/>
            <w:vAlign w:val="bottom"/>
          </w:tcPr>
          <w:p>
            <w:pPr>
              <w:spacing w:after="0"/>
              <w:rPr>
                <w:sz w:val="20"/>
                <w:szCs w:val="20"/>
                <w:color w:val="auto"/>
              </w:rPr>
            </w:pPr>
            <w:r>
              <w:rPr>
                <w:rFonts w:ascii="Courier New" w:cs="Courier New" w:eastAsia="Courier New" w:hAnsi="Courier New"/>
                <w:sz w:val="15"/>
                <w:szCs w:val="15"/>
                <w:color w:val="auto"/>
              </w:rPr>
              <w:t>Non-interest Earning Assets:</w:t>
            </w:r>
          </w:p>
        </w:tc>
        <w:tc>
          <w:tcPr>
            <w:tcW w:w="680" w:type="dxa"/>
            <w:vAlign w:val="bottom"/>
          </w:tcPr>
          <w:p>
            <w:pPr>
              <w:spacing w:after="0"/>
              <w:rPr>
                <w:sz w:val="23"/>
                <w:szCs w:val="23"/>
                <w:color w:val="auto"/>
              </w:rPr>
            </w:pPr>
          </w:p>
        </w:tc>
        <w:tc>
          <w:tcPr>
            <w:tcW w:w="12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13,086</w:t>
            </w: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380"/>
              <w:spacing w:after="0"/>
              <w:rPr>
                <w:sz w:val="20"/>
                <w:szCs w:val="20"/>
                <w:color w:val="auto"/>
              </w:rPr>
            </w:pPr>
            <w:r>
              <w:rPr>
                <w:rFonts w:ascii="Courier New" w:cs="Courier New" w:eastAsia="Courier New" w:hAnsi="Courier New"/>
                <w:sz w:val="15"/>
                <w:szCs w:val="15"/>
                <w:color w:val="auto"/>
              </w:rPr>
              <w:t>Cash and due from banks</w:t>
            </w:r>
          </w:p>
        </w:tc>
        <w:tc>
          <w:tcPr>
            <w:tcW w:w="6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380"/>
              <w:spacing w:after="0"/>
              <w:rPr>
                <w:sz w:val="20"/>
                <w:szCs w:val="20"/>
                <w:color w:val="auto"/>
              </w:rPr>
            </w:pPr>
            <w:r>
              <w:rPr>
                <w:rFonts w:ascii="Courier New" w:cs="Courier New" w:eastAsia="Courier New" w:hAnsi="Courier New"/>
                <w:sz w:val="15"/>
                <w:szCs w:val="15"/>
                <w:color w:val="auto"/>
              </w:rPr>
              <w:t>Other assets</w:t>
            </w:r>
          </w:p>
        </w:tc>
        <w:tc>
          <w:tcPr>
            <w:tcW w:w="68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15,895</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1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6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490,229</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640" w:type="dxa"/>
            <w:vAlign w:val="bottom"/>
          </w:tcPr>
          <w:p>
            <w:pPr>
              <w:spacing w:after="0"/>
              <w:rPr>
                <w:sz w:val="22"/>
                <w:szCs w:val="22"/>
                <w:color w:val="auto"/>
              </w:rPr>
            </w:pPr>
          </w:p>
        </w:tc>
        <w:tc>
          <w:tcPr>
            <w:tcW w:w="1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7000" w:type="dxa"/>
            <w:vAlign w:val="bottom"/>
            <w:gridSpan w:val="4"/>
          </w:tcPr>
          <w:p>
            <w:pPr>
              <w:ind w:left="3740"/>
              <w:spacing w:after="0"/>
              <w:rPr>
                <w:sz w:val="20"/>
                <w:szCs w:val="20"/>
                <w:color w:val="auto"/>
              </w:rPr>
            </w:pPr>
            <w:r>
              <w:rPr>
                <w:rFonts w:ascii="Courier New" w:cs="Courier New" w:eastAsia="Courier New" w:hAnsi="Courier New"/>
                <w:sz w:val="15"/>
                <w:szCs w:val="15"/>
                <w:color w:val="auto"/>
                <w:w w:val="99"/>
              </w:rPr>
              <w:t>LIABILITIES AND SHAREHOLDERS' EQUITY</w:t>
            </w:r>
          </w:p>
        </w:tc>
        <w:tc>
          <w:tcPr>
            <w:tcW w:w="1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Interest Bearing Liabilities:</w:t>
            </w:r>
          </w:p>
        </w:tc>
        <w:tc>
          <w:tcPr>
            <w:tcW w:w="68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117,734</w:t>
            </w:r>
          </w:p>
        </w:tc>
        <w:tc>
          <w:tcPr>
            <w:tcW w:w="4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4,525</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3.84%</w:t>
            </w:r>
          </w:p>
        </w:tc>
        <w:tc>
          <w:tcPr>
            <w:tcW w:w="0" w:type="dxa"/>
            <w:vAlign w:val="bottom"/>
          </w:tcPr>
          <w:p>
            <w:pPr>
              <w:spacing w:after="0"/>
              <w:rPr>
                <w:sz w:val="1"/>
                <w:szCs w:val="1"/>
                <w:color w:val="auto"/>
              </w:rPr>
            </w:pPr>
          </w:p>
        </w:tc>
      </w:tr>
      <w:tr>
        <w:trPr>
          <w:trHeight w:val="175"/>
        </w:trPr>
        <w:tc>
          <w:tcPr>
            <w:tcW w:w="4640" w:type="dxa"/>
            <w:vAlign w:val="bottom"/>
          </w:tcPr>
          <w:p>
            <w:pPr>
              <w:ind w:left="380"/>
              <w:spacing w:after="0"/>
              <w:rPr>
                <w:sz w:val="20"/>
                <w:szCs w:val="20"/>
                <w:color w:val="auto"/>
              </w:rPr>
            </w:pPr>
            <w:r>
              <w:rPr>
                <w:rFonts w:ascii="Courier New" w:cs="Courier New" w:eastAsia="Courier New" w:hAnsi="Courier New"/>
                <w:sz w:val="15"/>
                <w:szCs w:val="15"/>
                <w:color w:val="auto"/>
              </w:rPr>
              <w:t>Savings deposits</w:t>
            </w:r>
          </w:p>
        </w:tc>
        <w:tc>
          <w:tcPr>
            <w:tcW w:w="6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380"/>
              <w:spacing w:after="0"/>
              <w:rPr>
                <w:sz w:val="20"/>
                <w:szCs w:val="20"/>
                <w:color w:val="auto"/>
              </w:rPr>
            </w:pPr>
            <w:r>
              <w:rPr>
                <w:rFonts w:ascii="Courier New" w:cs="Courier New" w:eastAsia="Courier New" w:hAnsi="Courier New"/>
                <w:sz w:val="15"/>
                <w:szCs w:val="15"/>
                <w:color w:val="auto"/>
              </w:rPr>
              <w:t>Other time deposits</w:t>
            </w:r>
          </w:p>
        </w:tc>
        <w:tc>
          <w:tcPr>
            <w:tcW w:w="68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258,446</w:t>
            </w:r>
          </w:p>
        </w:tc>
        <w:tc>
          <w:tcPr>
            <w:tcW w:w="40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15,418</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5.97</w:t>
            </w:r>
          </w:p>
        </w:tc>
        <w:tc>
          <w:tcPr>
            <w:tcW w:w="0" w:type="dxa"/>
            <w:vAlign w:val="bottom"/>
          </w:tcPr>
          <w:p>
            <w:pPr>
              <w:spacing w:after="0"/>
              <w:rPr>
                <w:sz w:val="1"/>
                <w:szCs w:val="1"/>
                <w:color w:val="auto"/>
              </w:rPr>
            </w:pPr>
          </w:p>
        </w:tc>
      </w:tr>
      <w:tr>
        <w:trPr>
          <w:trHeight w:val="175"/>
        </w:trPr>
        <w:tc>
          <w:tcPr>
            <w:tcW w:w="4640" w:type="dxa"/>
            <w:vAlign w:val="bottom"/>
          </w:tcPr>
          <w:p>
            <w:pPr>
              <w:ind w:left="380"/>
              <w:spacing w:after="0"/>
              <w:rPr>
                <w:sz w:val="20"/>
                <w:szCs w:val="20"/>
                <w:color w:val="auto"/>
              </w:rPr>
            </w:pPr>
            <w:r>
              <w:rPr>
                <w:rFonts w:ascii="Courier New" w:cs="Courier New" w:eastAsia="Courier New" w:hAnsi="Courier New"/>
                <w:sz w:val="15"/>
                <w:szCs w:val="15"/>
                <w:color w:val="auto"/>
              </w:rPr>
              <w:t>Other borrowed money</w:t>
            </w:r>
          </w:p>
        </w:tc>
        <w:tc>
          <w:tcPr>
            <w:tcW w:w="68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9,411</w:t>
            </w:r>
          </w:p>
        </w:tc>
        <w:tc>
          <w:tcPr>
            <w:tcW w:w="40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594</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6.31</w:t>
            </w:r>
          </w:p>
        </w:tc>
        <w:tc>
          <w:tcPr>
            <w:tcW w:w="0" w:type="dxa"/>
            <w:vAlign w:val="bottom"/>
          </w:tcPr>
          <w:p>
            <w:pPr>
              <w:spacing w:after="0"/>
              <w:rPr>
                <w:sz w:val="1"/>
                <w:szCs w:val="1"/>
                <w:color w:val="auto"/>
              </w:rPr>
            </w:pPr>
          </w:p>
        </w:tc>
      </w:tr>
      <w:tr>
        <w:trPr>
          <w:trHeight w:val="175"/>
        </w:trPr>
        <w:tc>
          <w:tcPr>
            <w:tcW w:w="4640" w:type="dxa"/>
            <w:vAlign w:val="bottom"/>
          </w:tcPr>
          <w:p>
            <w:pPr>
              <w:ind w:left="380"/>
              <w:spacing w:after="0"/>
              <w:rPr>
                <w:sz w:val="20"/>
                <w:szCs w:val="20"/>
                <w:color w:val="auto"/>
              </w:rPr>
            </w:pPr>
            <w:r>
              <w:rPr>
                <w:rFonts w:ascii="Courier New" w:cs="Courier New" w:eastAsia="Courier New" w:hAnsi="Courier New"/>
                <w:sz w:val="15"/>
                <w:szCs w:val="15"/>
                <w:color w:val="auto"/>
              </w:rPr>
              <w:t>Federal funds purchased and securities</w:t>
            </w:r>
          </w:p>
        </w:tc>
        <w:tc>
          <w:tcPr>
            <w:tcW w:w="680" w:type="dxa"/>
            <w:vAlign w:val="bottom"/>
          </w:tcPr>
          <w:p>
            <w:pPr>
              <w:spacing w:after="0"/>
              <w:rPr>
                <w:sz w:val="15"/>
                <w:szCs w:val="15"/>
                <w:color w:val="auto"/>
              </w:rPr>
            </w:pPr>
          </w:p>
        </w:tc>
        <w:tc>
          <w:tcPr>
            <w:tcW w:w="12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6,522</w:t>
            </w:r>
          </w:p>
        </w:tc>
        <w:tc>
          <w:tcPr>
            <w:tcW w:w="400" w:type="dxa"/>
            <w:vAlign w:val="bottom"/>
          </w:tcPr>
          <w:p>
            <w:pPr>
              <w:spacing w:after="0"/>
              <w:rPr>
                <w:sz w:val="15"/>
                <w:szCs w:val="15"/>
                <w:color w:val="auto"/>
              </w:rPr>
            </w:pP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368</w:t>
            </w:r>
          </w:p>
        </w:tc>
        <w:tc>
          <w:tcPr>
            <w:tcW w:w="11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5.64</w:t>
            </w:r>
          </w:p>
        </w:tc>
        <w:tc>
          <w:tcPr>
            <w:tcW w:w="0" w:type="dxa"/>
            <w:vAlign w:val="bottom"/>
          </w:tcPr>
          <w:p>
            <w:pPr>
              <w:spacing w:after="0"/>
              <w:rPr>
                <w:sz w:val="1"/>
                <w:szCs w:val="1"/>
                <w:color w:val="auto"/>
              </w:rPr>
            </w:pPr>
          </w:p>
        </w:tc>
      </w:tr>
      <w:tr>
        <w:trPr>
          <w:trHeight w:val="175"/>
        </w:trPr>
        <w:tc>
          <w:tcPr>
            <w:tcW w:w="4640" w:type="dxa"/>
            <w:vAlign w:val="bottom"/>
          </w:tcPr>
          <w:p>
            <w:pPr>
              <w:ind w:left="560"/>
              <w:spacing w:after="0"/>
              <w:rPr>
                <w:sz w:val="20"/>
                <w:szCs w:val="20"/>
                <w:color w:val="auto"/>
              </w:rPr>
            </w:pPr>
            <w:r>
              <w:rPr>
                <w:rFonts w:ascii="Courier New" w:cs="Courier New" w:eastAsia="Courier New" w:hAnsi="Courier New"/>
                <w:sz w:val="15"/>
                <w:szCs w:val="15"/>
                <w:color w:val="auto"/>
              </w:rPr>
              <w:t>sold under agreement to repurchase</w:t>
            </w:r>
          </w:p>
        </w:tc>
        <w:tc>
          <w:tcPr>
            <w:tcW w:w="6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640" w:type="dxa"/>
            <w:vAlign w:val="bottom"/>
          </w:tcPr>
          <w:p>
            <w:pPr>
              <w:spacing w:after="0"/>
              <w:rPr>
                <w:sz w:val="22"/>
                <w:szCs w:val="22"/>
                <w:color w:val="auto"/>
              </w:rPr>
            </w:pPr>
          </w:p>
        </w:tc>
        <w:tc>
          <w:tcPr>
            <w:tcW w:w="1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640" w:type="dxa"/>
            <w:vAlign w:val="bottom"/>
          </w:tcPr>
          <w:p>
            <w:pPr>
              <w:spacing w:after="0"/>
              <w:rPr>
                <w:sz w:val="20"/>
                <w:szCs w:val="20"/>
                <w:color w:val="auto"/>
              </w:rPr>
            </w:pPr>
            <w:r>
              <w:rPr>
                <w:rFonts w:ascii="Courier New" w:cs="Courier New" w:eastAsia="Courier New" w:hAnsi="Courier New"/>
                <w:sz w:val="15"/>
                <w:szCs w:val="15"/>
                <w:color w:val="auto"/>
              </w:rPr>
              <w:t>Total Interest Bearing Liabilities</w:t>
            </w:r>
          </w:p>
        </w:tc>
        <w:tc>
          <w:tcPr>
            <w:tcW w:w="680" w:type="dxa"/>
            <w:vAlign w:val="bottom"/>
          </w:tcPr>
          <w:p>
            <w:pPr>
              <w:spacing w:after="0"/>
              <w:rPr>
                <w:sz w:val="23"/>
                <w:szCs w:val="23"/>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392,113</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20,905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5.33%</w:t>
            </w:r>
          </w:p>
        </w:tc>
        <w:tc>
          <w:tcPr>
            <w:tcW w:w="0" w:type="dxa"/>
            <w:vAlign w:val="bottom"/>
          </w:tcPr>
          <w:p>
            <w:pPr>
              <w:spacing w:after="0"/>
              <w:rPr>
                <w:sz w:val="1"/>
                <w:szCs w:val="1"/>
                <w:color w:val="auto"/>
              </w:rPr>
            </w:pPr>
          </w:p>
        </w:tc>
      </w:tr>
      <w:tr>
        <w:trPr>
          <w:trHeight w:val="256"/>
        </w:trPr>
        <w:tc>
          <w:tcPr>
            <w:tcW w:w="4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640" w:type="dxa"/>
            <w:vAlign w:val="bottom"/>
          </w:tcPr>
          <w:p>
            <w:pPr>
              <w:spacing w:after="0"/>
              <w:rPr>
                <w:sz w:val="20"/>
                <w:szCs w:val="20"/>
                <w:color w:val="auto"/>
              </w:rPr>
            </w:pPr>
            <w:r>
              <w:rPr>
                <w:rFonts w:ascii="Courier New" w:cs="Courier New" w:eastAsia="Courier New" w:hAnsi="Courier New"/>
                <w:sz w:val="15"/>
                <w:szCs w:val="15"/>
                <w:color w:val="auto"/>
              </w:rPr>
              <w:t>Non-interest Bearing Obligations:</w:t>
            </w:r>
          </w:p>
        </w:tc>
        <w:tc>
          <w:tcPr>
            <w:tcW w:w="680" w:type="dxa"/>
            <w:vAlign w:val="bottom"/>
          </w:tcPr>
          <w:p>
            <w:pPr>
              <w:spacing w:after="0"/>
              <w:rPr>
                <w:sz w:val="23"/>
                <w:szCs w:val="23"/>
                <w:color w:val="auto"/>
              </w:rPr>
            </w:pPr>
          </w:p>
        </w:tc>
        <w:tc>
          <w:tcPr>
            <w:tcW w:w="12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50,580</w:t>
            </w: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380"/>
              <w:spacing w:after="0"/>
              <w:rPr>
                <w:sz w:val="20"/>
                <w:szCs w:val="20"/>
                <w:color w:val="auto"/>
              </w:rPr>
            </w:pPr>
            <w:r>
              <w:rPr>
                <w:rFonts w:ascii="Courier New" w:cs="Courier New" w:eastAsia="Courier New" w:hAnsi="Courier New"/>
                <w:sz w:val="15"/>
                <w:szCs w:val="15"/>
                <w:color w:val="auto"/>
              </w:rPr>
              <w:t>Non-interest bearing deposits</w:t>
            </w:r>
          </w:p>
        </w:tc>
        <w:tc>
          <w:tcPr>
            <w:tcW w:w="6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380"/>
              <w:spacing w:after="0"/>
              <w:rPr>
                <w:sz w:val="20"/>
                <w:szCs w:val="20"/>
                <w:color w:val="auto"/>
              </w:rPr>
            </w:pPr>
            <w:r>
              <w:rPr>
                <w:rFonts w:ascii="Courier New" w:cs="Courier New" w:eastAsia="Courier New" w:hAnsi="Courier New"/>
                <w:sz w:val="15"/>
                <w:szCs w:val="15"/>
                <w:color w:val="auto"/>
              </w:rPr>
              <w:t>Other</w:t>
            </w:r>
          </w:p>
        </w:tc>
        <w:tc>
          <w:tcPr>
            <w:tcW w:w="68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5,700</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Total Liabilities</w:t>
            </w:r>
          </w:p>
        </w:tc>
        <w:tc>
          <w:tcPr>
            <w:tcW w:w="1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640" w:type="dxa"/>
            <w:vAlign w:val="bottom"/>
            <w:vMerge w:val="continue"/>
          </w:tcPr>
          <w:p>
            <w:pPr>
              <w:spacing w:after="0"/>
              <w:rPr>
                <w:sz w:val="22"/>
                <w:szCs w:val="22"/>
                <w:color w:val="auto"/>
              </w:rPr>
            </w:pPr>
          </w:p>
        </w:tc>
        <w:tc>
          <w:tcPr>
            <w:tcW w:w="680" w:type="dxa"/>
            <w:vAlign w:val="bottom"/>
          </w:tcPr>
          <w:p>
            <w:pPr>
              <w:spacing w:after="0"/>
              <w:rPr>
                <w:sz w:val="22"/>
                <w:szCs w:val="22"/>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448,393</w:t>
            </w: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640" w:type="dxa"/>
            <w:vAlign w:val="bottom"/>
          </w:tcPr>
          <w:p>
            <w:pPr>
              <w:ind w:left="380"/>
              <w:spacing w:after="0"/>
              <w:rPr>
                <w:sz w:val="20"/>
                <w:szCs w:val="20"/>
                <w:color w:val="auto"/>
              </w:rPr>
            </w:pPr>
            <w:r>
              <w:rPr>
                <w:rFonts w:ascii="Courier New" w:cs="Courier New" w:eastAsia="Courier New" w:hAnsi="Courier New"/>
                <w:sz w:val="15"/>
                <w:szCs w:val="15"/>
                <w:color w:val="auto"/>
              </w:rPr>
              <w:t>Stockholders' Equity</w:t>
            </w:r>
          </w:p>
        </w:tc>
        <w:tc>
          <w:tcPr>
            <w:tcW w:w="680" w:type="dxa"/>
            <w:vAlign w:val="bottom"/>
          </w:tcPr>
          <w:p>
            <w:pPr>
              <w:spacing w:after="0"/>
              <w:rPr>
                <w:sz w:val="23"/>
                <w:szCs w:val="23"/>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41,836</w:t>
            </w: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64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vMerge w:val="continue"/>
          </w:tcPr>
          <w:p>
            <w:pPr>
              <w:spacing w:after="0"/>
              <w:rPr>
                <w:sz w:val="15"/>
                <w:szCs w:val="15"/>
                <w:color w:val="auto"/>
              </w:rPr>
            </w:pPr>
          </w:p>
        </w:tc>
        <w:tc>
          <w:tcPr>
            <w:tcW w:w="6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490,229</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640" w:type="dxa"/>
            <w:vAlign w:val="bottom"/>
          </w:tcPr>
          <w:p>
            <w:pPr>
              <w:spacing w:after="0"/>
              <w:rPr>
                <w:sz w:val="22"/>
                <w:szCs w:val="22"/>
                <w:color w:val="auto"/>
              </w:rPr>
            </w:pPr>
          </w:p>
        </w:tc>
        <w:tc>
          <w:tcPr>
            <w:tcW w:w="1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640" w:type="dxa"/>
            <w:vAlign w:val="bottom"/>
          </w:tcPr>
          <w:p>
            <w:pPr>
              <w:ind w:left="380"/>
              <w:spacing w:after="0"/>
              <w:rPr>
                <w:sz w:val="20"/>
                <w:szCs w:val="20"/>
                <w:color w:val="auto"/>
              </w:rPr>
            </w:pPr>
            <w:r>
              <w:rPr>
                <w:rFonts w:ascii="Courier New" w:cs="Courier New" w:eastAsia="Courier New" w:hAnsi="Courier New"/>
                <w:sz w:val="15"/>
                <w:szCs w:val="15"/>
                <w:color w:val="auto"/>
              </w:rPr>
              <w:t>Interest and dividend income/yield</w:t>
            </w:r>
          </w:p>
        </w:tc>
        <w:tc>
          <w:tcPr>
            <w:tcW w:w="6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38,382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8.32%</w:t>
            </w:r>
          </w:p>
        </w:tc>
        <w:tc>
          <w:tcPr>
            <w:tcW w:w="0" w:type="dxa"/>
            <w:vAlign w:val="bottom"/>
          </w:tcPr>
          <w:p>
            <w:pPr>
              <w:spacing w:after="0"/>
              <w:rPr>
                <w:sz w:val="1"/>
                <w:szCs w:val="1"/>
                <w:color w:val="auto"/>
              </w:rPr>
            </w:pPr>
          </w:p>
        </w:tc>
      </w:tr>
      <w:tr>
        <w:trPr>
          <w:trHeight w:val="175"/>
        </w:trPr>
        <w:tc>
          <w:tcPr>
            <w:tcW w:w="4640" w:type="dxa"/>
            <w:vAlign w:val="bottom"/>
          </w:tcPr>
          <w:p>
            <w:pPr>
              <w:ind w:left="380"/>
              <w:spacing w:after="0"/>
              <w:rPr>
                <w:sz w:val="20"/>
                <w:szCs w:val="20"/>
                <w:color w:val="auto"/>
              </w:rPr>
            </w:pPr>
            <w:r>
              <w:rPr>
                <w:rFonts w:ascii="Courier New" w:cs="Courier New" w:eastAsia="Courier New" w:hAnsi="Courier New"/>
                <w:sz w:val="15"/>
                <w:szCs w:val="15"/>
                <w:color w:val="auto"/>
              </w:rPr>
              <w:t>Interest expense/rate</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20,905</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5.33</w:t>
            </w:r>
          </w:p>
        </w:tc>
        <w:tc>
          <w:tcPr>
            <w:tcW w:w="0" w:type="dxa"/>
            <w:vAlign w:val="bottom"/>
          </w:tcPr>
          <w:p>
            <w:pPr>
              <w:spacing w:after="0"/>
              <w:rPr>
                <w:sz w:val="1"/>
                <w:szCs w:val="1"/>
                <w:color w:val="auto"/>
              </w:rPr>
            </w:pPr>
          </w:p>
        </w:tc>
      </w:tr>
      <w:tr>
        <w:trPr>
          <w:trHeight w:val="256"/>
        </w:trPr>
        <w:tc>
          <w:tcPr>
            <w:tcW w:w="4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640" w:type="dxa"/>
            <w:vAlign w:val="bottom"/>
          </w:tcPr>
          <w:p>
            <w:pPr>
              <w:ind w:left="380"/>
              <w:spacing w:after="0"/>
              <w:rPr>
                <w:sz w:val="20"/>
                <w:szCs w:val="20"/>
                <w:color w:val="auto"/>
              </w:rPr>
            </w:pPr>
            <w:r>
              <w:rPr>
                <w:rFonts w:ascii="Courier New" w:cs="Courier New" w:eastAsia="Courier New" w:hAnsi="Courier New"/>
                <w:sz w:val="15"/>
                <w:szCs w:val="15"/>
                <w:color w:val="auto"/>
              </w:rPr>
              <w:t>Net Interest Spread</w:t>
            </w:r>
          </w:p>
        </w:tc>
        <w:tc>
          <w:tcPr>
            <w:tcW w:w="6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17,477</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2.99</w:t>
            </w:r>
          </w:p>
        </w:tc>
        <w:tc>
          <w:tcPr>
            <w:tcW w:w="0" w:type="dxa"/>
            <w:vAlign w:val="bottom"/>
          </w:tcPr>
          <w:p>
            <w:pPr>
              <w:spacing w:after="0"/>
              <w:rPr>
                <w:sz w:val="1"/>
                <w:szCs w:val="1"/>
                <w:color w:val="auto"/>
              </w:rPr>
            </w:pPr>
          </w:p>
        </w:tc>
      </w:tr>
      <w:tr>
        <w:trPr>
          <w:trHeight w:val="256"/>
        </w:trPr>
        <w:tc>
          <w:tcPr>
            <w:tcW w:w="4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640" w:type="dxa"/>
            <w:vAlign w:val="bottom"/>
          </w:tcPr>
          <w:p>
            <w:pPr>
              <w:ind w:left="380"/>
              <w:spacing w:after="0"/>
              <w:rPr>
                <w:sz w:val="20"/>
                <w:szCs w:val="20"/>
                <w:color w:val="auto"/>
              </w:rPr>
            </w:pPr>
            <w:r>
              <w:rPr>
                <w:rFonts w:ascii="Courier New" w:cs="Courier New" w:eastAsia="Courier New" w:hAnsi="Courier New"/>
                <w:sz w:val="15"/>
                <w:szCs w:val="15"/>
                <w:color w:val="auto"/>
              </w:rPr>
              <w:t>Net Interest Margin</w:t>
            </w:r>
          </w:p>
        </w:tc>
        <w:tc>
          <w:tcPr>
            <w:tcW w:w="6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3.79%</w:t>
            </w:r>
          </w:p>
        </w:tc>
        <w:tc>
          <w:tcPr>
            <w:tcW w:w="0" w:type="dxa"/>
            <w:vAlign w:val="bottom"/>
          </w:tcPr>
          <w:p>
            <w:pPr>
              <w:spacing w:after="0"/>
              <w:rPr>
                <w:sz w:val="1"/>
                <w:szCs w:val="1"/>
                <w:color w:val="auto"/>
              </w:rPr>
            </w:pPr>
          </w:p>
        </w:tc>
      </w:tr>
      <w:tr>
        <w:trPr>
          <w:trHeight w:val="256"/>
        </w:trPr>
        <w:tc>
          <w:tcPr>
            <w:tcW w:w="4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67" w:right="2959" w:hanging="367"/>
        <w:spacing w:after="0" w:line="368" w:lineRule="auto"/>
        <w:tabs>
          <w:tab w:leader="none" w:pos="36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these computations, nonaccruing loans are included in the daily average outstanding loan amounts.</w:t>
      </w:r>
    </w:p>
    <w:p>
      <w:pPr>
        <w:spacing w:after="0" w:line="200" w:lineRule="exact"/>
        <w:rPr>
          <w:sz w:val="20"/>
          <w:szCs w:val="20"/>
          <w:color w:val="auto"/>
        </w:rPr>
      </w:pPr>
    </w:p>
    <w:p>
      <w:pPr>
        <w:spacing w:after="0" w:line="32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6"/>
          </w:cols>
          <w:pgMar w:left="233" w:top="265"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6"/>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11</w:t>
            </w: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6720" w:type="dxa"/>
            <w:vAlign w:val="bottom"/>
            <w:gridSpan w:val="3"/>
          </w:tcPr>
          <w:p>
            <w:pPr>
              <w:ind w:left="820"/>
              <w:spacing w:after="0"/>
              <w:rPr>
                <w:sz w:val="20"/>
                <w:szCs w:val="20"/>
                <w:color w:val="auto"/>
              </w:rPr>
            </w:pPr>
            <w:r>
              <w:rPr>
                <w:rFonts w:ascii="Courier New" w:cs="Courier New" w:eastAsia="Courier New" w:hAnsi="Courier New"/>
                <w:sz w:val="15"/>
                <w:szCs w:val="15"/>
                <w:color w:val="auto"/>
              </w:rPr>
              <w:t>The following table sets forth (in thousands of dollars) for the</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260" w:type="dxa"/>
            <w:vAlign w:val="bottom"/>
            <w:gridSpan w:val="5"/>
          </w:tcPr>
          <w:p>
            <w:pPr>
              <w:spacing w:after="0"/>
              <w:rPr>
                <w:sz w:val="20"/>
                <w:szCs w:val="20"/>
                <w:color w:val="auto"/>
              </w:rPr>
            </w:pPr>
            <w:r>
              <w:rPr>
                <w:rFonts w:ascii="Courier New" w:cs="Courier New" w:eastAsia="Courier New" w:hAnsi="Courier New"/>
                <w:sz w:val="15"/>
                <w:szCs w:val="15"/>
                <w:color w:val="auto"/>
              </w:rPr>
              <w:t>periods indicated, a summary of the changes in interest earned and interest paid</w:t>
            </w: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resulting from changes in volume and changes in rates:</w:t>
            </w: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1998-1997</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476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Increase</w:t>
            </w:r>
          </w:p>
        </w:tc>
        <w:tc>
          <w:tcPr>
            <w:tcW w:w="280" w:type="dxa"/>
            <w:vAlign w:val="bottom"/>
          </w:tcPr>
          <w:p>
            <w:pPr>
              <w:spacing w:after="0"/>
              <w:rPr>
                <w:sz w:val="15"/>
                <w:szCs w:val="15"/>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Increase (Decrease)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3"/>
          </w:tcPr>
          <w:p>
            <w:pPr>
              <w:jc w:val="right"/>
              <w:ind w:right="184"/>
              <w:spacing w:after="0"/>
              <w:rPr>
                <w:sz w:val="20"/>
                <w:szCs w:val="20"/>
                <w:color w:val="auto"/>
              </w:rPr>
            </w:pPr>
            <w:r>
              <w:rPr>
                <w:rFonts w:ascii="Courier New" w:cs="Courier New" w:eastAsia="Courier New" w:hAnsi="Courier New"/>
                <w:sz w:val="15"/>
                <w:szCs w:val="15"/>
                <w:color w:val="auto"/>
              </w:rPr>
              <w:t>Attributable to Changes in</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Courier New" w:cs="Courier New" w:eastAsia="Courier New" w:hAnsi="Courier New"/>
                <w:sz w:val="15"/>
                <w:szCs w:val="15"/>
                <w:color w:val="auto"/>
              </w:rPr>
              <w:t>(Decrease)</w:t>
            </w:r>
          </w:p>
        </w:tc>
        <w:tc>
          <w:tcPr>
            <w:tcW w:w="280" w:type="dxa"/>
            <w:vAlign w:val="bottom"/>
          </w:tcPr>
          <w:p>
            <w:pPr>
              <w:ind w:left="80"/>
              <w:spacing w:after="0"/>
              <w:rPr>
                <w:sz w:val="20"/>
                <w:szCs w:val="20"/>
                <w:color w:val="auto"/>
              </w:rPr>
            </w:pPr>
            <w:r>
              <w:rPr>
                <w:rFonts w:ascii="Courier New" w:cs="Courier New" w:eastAsia="Courier New" w:hAnsi="Courier New"/>
                <w:sz w:val="1"/>
                <w:szCs w:val="1"/>
                <w:color w:val="auto"/>
                <w:w w:val="90"/>
              </w:rPr>
              <w:t>---------------------------------</w:t>
            </w:r>
          </w:p>
        </w:tc>
        <w:tc>
          <w:tcPr>
            <w:tcW w:w="1260" w:type="dxa"/>
            <w:vAlign w:val="bottom"/>
            <w:vMerge w:val="restart"/>
          </w:tcPr>
          <w:p>
            <w:pPr>
              <w:spacing w:after="0"/>
              <w:rPr>
                <w:sz w:val="20"/>
                <w:szCs w:val="20"/>
                <w:color w:val="auto"/>
              </w:rPr>
            </w:pPr>
            <w:r>
              <w:rPr>
                <w:rFonts w:ascii="Courier New" w:cs="Courier New" w:eastAsia="Courier New" w:hAnsi="Courier New"/>
                <w:sz w:val="15"/>
                <w:szCs w:val="15"/>
                <w:color w:val="auto"/>
              </w:rPr>
              <w:t>Volume</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Rate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Courier New" w:cs="Courier New" w:eastAsia="Courier New" w:hAnsi="Courier New"/>
                <w:sz w:val="15"/>
                <w:szCs w:val="15"/>
                <w:color w:val="auto"/>
              </w:rPr>
              <w:t>in Interest</w:t>
            </w:r>
          </w:p>
        </w:tc>
        <w:tc>
          <w:tcPr>
            <w:tcW w:w="2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2"/>
                <w:szCs w:val="22"/>
                <w:color w:val="auto"/>
              </w:rPr>
            </w:pP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8"/>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Interest Earned On:</w:t>
            </w:r>
          </w:p>
        </w:tc>
        <w:tc>
          <w:tcPr>
            <w:tcW w:w="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2,064</w:t>
            </w:r>
          </w:p>
        </w:tc>
        <w:tc>
          <w:tcPr>
            <w:tcW w:w="2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2,117</w:t>
            </w:r>
          </w:p>
        </w:tc>
        <w:tc>
          <w:tcPr>
            <w:tcW w:w="9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175"/>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Loans</w:t>
            </w:r>
          </w:p>
        </w:tc>
        <w:tc>
          <w:tcPr>
            <w:tcW w:w="3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Taxable investment securities</w:t>
            </w:r>
          </w:p>
        </w:tc>
        <w:tc>
          <w:tcPr>
            <w:tcW w:w="3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101</w:t>
            </w:r>
          </w:p>
        </w:tc>
        <w:tc>
          <w:tcPr>
            <w:tcW w:w="280" w:type="dxa"/>
            <w:vAlign w:val="bottom"/>
          </w:tcPr>
          <w:p>
            <w:pPr>
              <w:spacing w:after="0"/>
              <w:rPr>
                <w:sz w:val="15"/>
                <w:szCs w:val="15"/>
                <w:color w:val="auto"/>
              </w:rPr>
            </w:pP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228</w:t>
            </w:r>
          </w:p>
        </w:tc>
        <w:tc>
          <w:tcPr>
            <w:tcW w:w="920" w:type="dxa"/>
            <w:vAlign w:val="bottom"/>
          </w:tcPr>
          <w:p>
            <w:pPr>
              <w:spacing w:after="0"/>
              <w:rPr>
                <w:sz w:val="15"/>
                <w:szCs w:val="15"/>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(127)</w:t>
            </w:r>
          </w:p>
        </w:tc>
        <w:tc>
          <w:tcPr>
            <w:tcW w:w="0" w:type="dxa"/>
            <w:vAlign w:val="bottom"/>
          </w:tcPr>
          <w:p>
            <w:pPr>
              <w:spacing w:after="0"/>
              <w:rPr>
                <w:sz w:val="1"/>
                <w:szCs w:val="1"/>
                <w:color w:val="auto"/>
              </w:rPr>
            </w:pPr>
          </w:p>
        </w:tc>
      </w:tr>
      <w:tr>
        <w:trPr>
          <w:trHeight w:val="175"/>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Tax-exempt investment securities</w:t>
            </w:r>
          </w:p>
        </w:tc>
        <w:tc>
          <w:tcPr>
            <w:tcW w:w="3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128</w:t>
            </w:r>
          </w:p>
        </w:tc>
        <w:tc>
          <w:tcPr>
            <w:tcW w:w="280" w:type="dxa"/>
            <w:vAlign w:val="bottom"/>
          </w:tcPr>
          <w:p>
            <w:pPr>
              <w:spacing w:after="0"/>
              <w:rPr>
                <w:sz w:val="15"/>
                <w:szCs w:val="15"/>
                <w:color w:val="auto"/>
              </w:rPr>
            </w:pP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176</w:t>
            </w:r>
          </w:p>
        </w:tc>
        <w:tc>
          <w:tcPr>
            <w:tcW w:w="920" w:type="dxa"/>
            <w:vAlign w:val="bottom"/>
          </w:tcPr>
          <w:p>
            <w:pPr>
              <w:spacing w:after="0"/>
              <w:rPr>
                <w:sz w:val="15"/>
                <w:szCs w:val="15"/>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w:t>
            </w:r>
          </w:p>
        </w:tc>
        <w:tc>
          <w:tcPr>
            <w:tcW w:w="0" w:type="dxa"/>
            <w:vAlign w:val="bottom"/>
          </w:tcPr>
          <w:p>
            <w:pPr>
              <w:spacing w:after="0"/>
              <w:rPr>
                <w:sz w:val="1"/>
                <w:szCs w:val="1"/>
                <w:color w:val="auto"/>
              </w:rPr>
            </w:pPr>
          </w:p>
        </w:tc>
      </w:tr>
      <w:tr>
        <w:trPr>
          <w:trHeight w:val="175"/>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Federal funds sold and securities purchased</w:t>
            </w:r>
          </w:p>
        </w:tc>
        <w:tc>
          <w:tcPr>
            <w:tcW w:w="320" w:type="dxa"/>
            <w:vAlign w:val="bottom"/>
          </w:tcPr>
          <w:p>
            <w:pPr>
              <w:spacing w:after="0"/>
              <w:rPr>
                <w:sz w:val="15"/>
                <w:szCs w:val="15"/>
                <w:color w:val="auto"/>
              </w:rPr>
            </w:pPr>
          </w:p>
        </w:tc>
        <w:tc>
          <w:tcPr>
            <w:tcW w:w="13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437</w:t>
            </w:r>
          </w:p>
        </w:tc>
        <w:tc>
          <w:tcPr>
            <w:tcW w:w="280" w:type="dxa"/>
            <w:vAlign w:val="bottom"/>
          </w:tcPr>
          <w:p>
            <w:pPr>
              <w:spacing w:after="0"/>
              <w:rPr>
                <w:sz w:val="15"/>
                <w:szCs w:val="15"/>
                <w:color w:val="auto"/>
              </w:rPr>
            </w:pPr>
          </w:p>
        </w:tc>
        <w:tc>
          <w:tcPr>
            <w:tcW w:w="12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445</w:t>
            </w:r>
          </w:p>
        </w:tc>
        <w:tc>
          <w:tcPr>
            <w:tcW w:w="920" w:type="dxa"/>
            <w:vAlign w:val="bottom"/>
          </w:tcPr>
          <w:p>
            <w:pPr>
              <w:spacing w:after="0"/>
              <w:rPr>
                <w:sz w:val="15"/>
                <w:szCs w:val="15"/>
                <w:color w:val="auto"/>
              </w:rPr>
            </w:pPr>
          </w:p>
        </w:tc>
        <w:tc>
          <w:tcPr>
            <w:tcW w:w="6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5"/>
        </w:trPr>
        <w:tc>
          <w:tcPr>
            <w:tcW w:w="5040" w:type="dxa"/>
            <w:vAlign w:val="bottom"/>
          </w:tcPr>
          <w:p>
            <w:pPr>
              <w:ind w:left="620"/>
              <w:spacing w:after="0"/>
              <w:rPr>
                <w:sz w:val="20"/>
                <w:szCs w:val="20"/>
                <w:color w:val="auto"/>
              </w:rPr>
            </w:pPr>
            <w:r>
              <w:rPr>
                <w:rFonts w:ascii="Courier New" w:cs="Courier New" w:eastAsia="Courier New" w:hAnsi="Courier New"/>
                <w:sz w:val="15"/>
                <w:szCs w:val="15"/>
                <w:color w:val="auto"/>
              </w:rPr>
              <w:t>under agreements to resell</w:t>
            </w:r>
          </w:p>
        </w:tc>
        <w:tc>
          <w:tcPr>
            <w:tcW w:w="3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2"/>
                <w:szCs w:val="22"/>
                <w:color w:val="auto"/>
              </w:rPr>
            </w:pP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Total Interest Earnings Assets</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2,730</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2,966</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(236)</w:t>
            </w: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2"/>
                <w:szCs w:val="22"/>
                <w:color w:val="auto"/>
              </w:rPr>
            </w:pP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Interest Paid On:</w:t>
            </w:r>
          </w:p>
        </w:tc>
        <w:tc>
          <w:tcPr>
            <w:tcW w:w="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18</w:t>
            </w:r>
          </w:p>
        </w:tc>
        <w:tc>
          <w:tcPr>
            <w:tcW w:w="2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114</w:t>
            </w:r>
          </w:p>
        </w:tc>
        <w:tc>
          <w:tcPr>
            <w:tcW w:w="9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(96)</w:t>
            </w:r>
          </w:p>
        </w:tc>
        <w:tc>
          <w:tcPr>
            <w:tcW w:w="0" w:type="dxa"/>
            <w:vAlign w:val="bottom"/>
          </w:tcPr>
          <w:p>
            <w:pPr>
              <w:spacing w:after="0"/>
              <w:rPr>
                <w:sz w:val="1"/>
                <w:szCs w:val="1"/>
                <w:color w:val="auto"/>
              </w:rPr>
            </w:pPr>
          </w:p>
        </w:tc>
      </w:tr>
      <w:tr>
        <w:trPr>
          <w:trHeight w:val="175"/>
        </w:trPr>
        <w:tc>
          <w:tcPr>
            <w:tcW w:w="5040" w:type="dxa"/>
            <w:vAlign w:val="bottom"/>
          </w:tcPr>
          <w:p>
            <w:pPr>
              <w:ind w:left="820"/>
              <w:spacing w:after="0"/>
              <w:rPr>
                <w:sz w:val="20"/>
                <w:szCs w:val="20"/>
                <w:color w:val="auto"/>
              </w:rPr>
            </w:pPr>
            <w:r>
              <w:rPr>
                <w:rFonts w:ascii="Courier New" w:cs="Courier New" w:eastAsia="Courier New" w:hAnsi="Courier New"/>
                <w:sz w:val="15"/>
                <w:szCs w:val="15"/>
                <w:color w:val="auto"/>
              </w:rPr>
              <w:t>Savings deposits</w:t>
            </w:r>
          </w:p>
        </w:tc>
        <w:tc>
          <w:tcPr>
            <w:tcW w:w="3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ind w:left="820"/>
              <w:spacing w:after="0"/>
              <w:rPr>
                <w:sz w:val="20"/>
                <w:szCs w:val="20"/>
                <w:color w:val="auto"/>
              </w:rPr>
            </w:pPr>
            <w:r>
              <w:rPr>
                <w:rFonts w:ascii="Courier New" w:cs="Courier New" w:eastAsia="Courier New" w:hAnsi="Courier New"/>
                <w:sz w:val="15"/>
                <w:szCs w:val="15"/>
                <w:color w:val="auto"/>
              </w:rPr>
              <w:t>Other time deposits</w:t>
            </w:r>
          </w:p>
        </w:tc>
        <w:tc>
          <w:tcPr>
            <w:tcW w:w="3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888</w:t>
            </w:r>
          </w:p>
        </w:tc>
        <w:tc>
          <w:tcPr>
            <w:tcW w:w="280" w:type="dxa"/>
            <w:vAlign w:val="bottom"/>
          </w:tcPr>
          <w:p>
            <w:pPr>
              <w:spacing w:after="0"/>
              <w:rPr>
                <w:sz w:val="15"/>
                <w:szCs w:val="15"/>
                <w:color w:val="auto"/>
              </w:rPr>
            </w:pP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1,106</w:t>
            </w:r>
          </w:p>
        </w:tc>
        <w:tc>
          <w:tcPr>
            <w:tcW w:w="920" w:type="dxa"/>
            <w:vAlign w:val="bottom"/>
          </w:tcPr>
          <w:p>
            <w:pPr>
              <w:spacing w:after="0"/>
              <w:rPr>
                <w:sz w:val="15"/>
                <w:szCs w:val="15"/>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75"/>
        </w:trPr>
        <w:tc>
          <w:tcPr>
            <w:tcW w:w="5040" w:type="dxa"/>
            <w:vAlign w:val="bottom"/>
          </w:tcPr>
          <w:p>
            <w:pPr>
              <w:ind w:left="820"/>
              <w:spacing w:after="0"/>
              <w:rPr>
                <w:sz w:val="20"/>
                <w:szCs w:val="20"/>
                <w:color w:val="auto"/>
              </w:rPr>
            </w:pPr>
            <w:r>
              <w:rPr>
                <w:rFonts w:ascii="Courier New" w:cs="Courier New" w:eastAsia="Courier New" w:hAnsi="Courier New"/>
                <w:sz w:val="15"/>
                <w:szCs w:val="15"/>
                <w:color w:val="auto"/>
              </w:rPr>
              <w:t>Other borrowed</w:t>
            </w:r>
          </w:p>
        </w:tc>
        <w:tc>
          <w:tcPr>
            <w:tcW w:w="3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102</w:t>
            </w:r>
          </w:p>
        </w:tc>
        <w:tc>
          <w:tcPr>
            <w:tcW w:w="280" w:type="dxa"/>
            <w:vAlign w:val="bottom"/>
          </w:tcPr>
          <w:p>
            <w:pPr>
              <w:spacing w:after="0"/>
              <w:rPr>
                <w:sz w:val="15"/>
                <w:szCs w:val="15"/>
                <w:color w:val="auto"/>
              </w:rPr>
            </w:pP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103</w:t>
            </w:r>
          </w:p>
        </w:tc>
        <w:tc>
          <w:tcPr>
            <w:tcW w:w="920" w:type="dxa"/>
            <w:vAlign w:val="bottom"/>
          </w:tcPr>
          <w:p>
            <w:pPr>
              <w:spacing w:after="0"/>
              <w:rPr>
                <w:sz w:val="15"/>
                <w:szCs w:val="15"/>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5"/>
        </w:trPr>
        <w:tc>
          <w:tcPr>
            <w:tcW w:w="5040" w:type="dxa"/>
            <w:vAlign w:val="bottom"/>
          </w:tcPr>
          <w:p>
            <w:pPr>
              <w:ind w:left="820"/>
              <w:spacing w:after="0"/>
              <w:rPr>
                <w:sz w:val="20"/>
                <w:szCs w:val="20"/>
                <w:color w:val="auto"/>
              </w:rPr>
            </w:pPr>
            <w:r>
              <w:rPr>
                <w:rFonts w:ascii="Courier New" w:cs="Courier New" w:eastAsia="Courier New" w:hAnsi="Courier New"/>
                <w:sz w:val="15"/>
                <w:szCs w:val="15"/>
                <w:color w:val="auto"/>
              </w:rPr>
              <w:t>Federal funds purchased and securities</w:t>
            </w:r>
          </w:p>
        </w:tc>
        <w:tc>
          <w:tcPr>
            <w:tcW w:w="320" w:type="dxa"/>
            <w:vAlign w:val="bottom"/>
          </w:tcPr>
          <w:p>
            <w:pPr>
              <w:spacing w:after="0"/>
              <w:rPr>
                <w:sz w:val="15"/>
                <w:szCs w:val="15"/>
                <w:color w:val="auto"/>
              </w:rPr>
            </w:pPr>
          </w:p>
        </w:tc>
        <w:tc>
          <w:tcPr>
            <w:tcW w:w="1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(62)</w:t>
            </w:r>
          </w:p>
        </w:tc>
        <w:tc>
          <w:tcPr>
            <w:tcW w:w="280" w:type="dxa"/>
            <w:vAlign w:val="bottom"/>
          </w:tcPr>
          <w:p>
            <w:pPr>
              <w:spacing w:after="0"/>
              <w:rPr>
                <w:sz w:val="15"/>
                <w:szCs w:val="15"/>
                <w:color w:val="auto"/>
              </w:rPr>
            </w:pPr>
          </w:p>
        </w:tc>
        <w:tc>
          <w:tcPr>
            <w:tcW w:w="12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(73)</w:t>
            </w:r>
          </w:p>
        </w:tc>
        <w:tc>
          <w:tcPr>
            <w:tcW w:w="920" w:type="dxa"/>
            <w:vAlign w:val="bottom"/>
          </w:tcPr>
          <w:p>
            <w:pPr>
              <w:spacing w:after="0"/>
              <w:rPr>
                <w:sz w:val="15"/>
                <w:szCs w:val="15"/>
                <w:color w:val="auto"/>
              </w:rPr>
            </w:pPr>
          </w:p>
        </w:tc>
        <w:tc>
          <w:tcPr>
            <w:tcW w:w="6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5"/>
        </w:trPr>
        <w:tc>
          <w:tcPr>
            <w:tcW w:w="5040" w:type="dxa"/>
            <w:vAlign w:val="bottom"/>
          </w:tcPr>
          <w:p>
            <w:pPr>
              <w:ind w:left="1000"/>
              <w:spacing w:after="0"/>
              <w:rPr>
                <w:sz w:val="20"/>
                <w:szCs w:val="20"/>
                <w:color w:val="auto"/>
              </w:rPr>
            </w:pPr>
            <w:r>
              <w:rPr>
                <w:rFonts w:ascii="Courier New" w:cs="Courier New" w:eastAsia="Courier New" w:hAnsi="Courier New"/>
                <w:sz w:val="15"/>
                <w:szCs w:val="15"/>
                <w:color w:val="auto"/>
              </w:rPr>
              <w:t>sold under agreements to repurchase</w:t>
            </w:r>
          </w:p>
        </w:tc>
        <w:tc>
          <w:tcPr>
            <w:tcW w:w="3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2"/>
                <w:szCs w:val="22"/>
                <w:color w:val="auto"/>
              </w:rPr>
            </w:pP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040" w:type="dxa"/>
            <w:vAlign w:val="bottom"/>
          </w:tcPr>
          <w:p>
            <w:pPr>
              <w:ind w:left="1000"/>
              <w:spacing w:after="0"/>
              <w:rPr>
                <w:sz w:val="20"/>
                <w:szCs w:val="20"/>
                <w:color w:val="auto"/>
              </w:rPr>
            </w:pPr>
            <w:r>
              <w:rPr>
                <w:rFonts w:ascii="Courier New" w:cs="Courier New" w:eastAsia="Courier New" w:hAnsi="Courier New"/>
                <w:sz w:val="15"/>
                <w:szCs w:val="15"/>
                <w:color w:val="auto"/>
              </w:rPr>
              <w:t>Total Interest Bearing Liabilities</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946</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1,250</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(304)</w:t>
            </w: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2"/>
                <w:szCs w:val="22"/>
                <w:color w:val="auto"/>
              </w:rPr>
            </w:pP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1997-1996</w:t>
            </w: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476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Increase</w:t>
            </w:r>
          </w:p>
        </w:tc>
        <w:tc>
          <w:tcPr>
            <w:tcW w:w="280" w:type="dxa"/>
            <w:vAlign w:val="bottom"/>
          </w:tcPr>
          <w:p>
            <w:pPr>
              <w:spacing w:after="0"/>
              <w:rPr>
                <w:sz w:val="15"/>
                <w:szCs w:val="15"/>
                <w:color w:val="auto"/>
              </w:rPr>
            </w:pPr>
          </w:p>
        </w:tc>
        <w:tc>
          <w:tcPr>
            <w:tcW w:w="21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Increase (Decrease)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3"/>
          </w:tcPr>
          <w:p>
            <w:pPr>
              <w:spacing w:after="0"/>
              <w:rPr>
                <w:sz w:val="20"/>
                <w:szCs w:val="20"/>
                <w:color w:val="auto"/>
              </w:rPr>
            </w:pPr>
            <w:r>
              <w:rPr>
                <w:rFonts w:ascii="Courier New" w:cs="Courier New" w:eastAsia="Courier New" w:hAnsi="Courier New"/>
                <w:sz w:val="15"/>
                <w:szCs w:val="15"/>
                <w:color w:val="auto"/>
              </w:rPr>
              <w:t>Attributable to Changes in</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Courier New" w:cs="Courier New" w:eastAsia="Courier New" w:hAnsi="Courier New"/>
                <w:sz w:val="15"/>
                <w:szCs w:val="15"/>
                <w:color w:val="auto"/>
              </w:rPr>
              <w:t>(Decrease)</w:t>
            </w:r>
          </w:p>
        </w:tc>
        <w:tc>
          <w:tcPr>
            <w:tcW w:w="280" w:type="dxa"/>
            <w:vAlign w:val="bottom"/>
          </w:tcPr>
          <w:p>
            <w:pPr>
              <w:ind w:left="80"/>
              <w:spacing w:after="0"/>
              <w:rPr>
                <w:sz w:val="20"/>
                <w:szCs w:val="20"/>
                <w:color w:val="auto"/>
              </w:rPr>
            </w:pPr>
            <w:r>
              <w:rPr>
                <w:rFonts w:ascii="Courier New" w:cs="Courier New" w:eastAsia="Courier New" w:hAnsi="Courier New"/>
                <w:sz w:val="1"/>
                <w:szCs w:val="1"/>
                <w:color w:val="auto"/>
                <w:w w:val="93"/>
              </w:rPr>
              <w:t>--------------------------------</w:t>
            </w:r>
          </w:p>
        </w:tc>
        <w:tc>
          <w:tcPr>
            <w:tcW w:w="1260" w:type="dxa"/>
            <w:vAlign w:val="bottom"/>
            <w:vMerge w:val="restart"/>
          </w:tcPr>
          <w:p>
            <w:pPr>
              <w:spacing w:after="0"/>
              <w:rPr>
                <w:sz w:val="20"/>
                <w:szCs w:val="20"/>
                <w:color w:val="auto"/>
              </w:rPr>
            </w:pPr>
            <w:r>
              <w:rPr>
                <w:rFonts w:ascii="Courier New" w:cs="Courier New" w:eastAsia="Courier New" w:hAnsi="Courier New"/>
                <w:sz w:val="15"/>
                <w:szCs w:val="15"/>
                <w:color w:val="auto"/>
              </w:rPr>
              <w:t>Volume</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Rate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Courier New" w:cs="Courier New" w:eastAsia="Courier New" w:hAnsi="Courier New"/>
                <w:sz w:val="15"/>
                <w:szCs w:val="15"/>
                <w:color w:val="auto"/>
              </w:rPr>
              <w:t>in Interest</w:t>
            </w:r>
          </w:p>
        </w:tc>
        <w:tc>
          <w:tcPr>
            <w:tcW w:w="2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04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Earned On:</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040" w:type="dxa"/>
            <w:vAlign w:val="bottom"/>
            <w:vMerge w:val="continue"/>
          </w:tcPr>
          <w:p>
            <w:pPr>
              <w:spacing w:after="0"/>
              <w:rPr>
                <w:sz w:val="8"/>
                <w:szCs w:val="8"/>
                <w:color w:val="auto"/>
              </w:rPr>
            </w:pPr>
          </w:p>
        </w:tc>
        <w:tc>
          <w:tcPr>
            <w:tcW w:w="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1,918</w:t>
            </w:r>
          </w:p>
        </w:tc>
        <w:tc>
          <w:tcPr>
            <w:tcW w:w="2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2,339</w:t>
            </w:r>
          </w:p>
        </w:tc>
        <w:tc>
          <w:tcPr>
            <w:tcW w:w="9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(421)</w:t>
            </w:r>
          </w:p>
        </w:tc>
        <w:tc>
          <w:tcPr>
            <w:tcW w:w="0" w:type="dxa"/>
            <w:vAlign w:val="bottom"/>
          </w:tcPr>
          <w:p>
            <w:pPr>
              <w:spacing w:after="0"/>
              <w:rPr>
                <w:sz w:val="1"/>
                <w:szCs w:val="1"/>
                <w:color w:val="auto"/>
              </w:rPr>
            </w:pPr>
          </w:p>
        </w:tc>
      </w:tr>
      <w:tr>
        <w:trPr>
          <w:trHeight w:val="175"/>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Loans</w:t>
            </w:r>
          </w:p>
        </w:tc>
        <w:tc>
          <w:tcPr>
            <w:tcW w:w="3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Taxable investment securities</w:t>
            </w:r>
          </w:p>
        </w:tc>
        <w:tc>
          <w:tcPr>
            <w:tcW w:w="32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w:t>
            </w:r>
          </w:p>
        </w:tc>
        <w:tc>
          <w:tcPr>
            <w:tcW w:w="28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(182)</w:t>
            </w:r>
          </w:p>
        </w:tc>
        <w:tc>
          <w:tcPr>
            <w:tcW w:w="92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166</w:t>
            </w:r>
          </w:p>
        </w:tc>
        <w:tc>
          <w:tcPr>
            <w:tcW w:w="0" w:type="dxa"/>
            <w:vAlign w:val="bottom"/>
          </w:tcPr>
          <w:p>
            <w:pPr>
              <w:spacing w:after="0"/>
              <w:rPr>
                <w:sz w:val="1"/>
                <w:szCs w:val="1"/>
                <w:color w:val="auto"/>
              </w:rPr>
            </w:pPr>
          </w:p>
        </w:tc>
      </w:tr>
      <w:tr>
        <w:trPr>
          <w:trHeight w:val="175"/>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Tax-exempt investment securities</w:t>
            </w:r>
          </w:p>
        </w:tc>
        <w:tc>
          <w:tcPr>
            <w:tcW w:w="3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w:t>
            </w:r>
          </w:p>
        </w:tc>
        <w:tc>
          <w:tcPr>
            <w:tcW w:w="280" w:type="dxa"/>
            <w:vAlign w:val="bottom"/>
          </w:tcPr>
          <w:p>
            <w:pPr>
              <w:spacing w:after="0"/>
              <w:rPr>
                <w:sz w:val="15"/>
                <w:szCs w:val="15"/>
                <w:color w:val="auto"/>
              </w:rPr>
            </w:pP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43</w:t>
            </w:r>
          </w:p>
        </w:tc>
        <w:tc>
          <w:tcPr>
            <w:tcW w:w="920" w:type="dxa"/>
            <w:vAlign w:val="bottom"/>
          </w:tcPr>
          <w:p>
            <w:pPr>
              <w:spacing w:after="0"/>
              <w:rPr>
                <w:sz w:val="15"/>
                <w:szCs w:val="15"/>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75"/>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Interest bearing deposits with other banks</w:t>
            </w:r>
          </w:p>
        </w:tc>
        <w:tc>
          <w:tcPr>
            <w:tcW w:w="32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280" w:type="dxa"/>
            <w:vAlign w:val="bottom"/>
          </w:tcPr>
          <w:p>
            <w:pPr>
              <w:spacing w:after="0"/>
              <w:rPr>
                <w:sz w:val="15"/>
                <w:szCs w:val="15"/>
                <w:color w:val="auto"/>
              </w:rPr>
            </w:pP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spacing w:after="0"/>
              <w:rPr>
                <w:sz w:val="15"/>
                <w:szCs w:val="15"/>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5"/>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Federal funds sold and securities purchased</w:t>
            </w:r>
          </w:p>
        </w:tc>
        <w:tc>
          <w:tcPr>
            <w:tcW w:w="320" w:type="dxa"/>
            <w:vAlign w:val="bottom"/>
          </w:tcPr>
          <w:p>
            <w:pPr>
              <w:spacing w:after="0"/>
              <w:rPr>
                <w:sz w:val="15"/>
                <w:szCs w:val="15"/>
                <w:color w:val="auto"/>
              </w:rPr>
            </w:pPr>
          </w:p>
        </w:tc>
        <w:tc>
          <w:tcPr>
            <w:tcW w:w="1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(146)</w:t>
            </w:r>
          </w:p>
        </w:tc>
        <w:tc>
          <w:tcPr>
            <w:tcW w:w="280" w:type="dxa"/>
            <w:vAlign w:val="bottom"/>
          </w:tcPr>
          <w:p>
            <w:pPr>
              <w:spacing w:after="0"/>
              <w:rPr>
                <w:sz w:val="15"/>
                <w:szCs w:val="15"/>
                <w:color w:val="auto"/>
              </w:rPr>
            </w:pPr>
          </w:p>
        </w:tc>
        <w:tc>
          <w:tcPr>
            <w:tcW w:w="12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(156)</w:t>
            </w:r>
          </w:p>
        </w:tc>
        <w:tc>
          <w:tcPr>
            <w:tcW w:w="920" w:type="dxa"/>
            <w:vAlign w:val="bottom"/>
          </w:tcPr>
          <w:p>
            <w:pPr>
              <w:spacing w:after="0"/>
              <w:rPr>
                <w:sz w:val="15"/>
                <w:szCs w:val="15"/>
                <w:color w:val="auto"/>
              </w:rPr>
            </w:pPr>
          </w:p>
        </w:tc>
        <w:tc>
          <w:tcPr>
            <w:tcW w:w="6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5"/>
        </w:trPr>
        <w:tc>
          <w:tcPr>
            <w:tcW w:w="5040" w:type="dxa"/>
            <w:vAlign w:val="bottom"/>
          </w:tcPr>
          <w:p>
            <w:pPr>
              <w:ind w:left="620"/>
              <w:spacing w:after="0"/>
              <w:rPr>
                <w:sz w:val="20"/>
                <w:szCs w:val="20"/>
                <w:color w:val="auto"/>
              </w:rPr>
            </w:pPr>
            <w:r>
              <w:rPr>
                <w:rFonts w:ascii="Courier New" w:cs="Courier New" w:eastAsia="Courier New" w:hAnsi="Courier New"/>
                <w:sz w:val="15"/>
                <w:szCs w:val="15"/>
                <w:color w:val="auto"/>
              </w:rPr>
              <w:t>under agreements to resell</w:t>
            </w:r>
          </w:p>
        </w:tc>
        <w:tc>
          <w:tcPr>
            <w:tcW w:w="3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2"/>
                <w:szCs w:val="22"/>
                <w:color w:val="auto"/>
              </w:rPr>
            </w:pP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Total Interest Earnings Assets</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1,776</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2,044</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(268)</w:t>
            </w: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2"/>
                <w:szCs w:val="22"/>
                <w:color w:val="auto"/>
              </w:rPr>
            </w:pP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Interest Paid On:</w:t>
            </w:r>
          </w:p>
        </w:tc>
        <w:tc>
          <w:tcPr>
            <w:tcW w:w="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93</w:t>
            </w:r>
          </w:p>
        </w:tc>
        <w:tc>
          <w:tcPr>
            <w:tcW w:w="2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(1,600)</w:t>
            </w:r>
          </w:p>
        </w:tc>
        <w:tc>
          <w:tcPr>
            <w:tcW w:w="9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3"/>
              </w:rPr>
              <w:t>1,693</w:t>
            </w:r>
          </w:p>
        </w:tc>
        <w:tc>
          <w:tcPr>
            <w:tcW w:w="0" w:type="dxa"/>
            <w:vAlign w:val="bottom"/>
          </w:tcPr>
          <w:p>
            <w:pPr>
              <w:spacing w:after="0"/>
              <w:rPr>
                <w:sz w:val="1"/>
                <w:szCs w:val="1"/>
                <w:color w:val="auto"/>
              </w:rPr>
            </w:pPr>
          </w:p>
        </w:tc>
      </w:tr>
      <w:tr>
        <w:trPr>
          <w:trHeight w:val="175"/>
        </w:trPr>
        <w:tc>
          <w:tcPr>
            <w:tcW w:w="5040" w:type="dxa"/>
            <w:vAlign w:val="bottom"/>
          </w:tcPr>
          <w:p>
            <w:pPr>
              <w:ind w:left="820"/>
              <w:spacing w:after="0"/>
              <w:rPr>
                <w:sz w:val="20"/>
                <w:szCs w:val="20"/>
                <w:color w:val="auto"/>
              </w:rPr>
            </w:pPr>
            <w:r>
              <w:rPr>
                <w:rFonts w:ascii="Courier New" w:cs="Courier New" w:eastAsia="Courier New" w:hAnsi="Courier New"/>
                <w:sz w:val="15"/>
                <w:szCs w:val="15"/>
                <w:color w:val="auto"/>
              </w:rPr>
              <w:t>Savings deposits</w:t>
            </w:r>
          </w:p>
        </w:tc>
        <w:tc>
          <w:tcPr>
            <w:tcW w:w="3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ind w:left="820"/>
              <w:spacing w:after="0"/>
              <w:rPr>
                <w:sz w:val="20"/>
                <w:szCs w:val="20"/>
                <w:color w:val="auto"/>
              </w:rPr>
            </w:pPr>
            <w:r>
              <w:rPr>
                <w:rFonts w:ascii="Courier New" w:cs="Courier New" w:eastAsia="Courier New" w:hAnsi="Courier New"/>
                <w:sz w:val="15"/>
                <w:szCs w:val="15"/>
                <w:color w:val="auto"/>
              </w:rPr>
              <w:t>Other time deposits</w:t>
            </w:r>
          </w:p>
        </w:tc>
        <w:tc>
          <w:tcPr>
            <w:tcW w:w="3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241</w:t>
            </w:r>
          </w:p>
        </w:tc>
        <w:tc>
          <w:tcPr>
            <w:tcW w:w="280" w:type="dxa"/>
            <w:vAlign w:val="bottom"/>
          </w:tcPr>
          <w:p>
            <w:pPr>
              <w:spacing w:after="0"/>
              <w:rPr>
                <w:sz w:val="15"/>
                <w:szCs w:val="15"/>
                <w:color w:val="auto"/>
              </w:rPr>
            </w:pP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712</w:t>
            </w:r>
          </w:p>
        </w:tc>
        <w:tc>
          <w:tcPr>
            <w:tcW w:w="920" w:type="dxa"/>
            <w:vAlign w:val="bottom"/>
          </w:tcPr>
          <w:p>
            <w:pPr>
              <w:spacing w:after="0"/>
              <w:rPr>
                <w:sz w:val="15"/>
                <w:szCs w:val="15"/>
                <w:color w:val="auto"/>
              </w:rPr>
            </w:pP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(471)</w:t>
            </w:r>
          </w:p>
        </w:tc>
        <w:tc>
          <w:tcPr>
            <w:tcW w:w="0" w:type="dxa"/>
            <w:vAlign w:val="bottom"/>
          </w:tcPr>
          <w:p>
            <w:pPr>
              <w:spacing w:after="0"/>
              <w:rPr>
                <w:sz w:val="1"/>
                <w:szCs w:val="1"/>
                <w:color w:val="auto"/>
              </w:rPr>
            </w:pPr>
          </w:p>
        </w:tc>
      </w:tr>
      <w:tr>
        <w:trPr>
          <w:trHeight w:val="175"/>
        </w:trPr>
        <w:tc>
          <w:tcPr>
            <w:tcW w:w="5040" w:type="dxa"/>
            <w:vAlign w:val="bottom"/>
          </w:tcPr>
          <w:p>
            <w:pPr>
              <w:ind w:left="820"/>
              <w:spacing w:after="0"/>
              <w:rPr>
                <w:sz w:val="20"/>
                <w:szCs w:val="20"/>
                <w:color w:val="auto"/>
              </w:rPr>
            </w:pPr>
            <w:r>
              <w:rPr>
                <w:rFonts w:ascii="Courier New" w:cs="Courier New" w:eastAsia="Courier New" w:hAnsi="Courier New"/>
                <w:sz w:val="15"/>
                <w:szCs w:val="15"/>
                <w:color w:val="auto"/>
              </w:rPr>
              <w:t>Other borrowed</w:t>
            </w:r>
          </w:p>
        </w:tc>
        <w:tc>
          <w:tcPr>
            <w:tcW w:w="32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w:t>
            </w:r>
          </w:p>
        </w:tc>
        <w:tc>
          <w:tcPr>
            <w:tcW w:w="280" w:type="dxa"/>
            <w:vAlign w:val="bottom"/>
          </w:tcPr>
          <w:p>
            <w:pPr>
              <w:spacing w:after="0"/>
              <w:rPr>
                <w:sz w:val="15"/>
                <w:szCs w:val="15"/>
                <w:color w:val="auto"/>
              </w:rPr>
            </w:pP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5"/>
        </w:trPr>
        <w:tc>
          <w:tcPr>
            <w:tcW w:w="5040" w:type="dxa"/>
            <w:vAlign w:val="bottom"/>
          </w:tcPr>
          <w:p>
            <w:pPr>
              <w:ind w:left="820"/>
              <w:spacing w:after="0"/>
              <w:rPr>
                <w:sz w:val="20"/>
                <w:szCs w:val="20"/>
                <w:color w:val="auto"/>
              </w:rPr>
            </w:pPr>
            <w:r>
              <w:rPr>
                <w:rFonts w:ascii="Courier New" w:cs="Courier New" w:eastAsia="Courier New" w:hAnsi="Courier New"/>
                <w:sz w:val="15"/>
                <w:szCs w:val="15"/>
                <w:color w:val="auto"/>
              </w:rPr>
              <w:t>Federal funds purchased and securities</w:t>
            </w:r>
          </w:p>
        </w:tc>
        <w:tc>
          <w:tcPr>
            <w:tcW w:w="320" w:type="dxa"/>
            <w:vAlign w:val="bottom"/>
          </w:tcPr>
          <w:p>
            <w:pPr>
              <w:spacing w:after="0"/>
              <w:rPr>
                <w:sz w:val="15"/>
                <w:szCs w:val="15"/>
                <w:color w:val="auto"/>
              </w:rPr>
            </w:pPr>
          </w:p>
        </w:tc>
        <w:tc>
          <w:tcPr>
            <w:tcW w:w="1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(102)</w:t>
            </w:r>
          </w:p>
        </w:tc>
        <w:tc>
          <w:tcPr>
            <w:tcW w:w="280" w:type="dxa"/>
            <w:vAlign w:val="bottom"/>
          </w:tcPr>
          <w:p>
            <w:pPr>
              <w:spacing w:after="0"/>
              <w:rPr>
                <w:sz w:val="15"/>
                <w:szCs w:val="15"/>
                <w:color w:val="auto"/>
              </w:rPr>
            </w:pPr>
          </w:p>
        </w:tc>
        <w:tc>
          <w:tcPr>
            <w:tcW w:w="12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(124)</w:t>
            </w:r>
          </w:p>
        </w:tc>
        <w:tc>
          <w:tcPr>
            <w:tcW w:w="920" w:type="dxa"/>
            <w:vAlign w:val="bottom"/>
          </w:tcPr>
          <w:p>
            <w:pPr>
              <w:spacing w:after="0"/>
              <w:rPr>
                <w:sz w:val="15"/>
                <w:szCs w:val="15"/>
                <w:color w:val="auto"/>
              </w:rPr>
            </w:pPr>
          </w:p>
        </w:tc>
        <w:tc>
          <w:tcPr>
            <w:tcW w:w="6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5"/>
        </w:trPr>
        <w:tc>
          <w:tcPr>
            <w:tcW w:w="5040" w:type="dxa"/>
            <w:vAlign w:val="bottom"/>
          </w:tcPr>
          <w:p>
            <w:pPr>
              <w:ind w:left="1000"/>
              <w:spacing w:after="0"/>
              <w:rPr>
                <w:sz w:val="20"/>
                <w:szCs w:val="20"/>
                <w:color w:val="auto"/>
              </w:rPr>
            </w:pPr>
            <w:r>
              <w:rPr>
                <w:rFonts w:ascii="Courier New" w:cs="Courier New" w:eastAsia="Courier New" w:hAnsi="Courier New"/>
                <w:sz w:val="15"/>
                <w:szCs w:val="15"/>
                <w:color w:val="auto"/>
              </w:rPr>
              <w:t>sold under agreements to repurchase</w:t>
            </w:r>
          </w:p>
        </w:tc>
        <w:tc>
          <w:tcPr>
            <w:tcW w:w="3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2"/>
                <w:szCs w:val="22"/>
                <w:color w:val="auto"/>
              </w:rPr>
            </w:pP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040" w:type="dxa"/>
            <w:vAlign w:val="bottom"/>
          </w:tcPr>
          <w:p>
            <w:pPr>
              <w:ind w:left="1000"/>
              <w:spacing w:after="0"/>
              <w:rPr>
                <w:sz w:val="20"/>
                <w:szCs w:val="20"/>
                <w:color w:val="auto"/>
              </w:rPr>
            </w:pPr>
            <w:r>
              <w:rPr>
                <w:rFonts w:ascii="Courier New" w:cs="Courier New" w:eastAsia="Courier New" w:hAnsi="Courier New"/>
                <w:sz w:val="15"/>
                <w:szCs w:val="15"/>
                <w:color w:val="auto"/>
              </w:rPr>
              <w:t>Total Interest Bearing Liabilities</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234</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(1,012)</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1,246</w:t>
            </w: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2"/>
                <w:szCs w:val="22"/>
                <w:color w:val="auto"/>
              </w:rPr>
            </w:pP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139" w:firstLine="818"/>
        <w:spacing w:after="0" w:line="307" w:lineRule="auto"/>
        <w:rPr>
          <w:sz w:val="20"/>
          <w:szCs w:val="20"/>
          <w:color w:val="auto"/>
        </w:rPr>
      </w:pPr>
      <w:r>
        <w:rPr>
          <w:rFonts w:ascii="Courier New" w:cs="Courier New" w:eastAsia="Courier New" w:hAnsi="Courier New"/>
          <w:sz w:val="15"/>
          <w:szCs w:val="15"/>
          <w:color w:val="auto"/>
        </w:rPr>
        <w:t>The change in interest due to both rate and volume has been allocated to volume and rate changes in proportion to the relationship of the absolute dollar amounts of the change in each.</w:t>
      </w:r>
    </w:p>
    <w:p>
      <w:pPr>
        <w:sectPr>
          <w:pgSz w:w="11900" w:h="16838" w:orient="portrait"/>
          <w:cols w:equalWidth="0" w:num="1">
            <w:col w:w="10219"/>
          </w:cols>
          <w:pgMar w:left="2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5"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PORTFOLIO</w:t>
      </w:r>
    </w:p>
    <w:p>
      <w:pPr>
        <w:spacing w:after="0" w:line="180" w:lineRule="exact"/>
        <w:rPr>
          <w:sz w:val="20"/>
          <w:szCs w:val="20"/>
          <w:color w:val="auto"/>
        </w:rPr>
      </w:pPr>
    </w:p>
    <w:p>
      <w:pPr>
        <w:ind w:right="3419" w:firstLine="818"/>
        <w:spacing w:after="0" w:line="368" w:lineRule="auto"/>
        <w:rPr>
          <w:sz w:val="20"/>
          <w:szCs w:val="20"/>
          <w:color w:val="auto"/>
        </w:rPr>
      </w:pPr>
      <w:r>
        <w:rPr>
          <w:rFonts w:ascii="Courier New" w:cs="Courier New" w:eastAsia="Courier New" w:hAnsi="Courier New"/>
          <w:sz w:val="15"/>
          <w:szCs w:val="15"/>
          <w:color w:val="auto"/>
        </w:rPr>
        <w:t>The following table sets forth (dollars in thousands) the carrying amount of investment securities at the dates indicated: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1998</w:t>
            </w:r>
          </w:p>
        </w:tc>
        <w:tc>
          <w:tcPr>
            <w:tcW w:w="500" w:type="dxa"/>
            <w:vAlign w:val="bottom"/>
          </w:tcPr>
          <w:p>
            <w:pPr>
              <w:spacing w:after="0"/>
              <w:rPr>
                <w:sz w:val="15"/>
                <w:szCs w:val="15"/>
                <w:color w:val="auto"/>
              </w:rPr>
            </w:pP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4500" w:type="dxa"/>
            <w:vAlign w:val="bottom"/>
          </w:tcPr>
          <w:p>
            <w:pPr>
              <w:spacing w:after="0"/>
              <w:rPr>
                <w:sz w:val="22"/>
                <w:szCs w:val="22"/>
                <w:color w:val="auto"/>
              </w:rPr>
            </w:pPr>
          </w:p>
        </w:tc>
        <w:tc>
          <w:tcPr>
            <w:tcW w:w="2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500" w:type="dxa"/>
            <w:vAlign w:val="bottom"/>
          </w:tcPr>
          <w:p>
            <w:pPr>
              <w:spacing w:after="0"/>
              <w:rPr>
                <w:sz w:val="20"/>
                <w:szCs w:val="20"/>
                <w:color w:val="auto"/>
              </w:rPr>
            </w:pPr>
            <w:r>
              <w:rPr>
                <w:rFonts w:ascii="Courier New" w:cs="Courier New" w:eastAsia="Courier New" w:hAnsi="Courier New"/>
                <w:sz w:val="15"/>
                <w:szCs w:val="15"/>
                <w:color w:val="auto"/>
              </w:rPr>
              <w:t>U. S. Treasury and other U. S. Government</w:t>
            </w:r>
          </w:p>
        </w:tc>
        <w:tc>
          <w:tcPr>
            <w:tcW w:w="10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55,686</w:t>
            </w:r>
          </w:p>
        </w:tc>
        <w:tc>
          <w:tcPr>
            <w:tcW w:w="5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44,695</w:t>
            </w:r>
          </w:p>
        </w:tc>
        <w:tc>
          <w:tcPr>
            <w:tcW w:w="5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51,737</w:t>
            </w:r>
          </w:p>
        </w:tc>
        <w:tc>
          <w:tcPr>
            <w:tcW w:w="0" w:type="dxa"/>
            <w:vAlign w:val="bottom"/>
          </w:tcPr>
          <w:p>
            <w:pPr>
              <w:spacing w:after="0"/>
              <w:rPr>
                <w:sz w:val="1"/>
                <w:szCs w:val="1"/>
                <w:color w:val="auto"/>
              </w:rPr>
            </w:pPr>
          </w:p>
        </w:tc>
      </w:tr>
      <w:tr>
        <w:trPr>
          <w:trHeight w:val="175"/>
        </w:trPr>
        <w:tc>
          <w:tcPr>
            <w:tcW w:w="4500" w:type="dxa"/>
            <w:vAlign w:val="bottom"/>
          </w:tcPr>
          <w:p>
            <w:pPr>
              <w:ind w:left="260"/>
              <w:spacing w:after="0"/>
              <w:rPr>
                <w:sz w:val="20"/>
                <w:szCs w:val="20"/>
                <w:color w:val="auto"/>
              </w:rPr>
            </w:pPr>
            <w:r>
              <w:rPr>
                <w:rFonts w:ascii="Courier New" w:cs="Courier New" w:eastAsia="Courier New" w:hAnsi="Courier New"/>
                <w:sz w:val="15"/>
                <w:szCs w:val="15"/>
                <w:color w:val="auto"/>
              </w:rPr>
              <w:t>agencies</w:t>
            </w:r>
          </w:p>
        </w:tc>
        <w:tc>
          <w:tcPr>
            <w:tcW w:w="10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State and political subdivisions</w:t>
            </w:r>
          </w:p>
        </w:tc>
        <w:tc>
          <w:tcPr>
            <w:tcW w:w="108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35,520</w:t>
            </w:r>
          </w:p>
        </w:tc>
        <w:tc>
          <w:tcPr>
            <w:tcW w:w="50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25,617</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21,678</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Mortgage-backed securities</w:t>
            </w:r>
          </w:p>
        </w:tc>
        <w:tc>
          <w:tcPr>
            <w:tcW w:w="108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10,993</w:t>
            </w:r>
          </w:p>
        </w:tc>
        <w:tc>
          <w:tcPr>
            <w:tcW w:w="50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8,991</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8,986</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Obligations of domestic corporations</w:t>
            </w:r>
          </w:p>
        </w:tc>
        <w:tc>
          <w:tcPr>
            <w:tcW w:w="108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19,115</w:t>
            </w:r>
          </w:p>
        </w:tc>
        <w:tc>
          <w:tcPr>
            <w:tcW w:w="50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10,327</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17,065</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Stocks of domestic corporations</w:t>
            </w:r>
          </w:p>
        </w:tc>
        <w:tc>
          <w:tcPr>
            <w:tcW w:w="108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2,597</w:t>
            </w:r>
          </w:p>
        </w:tc>
        <w:tc>
          <w:tcPr>
            <w:tcW w:w="50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2,420</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2,255</w:t>
            </w:r>
          </w:p>
        </w:tc>
        <w:tc>
          <w:tcPr>
            <w:tcW w:w="0" w:type="dxa"/>
            <w:vAlign w:val="bottom"/>
          </w:tcPr>
          <w:p>
            <w:pPr>
              <w:spacing w:after="0"/>
              <w:rPr>
                <w:sz w:val="1"/>
                <w:szCs w:val="1"/>
                <w:color w:val="auto"/>
              </w:rPr>
            </w:pPr>
          </w:p>
        </w:tc>
      </w:tr>
      <w:tr>
        <w:trPr>
          <w:trHeight w:val="256"/>
        </w:trPr>
        <w:tc>
          <w:tcPr>
            <w:tcW w:w="4500" w:type="dxa"/>
            <w:vAlign w:val="bottom"/>
          </w:tcPr>
          <w:p>
            <w:pPr>
              <w:spacing w:after="0"/>
              <w:rPr>
                <w:sz w:val="22"/>
                <w:szCs w:val="22"/>
                <w:color w:val="auto"/>
              </w:rPr>
            </w:pPr>
          </w:p>
        </w:tc>
        <w:tc>
          <w:tcPr>
            <w:tcW w:w="2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5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123,911</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92,050</w:t>
            </w:r>
          </w:p>
        </w:tc>
        <w:tc>
          <w:tcPr>
            <w:tcW w:w="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101,721</w:t>
            </w:r>
          </w:p>
        </w:tc>
        <w:tc>
          <w:tcPr>
            <w:tcW w:w="0" w:type="dxa"/>
            <w:vAlign w:val="bottom"/>
          </w:tcPr>
          <w:p>
            <w:pPr>
              <w:spacing w:after="0"/>
              <w:rPr>
                <w:sz w:val="1"/>
                <w:szCs w:val="1"/>
                <w:color w:val="auto"/>
              </w:rPr>
            </w:pPr>
          </w:p>
        </w:tc>
      </w:tr>
      <w:tr>
        <w:trPr>
          <w:trHeight w:val="256"/>
        </w:trPr>
        <w:tc>
          <w:tcPr>
            <w:tcW w:w="4500" w:type="dxa"/>
            <w:vAlign w:val="bottom"/>
          </w:tcPr>
          <w:p>
            <w:pPr>
              <w:spacing w:after="0"/>
              <w:rPr>
                <w:sz w:val="22"/>
                <w:szCs w:val="22"/>
                <w:color w:val="auto"/>
              </w:rPr>
            </w:pPr>
          </w:p>
        </w:tc>
        <w:tc>
          <w:tcPr>
            <w:tcW w:w="2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2959" w:firstLine="818"/>
        <w:spacing w:after="0" w:line="267" w:lineRule="auto"/>
        <w:rPr>
          <w:sz w:val="20"/>
          <w:szCs w:val="20"/>
          <w:color w:val="auto"/>
        </w:rPr>
      </w:pPr>
      <w:r>
        <w:rPr>
          <w:rFonts w:ascii="Courier New" w:cs="Courier New" w:eastAsia="Courier New" w:hAnsi="Courier New"/>
          <w:sz w:val="15"/>
          <w:szCs w:val="15"/>
          <w:color w:val="auto"/>
        </w:rPr>
        <w:t>The following table sets forth (dollars in thousands) the maturities of investment securities at December 31, 1998 and the weighted average yields of such securities calculated on the basis of the cost and effective yields weighted for the scheduled maturity of each security. Tax-equivalent adjustments, using a thirty-four percent rate, have been made in yields on obligations of state and political subdivisions. Stocks of domestic corporations have not been included.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Maturities</w:t>
            </w: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6180" w:type="dxa"/>
            <w:vAlign w:val="bottom"/>
            <w:gridSpan w:val="6"/>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9"/>
              </w:rPr>
              <w:t>Within One Year</w:t>
            </w: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After One Year</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Within Five Years</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820" w:type="dxa"/>
            <w:vAlign w:val="bottom"/>
          </w:tcPr>
          <w:p>
            <w:pPr>
              <w:ind w:left="360"/>
              <w:spacing w:after="0"/>
              <w:rPr>
                <w:sz w:val="20"/>
                <w:szCs w:val="20"/>
                <w:color w:val="auto"/>
              </w:rPr>
            </w:pPr>
            <w:r>
              <w:rPr>
                <w:rFonts w:ascii="Courier New" w:cs="Courier New" w:eastAsia="Courier New" w:hAnsi="Courier New"/>
                <w:sz w:val="3"/>
                <w:szCs w:val="3"/>
                <w:color w:val="auto"/>
                <w:w w:val="87"/>
              </w:rPr>
              <w:t>----------------------------</w:t>
            </w:r>
          </w:p>
        </w:tc>
        <w:tc>
          <w:tcPr>
            <w:tcW w:w="1540" w:type="dxa"/>
            <w:vAlign w:val="bottom"/>
            <w:vMerge w:val="restart"/>
          </w:tcPr>
          <w:p>
            <w:pPr>
              <w:jc w:val="right"/>
              <w:ind w:right="744"/>
              <w:spacing w:after="0"/>
              <w:rPr>
                <w:sz w:val="20"/>
                <w:szCs w:val="20"/>
                <w:color w:val="auto"/>
              </w:rPr>
            </w:pPr>
            <w:r>
              <w:rPr>
                <w:rFonts w:ascii="Courier New" w:cs="Courier New" w:eastAsia="Courier New" w:hAnsi="Courier New"/>
                <w:sz w:val="15"/>
                <w:szCs w:val="15"/>
                <w:color w:val="auto"/>
              </w:rPr>
              <w:t>Amount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Yield</w:t>
            </w:r>
          </w:p>
        </w:tc>
        <w:tc>
          <w:tcPr>
            <w:tcW w:w="3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Amount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Yield</w:t>
            </w: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2"/>
                <w:szCs w:val="22"/>
                <w:color w:val="auto"/>
              </w:rPr>
            </w:pPr>
          </w:p>
        </w:tc>
        <w:tc>
          <w:tcPr>
            <w:tcW w:w="820" w:type="dxa"/>
            <w:vAlign w:val="bottom"/>
          </w:tcPr>
          <w:p>
            <w:pPr>
              <w:ind w:left="360"/>
              <w:spacing w:after="0"/>
              <w:rPr>
                <w:sz w:val="20"/>
                <w:szCs w:val="20"/>
                <w:color w:val="auto"/>
              </w:rPr>
            </w:pPr>
            <w:r>
              <w:rPr>
                <w:rFonts w:ascii="Courier New" w:cs="Courier New" w:eastAsia="Courier New" w:hAnsi="Courier New"/>
                <w:sz w:val="8"/>
                <w:szCs w:val="8"/>
                <w:color w:val="auto"/>
                <w:w w:val="70"/>
              </w:rPr>
              <w:t>-------------</w:t>
            </w: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260" w:type="dxa"/>
            <w:vAlign w:val="bottom"/>
          </w:tcPr>
          <w:p>
            <w:pPr>
              <w:spacing w:after="0"/>
              <w:rPr>
                <w:sz w:val="20"/>
                <w:szCs w:val="20"/>
                <w:color w:val="auto"/>
              </w:rPr>
            </w:pPr>
            <w:r>
              <w:rPr>
                <w:rFonts w:ascii="Courier New" w:cs="Courier New" w:eastAsia="Courier New" w:hAnsi="Courier New"/>
                <w:sz w:val="15"/>
                <w:szCs w:val="15"/>
                <w:color w:val="auto"/>
              </w:rPr>
              <w:t>U. S. Treasury</w:t>
            </w:r>
          </w:p>
        </w:tc>
        <w:tc>
          <w:tcPr>
            <w:tcW w:w="8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8,529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5.91%</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7,494</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6.36%</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U.S. Government agencies</w:t>
            </w:r>
          </w:p>
        </w:tc>
        <w:tc>
          <w:tcPr>
            <w:tcW w:w="820" w:type="dxa"/>
            <w:vAlign w:val="bottom"/>
          </w:tcPr>
          <w:p>
            <w:pPr>
              <w:spacing w:after="0"/>
              <w:rPr>
                <w:sz w:val="15"/>
                <w:szCs w:val="15"/>
                <w:color w:val="auto"/>
              </w:rPr>
            </w:pPr>
          </w:p>
        </w:tc>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3,590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7.26%</w:t>
            </w:r>
          </w:p>
        </w:tc>
        <w:tc>
          <w:tcPr>
            <w:tcW w:w="100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7,968</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5.93%</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Mortgaged-backed securities</w:t>
            </w:r>
          </w:p>
        </w:tc>
        <w:tc>
          <w:tcPr>
            <w:tcW w:w="820" w:type="dxa"/>
            <w:vAlign w:val="bottom"/>
          </w:tcPr>
          <w:p>
            <w:pPr>
              <w:spacing w:after="0"/>
              <w:rPr>
                <w:sz w:val="15"/>
                <w:szCs w:val="15"/>
                <w:color w:val="auto"/>
              </w:rPr>
            </w:pPr>
          </w:p>
        </w:tc>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563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6.17%</w:t>
            </w:r>
          </w:p>
        </w:tc>
        <w:tc>
          <w:tcPr>
            <w:tcW w:w="100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8,430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6.00%</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State and political subdivisions</w:t>
            </w:r>
          </w:p>
        </w:tc>
        <w:tc>
          <w:tcPr>
            <w:tcW w:w="820" w:type="dxa"/>
            <w:vAlign w:val="bottom"/>
          </w:tcPr>
          <w:p>
            <w:pPr>
              <w:spacing w:after="0"/>
              <w:rPr>
                <w:sz w:val="15"/>
                <w:szCs w:val="15"/>
                <w:color w:val="auto"/>
              </w:rPr>
            </w:pPr>
          </w:p>
        </w:tc>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2,452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8.19%</w:t>
            </w:r>
          </w:p>
        </w:tc>
        <w:tc>
          <w:tcPr>
            <w:tcW w:w="100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9,488</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8.11%</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Taxable state and political</w:t>
            </w:r>
          </w:p>
        </w:tc>
        <w:tc>
          <w:tcPr>
            <w:tcW w:w="820" w:type="dxa"/>
            <w:vAlign w:val="bottom"/>
          </w:tcPr>
          <w:p>
            <w:pPr>
              <w:spacing w:after="0"/>
              <w:rPr>
                <w:sz w:val="15"/>
                <w:szCs w:val="15"/>
                <w:color w:val="auto"/>
              </w:rPr>
            </w:pPr>
          </w:p>
        </w:tc>
        <w:tc>
          <w:tcPr>
            <w:tcW w:w="1540" w:type="dxa"/>
            <w:vAlign w:val="bottom"/>
            <w:vMerge w:val="restart"/>
          </w:tcPr>
          <w:p>
            <w:pPr>
              <w:jc w:val="right"/>
              <w:ind w:right="744"/>
              <w:spacing w:after="0"/>
              <w:rPr>
                <w:sz w:val="20"/>
                <w:szCs w:val="20"/>
                <w:color w:val="auto"/>
              </w:rPr>
            </w:pPr>
            <w:r>
              <w:rPr>
                <w:rFonts w:ascii="Courier New" w:cs="Courier New" w:eastAsia="Courier New" w:hAnsi="Courier New"/>
                <w:sz w:val="15"/>
                <w:szCs w:val="15"/>
                <w:color w:val="auto"/>
              </w:rPr>
              <w:t>1,210</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6.36%</w:t>
            </w:r>
          </w:p>
        </w:tc>
        <w:tc>
          <w:tcPr>
            <w:tcW w:w="1000" w:type="dxa"/>
            <w:vAlign w:val="bottom"/>
          </w:tcPr>
          <w:p>
            <w:pPr>
              <w:spacing w:after="0"/>
              <w:rPr>
                <w:sz w:val="15"/>
                <w:szCs w:val="15"/>
                <w:color w:val="auto"/>
              </w:rPr>
            </w:pP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3,097</w:t>
            </w:r>
          </w:p>
        </w:tc>
        <w:tc>
          <w:tcPr>
            <w:tcW w:w="12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5.90%</w:t>
            </w:r>
          </w:p>
        </w:tc>
        <w:tc>
          <w:tcPr>
            <w:tcW w:w="0" w:type="dxa"/>
            <w:vAlign w:val="bottom"/>
          </w:tcPr>
          <w:p>
            <w:pPr>
              <w:spacing w:after="0"/>
              <w:rPr>
                <w:sz w:val="1"/>
                <w:szCs w:val="1"/>
                <w:color w:val="auto"/>
              </w:rPr>
            </w:pPr>
          </w:p>
        </w:tc>
      </w:tr>
      <w:tr>
        <w:trPr>
          <w:trHeight w:val="175"/>
        </w:trPr>
        <w:tc>
          <w:tcPr>
            <w:tcW w:w="3260" w:type="dxa"/>
            <w:vAlign w:val="bottom"/>
          </w:tcPr>
          <w:p>
            <w:pPr>
              <w:ind w:left="260"/>
              <w:spacing w:after="0"/>
              <w:rPr>
                <w:sz w:val="20"/>
                <w:szCs w:val="20"/>
                <w:color w:val="auto"/>
              </w:rPr>
            </w:pPr>
            <w:r>
              <w:rPr>
                <w:rFonts w:ascii="Courier New" w:cs="Courier New" w:eastAsia="Courier New" w:hAnsi="Courier New"/>
                <w:sz w:val="15"/>
                <w:szCs w:val="15"/>
                <w:color w:val="auto"/>
              </w:rPr>
              <w:t>subdivisions</w:t>
            </w:r>
          </w:p>
        </w:tc>
        <w:tc>
          <w:tcPr>
            <w:tcW w:w="8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Obligations of domestic</w:t>
            </w:r>
          </w:p>
        </w:tc>
        <w:tc>
          <w:tcPr>
            <w:tcW w:w="820" w:type="dxa"/>
            <w:vAlign w:val="bottom"/>
          </w:tcPr>
          <w:p>
            <w:pPr>
              <w:spacing w:after="0"/>
              <w:rPr>
                <w:sz w:val="15"/>
                <w:szCs w:val="15"/>
                <w:color w:val="auto"/>
              </w:rPr>
            </w:pPr>
          </w:p>
        </w:tc>
        <w:tc>
          <w:tcPr>
            <w:tcW w:w="1540" w:type="dxa"/>
            <w:vAlign w:val="bottom"/>
            <w:vMerge w:val="restart"/>
          </w:tcPr>
          <w:p>
            <w:pPr>
              <w:jc w:val="right"/>
              <w:ind w:right="744"/>
              <w:spacing w:after="0"/>
              <w:rPr>
                <w:sz w:val="20"/>
                <w:szCs w:val="20"/>
                <w:color w:val="auto"/>
              </w:rPr>
            </w:pPr>
            <w:r>
              <w:rPr>
                <w:rFonts w:ascii="Courier New" w:cs="Courier New" w:eastAsia="Courier New" w:hAnsi="Courier New"/>
                <w:sz w:val="15"/>
                <w:szCs w:val="15"/>
                <w:color w:val="auto"/>
              </w:rPr>
              <w:t>4,799</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6.36%</w:t>
            </w:r>
          </w:p>
        </w:tc>
        <w:tc>
          <w:tcPr>
            <w:tcW w:w="1000" w:type="dxa"/>
            <w:vAlign w:val="bottom"/>
          </w:tcPr>
          <w:p>
            <w:pPr>
              <w:spacing w:after="0"/>
              <w:rPr>
                <w:sz w:val="15"/>
                <w:szCs w:val="15"/>
                <w:color w:val="auto"/>
              </w:rPr>
            </w:pP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14,106</w:t>
            </w:r>
          </w:p>
        </w:tc>
        <w:tc>
          <w:tcPr>
            <w:tcW w:w="12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5.90%</w:t>
            </w:r>
          </w:p>
        </w:tc>
        <w:tc>
          <w:tcPr>
            <w:tcW w:w="0" w:type="dxa"/>
            <w:vAlign w:val="bottom"/>
          </w:tcPr>
          <w:p>
            <w:pPr>
              <w:spacing w:after="0"/>
              <w:rPr>
                <w:sz w:val="1"/>
                <w:szCs w:val="1"/>
                <w:color w:val="auto"/>
              </w:rPr>
            </w:pPr>
          </w:p>
        </w:tc>
      </w:tr>
      <w:tr>
        <w:trPr>
          <w:trHeight w:val="256"/>
        </w:trPr>
        <w:tc>
          <w:tcPr>
            <w:tcW w:w="3260" w:type="dxa"/>
            <w:vAlign w:val="bottom"/>
          </w:tcPr>
          <w:p>
            <w:pPr>
              <w:ind w:left="260"/>
              <w:spacing w:after="0"/>
              <w:rPr>
                <w:sz w:val="20"/>
                <w:szCs w:val="20"/>
                <w:color w:val="auto"/>
              </w:rPr>
            </w:pPr>
            <w:r>
              <w:rPr>
                <w:rFonts w:ascii="Courier New" w:cs="Courier New" w:eastAsia="Courier New" w:hAnsi="Courier New"/>
                <w:sz w:val="15"/>
                <w:szCs w:val="15"/>
                <w:color w:val="auto"/>
              </w:rPr>
              <w:t>corporations</w:t>
            </w:r>
          </w:p>
        </w:tc>
        <w:tc>
          <w:tcPr>
            <w:tcW w:w="820" w:type="dxa"/>
            <w:vAlign w:val="bottom"/>
          </w:tcPr>
          <w:p>
            <w:pPr>
              <w:spacing w:after="0"/>
              <w:rPr>
                <w:sz w:val="22"/>
                <w:szCs w:val="22"/>
                <w:color w:val="auto"/>
              </w:rPr>
            </w:pPr>
          </w:p>
        </w:tc>
        <w:tc>
          <w:tcPr>
            <w:tcW w:w="1540" w:type="dxa"/>
            <w:vAlign w:val="bottom"/>
            <w:vMerge w:val="continue"/>
          </w:tcPr>
          <w:p>
            <w:pPr>
              <w:spacing w:after="0"/>
              <w:rPr>
                <w:sz w:val="22"/>
                <w:szCs w:val="22"/>
                <w:color w:val="auto"/>
              </w:rPr>
            </w:pPr>
          </w:p>
        </w:tc>
        <w:tc>
          <w:tcPr>
            <w:tcW w:w="600" w:type="dxa"/>
            <w:vAlign w:val="bottom"/>
            <w:vMerge w:val="continue"/>
          </w:tcPr>
          <w:p>
            <w:pPr>
              <w:spacing w:after="0"/>
              <w:rPr>
                <w:sz w:val="22"/>
                <w:szCs w:val="22"/>
                <w:color w:val="auto"/>
              </w:rPr>
            </w:pPr>
          </w:p>
        </w:tc>
        <w:tc>
          <w:tcPr>
            <w:tcW w:w="10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3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Maturities</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6180" w:type="dxa"/>
            <w:vAlign w:val="bottom"/>
            <w:gridSpan w:val="6"/>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After Five Years</w:t>
            </w: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20" w:type="dxa"/>
            <w:vAlign w:val="bottom"/>
            <w:gridSpan w:val="2"/>
            <w:vMerge w:val="restart"/>
          </w:tcPr>
          <w:p>
            <w:pPr>
              <w:ind w:left="220"/>
              <w:spacing w:after="0"/>
              <w:rPr>
                <w:sz w:val="20"/>
                <w:szCs w:val="20"/>
                <w:color w:val="auto"/>
              </w:rPr>
            </w:pPr>
            <w:r>
              <w:rPr>
                <w:rFonts w:ascii="Courier New" w:cs="Courier New" w:eastAsia="Courier New" w:hAnsi="Courier New"/>
                <w:sz w:val="15"/>
                <w:szCs w:val="15"/>
                <w:color w:val="auto"/>
              </w:rPr>
              <w:t>After Ten Years</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Within Ten Years</w:t>
            </w: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260" w:type="dxa"/>
            <w:vAlign w:val="bottom"/>
          </w:tcPr>
          <w:p>
            <w:pPr>
              <w:spacing w:after="0"/>
              <w:rPr>
                <w:sz w:val="12"/>
                <w:szCs w:val="12"/>
                <w:color w:val="auto"/>
              </w:rPr>
            </w:pPr>
          </w:p>
        </w:tc>
        <w:tc>
          <w:tcPr>
            <w:tcW w:w="920" w:type="dxa"/>
            <w:vAlign w:val="bottom"/>
          </w:tcPr>
          <w:p>
            <w:pPr>
              <w:ind w:left="360"/>
              <w:spacing w:after="0"/>
              <w:rPr>
                <w:sz w:val="20"/>
                <w:szCs w:val="20"/>
                <w:color w:val="auto"/>
              </w:rPr>
            </w:pPr>
            <w:r>
              <w:rPr>
                <w:rFonts w:ascii="Courier New" w:cs="Courier New" w:eastAsia="Courier New" w:hAnsi="Courier New"/>
                <w:sz w:val="4"/>
                <w:szCs w:val="4"/>
                <w:color w:val="auto"/>
                <w:w w:val="74"/>
              </w:rPr>
              <w:t>------------------------------</w:t>
            </w:r>
          </w:p>
        </w:tc>
        <w:tc>
          <w:tcPr>
            <w:tcW w:w="8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w w:val="96"/>
              </w:rPr>
              <w:t>Amount</w:t>
            </w:r>
          </w:p>
        </w:tc>
        <w:tc>
          <w:tcPr>
            <w:tcW w:w="158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Yield</w:t>
            </w:r>
          </w:p>
        </w:tc>
        <w:tc>
          <w:tcPr>
            <w:tcW w:w="2860" w:type="dxa"/>
            <w:vAlign w:val="bottom"/>
            <w:gridSpan w:val="3"/>
          </w:tcPr>
          <w:p>
            <w:pPr>
              <w:jc w:val="right"/>
              <w:spacing w:after="0" w:line="147"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Amount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Yield</w:t>
            </w: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2"/>
                <w:szCs w:val="22"/>
                <w:color w:val="auto"/>
              </w:rPr>
            </w:pPr>
          </w:p>
        </w:tc>
        <w:tc>
          <w:tcPr>
            <w:tcW w:w="17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260" w:type="dxa"/>
            <w:vAlign w:val="bottom"/>
          </w:tcPr>
          <w:p>
            <w:pPr>
              <w:spacing w:after="0"/>
              <w:rPr>
                <w:sz w:val="20"/>
                <w:szCs w:val="20"/>
                <w:color w:val="auto"/>
              </w:rPr>
            </w:pPr>
            <w:r>
              <w:rPr>
                <w:rFonts w:ascii="Courier New" w:cs="Courier New" w:eastAsia="Courier New" w:hAnsi="Courier New"/>
                <w:sz w:val="15"/>
                <w:szCs w:val="15"/>
                <w:color w:val="auto"/>
              </w:rPr>
              <w:t>U. S. Treasury</w:t>
            </w:r>
          </w:p>
        </w:tc>
        <w:tc>
          <w:tcPr>
            <w:tcW w:w="9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N/A</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U. S. Government agencies</w:t>
            </w:r>
          </w:p>
        </w:tc>
        <w:tc>
          <w:tcPr>
            <w:tcW w:w="920" w:type="dxa"/>
            <w:vAlign w:val="bottom"/>
          </w:tcPr>
          <w:p>
            <w:pPr>
              <w:spacing w:after="0"/>
              <w:rPr>
                <w:sz w:val="15"/>
                <w:szCs w:val="15"/>
                <w:color w:val="auto"/>
              </w:rPr>
            </w:pPr>
          </w:p>
        </w:tc>
        <w:tc>
          <w:tcPr>
            <w:tcW w:w="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26,420</w:t>
            </w:r>
          </w:p>
        </w:tc>
        <w:tc>
          <w:tcPr>
            <w:tcW w:w="15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5.34%</w:t>
            </w:r>
          </w:p>
        </w:tc>
        <w:tc>
          <w:tcPr>
            <w:tcW w:w="42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Mortgage-backed securities</w:t>
            </w:r>
          </w:p>
        </w:tc>
        <w:tc>
          <w:tcPr>
            <w:tcW w:w="920" w:type="dxa"/>
            <w:vAlign w:val="bottom"/>
          </w:tcPr>
          <w:p>
            <w:pPr>
              <w:spacing w:after="0"/>
              <w:rPr>
                <w:sz w:val="15"/>
                <w:szCs w:val="15"/>
                <w:color w:val="auto"/>
              </w:rPr>
            </w:pPr>
          </w:p>
        </w:tc>
        <w:tc>
          <w:tcPr>
            <w:tcW w:w="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1,993</w:t>
            </w:r>
          </w:p>
        </w:tc>
        <w:tc>
          <w:tcPr>
            <w:tcW w:w="15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5.64%</w:t>
            </w:r>
          </w:p>
        </w:tc>
        <w:tc>
          <w:tcPr>
            <w:tcW w:w="42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State and political subdivisions</w:t>
            </w:r>
          </w:p>
        </w:tc>
        <w:tc>
          <w:tcPr>
            <w:tcW w:w="920" w:type="dxa"/>
            <w:vAlign w:val="bottom"/>
          </w:tcPr>
          <w:p>
            <w:pPr>
              <w:spacing w:after="0"/>
              <w:rPr>
                <w:sz w:val="15"/>
                <w:szCs w:val="15"/>
                <w:color w:val="auto"/>
              </w:rPr>
            </w:pPr>
          </w:p>
        </w:tc>
        <w:tc>
          <w:tcPr>
            <w:tcW w:w="8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10,020</w:t>
            </w:r>
          </w:p>
        </w:tc>
        <w:tc>
          <w:tcPr>
            <w:tcW w:w="15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7.96%</w:t>
            </w:r>
          </w:p>
        </w:tc>
        <w:tc>
          <w:tcPr>
            <w:tcW w:w="42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7,430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9.57%</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Taxable state and political</w:t>
            </w:r>
          </w:p>
        </w:tc>
        <w:tc>
          <w:tcPr>
            <w:tcW w:w="920" w:type="dxa"/>
            <w:vAlign w:val="bottom"/>
          </w:tcPr>
          <w:p>
            <w:pPr>
              <w:spacing w:after="0"/>
              <w:rPr>
                <w:sz w:val="15"/>
                <w:szCs w:val="15"/>
                <w:color w:val="auto"/>
              </w:rPr>
            </w:pPr>
          </w:p>
        </w:tc>
        <w:tc>
          <w:tcPr>
            <w:tcW w:w="8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422</w:t>
            </w:r>
          </w:p>
        </w:tc>
        <w:tc>
          <w:tcPr>
            <w:tcW w:w="158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5.75%</w:t>
            </w:r>
          </w:p>
        </w:tc>
        <w:tc>
          <w:tcPr>
            <w:tcW w:w="420" w:type="dxa"/>
            <w:vAlign w:val="bottom"/>
          </w:tcPr>
          <w:p>
            <w:pPr>
              <w:spacing w:after="0"/>
              <w:rPr>
                <w:sz w:val="15"/>
                <w:szCs w:val="15"/>
                <w:color w:val="auto"/>
              </w:rPr>
            </w:pPr>
          </w:p>
        </w:tc>
        <w:tc>
          <w:tcPr>
            <w:tcW w:w="1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12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5"/>
        </w:trPr>
        <w:tc>
          <w:tcPr>
            <w:tcW w:w="3260" w:type="dxa"/>
            <w:vAlign w:val="bottom"/>
          </w:tcPr>
          <w:p>
            <w:pPr>
              <w:ind w:left="260"/>
              <w:spacing w:after="0"/>
              <w:rPr>
                <w:sz w:val="20"/>
                <w:szCs w:val="20"/>
                <w:color w:val="auto"/>
              </w:rPr>
            </w:pPr>
            <w:r>
              <w:rPr>
                <w:rFonts w:ascii="Courier New" w:cs="Courier New" w:eastAsia="Courier New" w:hAnsi="Courier New"/>
                <w:sz w:val="15"/>
                <w:szCs w:val="15"/>
                <w:color w:val="auto"/>
              </w:rPr>
              <w:t>subdivisions</w:t>
            </w:r>
          </w:p>
        </w:tc>
        <w:tc>
          <w:tcPr>
            <w:tcW w:w="9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Obligations of domestic</w:t>
            </w:r>
          </w:p>
        </w:tc>
        <w:tc>
          <w:tcPr>
            <w:tcW w:w="920" w:type="dxa"/>
            <w:vAlign w:val="bottom"/>
          </w:tcPr>
          <w:p>
            <w:pPr>
              <w:spacing w:after="0"/>
              <w:rPr>
                <w:sz w:val="15"/>
                <w:szCs w:val="15"/>
                <w:color w:val="auto"/>
              </w:rPr>
            </w:pPr>
          </w:p>
        </w:tc>
        <w:tc>
          <w:tcPr>
            <w:tcW w:w="8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0</w:t>
            </w:r>
          </w:p>
        </w:tc>
        <w:tc>
          <w:tcPr>
            <w:tcW w:w="158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N/A</w:t>
            </w:r>
          </w:p>
        </w:tc>
        <w:tc>
          <w:tcPr>
            <w:tcW w:w="420" w:type="dxa"/>
            <w:vAlign w:val="bottom"/>
          </w:tcPr>
          <w:p>
            <w:pPr>
              <w:spacing w:after="0"/>
              <w:rPr>
                <w:sz w:val="15"/>
                <w:szCs w:val="15"/>
                <w:color w:val="auto"/>
              </w:rPr>
            </w:pPr>
          </w:p>
        </w:tc>
        <w:tc>
          <w:tcPr>
            <w:tcW w:w="1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12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256"/>
        </w:trPr>
        <w:tc>
          <w:tcPr>
            <w:tcW w:w="3260" w:type="dxa"/>
            <w:vAlign w:val="bottom"/>
          </w:tcPr>
          <w:p>
            <w:pPr>
              <w:ind w:left="260"/>
              <w:spacing w:after="0"/>
              <w:rPr>
                <w:sz w:val="20"/>
                <w:szCs w:val="20"/>
                <w:color w:val="auto"/>
              </w:rPr>
            </w:pPr>
            <w:r>
              <w:rPr>
                <w:rFonts w:ascii="Courier New" w:cs="Courier New" w:eastAsia="Courier New" w:hAnsi="Courier New"/>
                <w:sz w:val="15"/>
                <w:szCs w:val="15"/>
                <w:color w:val="auto"/>
              </w:rPr>
              <w:t>corporations</w:t>
            </w:r>
          </w:p>
        </w:tc>
        <w:tc>
          <w:tcPr>
            <w:tcW w:w="92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158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At December 31, 1998 the company held no large block of any one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security. Except for U. S. Treasury and other U. S. Government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agencies, no one holding in debt securities exceeded $2.3 million dollars.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did hold stock in the Federal Home Loan Bank of Cincinnati at a cost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 million. This is required in order to obtain Federal Home Loan Bank loans.</w:t>
      </w:r>
    </w:p>
    <w:p>
      <w:pPr>
        <w:sectPr>
          <w:pgSz w:w="11900" w:h="16838" w:orient="portrait"/>
          <w:cols w:equalWidth="0" w:num="1">
            <w:col w:w="10219"/>
          </w:cols>
          <w:pgMar w:left="2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65" w:right="1440" w:bottom="144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PORTFOLIO</w:t>
      </w:r>
    </w:p>
    <w:p>
      <w:pPr>
        <w:spacing w:after="0" w:line="180" w:lineRule="exact"/>
        <w:rPr>
          <w:sz w:val="20"/>
          <w:szCs w:val="20"/>
          <w:color w:val="auto"/>
        </w:rPr>
      </w:pPr>
    </w:p>
    <w:p>
      <w:pPr>
        <w:ind w:right="3319" w:firstLine="818"/>
        <w:spacing w:after="0" w:line="368" w:lineRule="auto"/>
        <w:rPr>
          <w:sz w:val="20"/>
          <w:szCs w:val="20"/>
          <w:color w:val="auto"/>
        </w:rPr>
      </w:pPr>
      <w:r>
        <w:rPr>
          <w:rFonts w:ascii="Courier New" w:cs="Courier New" w:eastAsia="Courier New" w:hAnsi="Courier New"/>
          <w:sz w:val="15"/>
          <w:szCs w:val="15"/>
          <w:color w:val="auto"/>
        </w:rPr>
        <w:t>The following table shows (dollars in thousands) the company's loan distribution at the end of each of the last five years: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560" w:type="dxa"/>
            <w:vAlign w:val="bottom"/>
          </w:tcPr>
          <w:p>
            <w:pPr>
              <w:spacing w:after="0"/>
              <w:rPr>
                <w:sz w:val="15"/>
                <w:szCs w:val="15"/>
                <w:color w:val="auto"/>
              </w:rPr>
            </w:pP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5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4120" w:type="dxa"/>
            <w:vAlign w:val="bottom"/>
            <w:vMerge w:val="restart"/>
          </w:tcPr>
          <w:p>
            <w:pPr>
              <w:spacing w:after="0"/>
              <w:rPr>
                <w:sz w:val="20"/>
                <w:szCs w:val="20"/>
                <w:color w:val="auto"/>
              </w:rPr>
            </w:pPr>
            <w:r>
              <w:rPr>
                <w:rFonts w:ascii="Courier New" w:cs="Courier New" w:eastAsia="Courier New" w:hAnsi="Courier New"/>
                <w:sz w:val="15"/>
                <w:szCs w:val="15"/>
                <w:color w:val="auto"/>
              </w:rPr>
              <w:t>Loans:</w:t>
            </w:r>
          </w:p>
        </w:tc>
        <w:tc>
          <w:tcPr>
            <w:tcW w:w="25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2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Commercial and industrial</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87,266</w:t>
            </w:r>
          </w:p>
        </w:tc>
        <w:tc>
          <w:tcPr>
            <w:tcW w:w="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65,633</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67,763</w:t>
            </w:r>
          </w:p>
        </w:tc>
        <w:tc>
          <w:tcPr>
            <w:tcW w:w="0" w:type="dxa"/>
            <w:vAlign w:val="bottom"/>
          </w:tcPr>
          <w:p>
            <w:pPr>
              <w:spacing w:after="0"/>
              <w:rPr>
                <w:sz w:val="1"/>
                <w:szCs w:val="1"/>
                <w:color w:val="auto"/>
              </w:rPr>
            </w:pPr>
          </w:p>
        </w:tc>
      </w:tr>
      <w:tr>
        <w:trPr>
          <w:trHeight w:val="175"/>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Agricultural</w:t>
            </w:r>
          </w:p>
        </w:tc>
        <w:tc>
          <w:tcPr>
            <w:tcW w:w="146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38,882</w:t>
            </w:r>
          </w:p>
        </w:tc>
        <w:tc>
          <w:tcPr>
            <w:tcW w:w="56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44,939</w:t>
            </w:r>
          </w:p>
        </w:tc>
        <w:tc>
          <w:tcPr>
            <w:tcW w:w="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41,195</w:t>
            </w:r>
          </w:p>
        </w:tc>
        <w:tc>
          <w:tcPr>
            <w:tcW w:w="0" w:type="dxa"/>
            <w:vAlign w:val="bottom"/>
          </w:tcPr>
          <w:p>
            <w:pPr>
              <w:spacing w:after="0"/>
              <w:rPr>
                <w:sz w:val="1"/>
                <w:szCs w:val="1"/>
                <w:color w:val="auto"/>
              </w:rPr>
            </w:pPr>
          </w:p>
        </w:tc>
      </w:tr>
      <w:tr>
        <w:trPr>
          <w:trHeight w:val="175"/>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Real estate - mortgage</w:t>
            </w:r>
          </w:p>
        </w:tc>
        <w:tc>
          <w:tcPr>
            <w:tcW w:w="146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200,675</w:t>
            </w:r>
          </w:p>
        </w:tc>
        <w:tc>
          <w:tcPr>
            <w:tcW w:w="56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205,626</w:t>
            </w:r>
          </w:p>
        </w:tc>
        <w:tc>
          <w:tcPr>
            <w:tcW w:w="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195,043</w:t>
            </w:r>
          </w:p>
        </w:tc>
        <w:tc>
          <w:tcPr>
            <w:tcW w:w="0" w:type="dxa"/>
            <w:vAlign w:val="bottom"/>
          </w:tcPr>
          <w:p>
            <w:pPr>
              <w:spacing w:after="0"/>
              <w:rPr>
                <w:sz w:val="1"/>
                <w:szCs w:val="1"/>
                <w:color w:val="auto"/>
              </w:rPr>
            </w:pPr>
          </w:p>
        </w:tc>
      </w:tr>
      <w:tr>
        <w:trPr>
          <w:trHeight w:val="175"/>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Installment</w:t>
            </w:r>
          </w:p>
        </w:tc>
        <w:tc>
          <w:tcPr>
            <w:tcW w:w="146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68,385</w:t>
            </w:r>
          </w:p>
        </w:tc>
        <w:tc>
          <w:tcPr>
            <w:tcW w:w="56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75,767</w:t>
            </w:r>
          </w:p>
        </w:tc>
        <w:tc>
          <w:tcPr>
            <w:tcW w:w="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63,199</w:t>
            </w:r>
          </w:p>
        </w:tc>
        <w:tc>
          <w:tcPr>
            <w:tcW w:w="0" w:type="dxa"/>
            <w:vAlign w:val="bottom"/>
          </w:tcPr>
          <w:p>
            <w:pPr>
              <w:spacing w:after="0"/>
              <w:rPr>
                <w:sz w:val="1"/>
                <w:szCs w:val="1"/>
                <w:color w:val="auto"/>
              </w:rPr>
            </w:pPr>
          </w:p>
        </w:tc>
      </w:tr>
      <w:tr>
        <w:trPr>
          <w:trHeight w:val="175"/>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Commercial paper</w:t>
            </w:r>
          </w:p>
        </w:tc>
        <w:tc>
          <w:tcPr>
            <w:tcW w:w="146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13,648</w:t>
            </w:r>
          </w:p>
        </w:tc>
        <w:tc>
          <w:tcPr>
            <w:tcW w:w="56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7,837</w:t>
            </w:r>
          </w:p>
        </w:tc>
        <w:tc>
          <w:tcPr>
            <w:tcW w:w="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3,959</w:t>
            </w:r>
          </w:p>
        </w:tc>
        <w:tc>
          <w:tcPr>
            <w:tcW w:w="0" w:type="dxa"/>
            <w:vAlign w:val="bottom"/>
          </w:tcPr>
          <w:p>
            <w:pPr>
              <w:spacing w:after="0"/>
              <w:rPr>
                <w:sz w:val="1"/>
                <w:szCs w:val="1"/>
                <w:color w:val="auto"/>
              </w:rPr>
            </w:pPr>
          </w:p>
        </w:tc>
      </w:tr>
      <w:tr>
        <w:trPr>
          <w:trHeight w:val="175"/>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Industrial Development Bonds</w:t>
            </w:r>
          </w:p>
        </w:tc>
        <w:tc>
          <w:tcPr>
            <w:tcW w:w="146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4,587</w:t>
            </w:r>
          </w:p>
        </w:tc>
        <w:tc>
          <w:tcPr>
            <w:tcW w:w="56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4,511</w:t>
            </w:r>
          </w:p>
        </w:tc>
        <w:tc>
          <w:tcPr>
            <w:tcW w:w="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3,670</w:t>
            </w:r>
          </w:p>
        </w:tc>
        <w:tc>
          <w:tcPr>
            <w:tcW w:w="0" w:type="dxa"/>
            <w:vAlign w:val="bottom"/>
          </w:tcPr>
          <w:p>
            <w:pPr>
              <w:spacing w:after="0"/>
              <w:rPr>
                <w:sz w:val="1"/>
                <w:szCs w:val="1"/>
                <w:color w:val="auto"/>
              </w:rPr>
            </w:pPr>
          </w:p>
        </w:tc>
      </w:tr>
      <w:tr>
        <w:trPr>
          <w:trHeight w:val="175"/>
        </w:trPr>
        <w:tc>
          <w:tcPr>
            <w:tcW w:w="41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Loans</w:t>
            </w:r>
          </w:p>
        </w:tc>
        <w:tc>
          <w:tcPr>
            <w:tcW w:w="25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20" w:type="dxa"/>
            <w:vAlign w:val="bottom"/>
            <w:vMerge w:val="continue"/>
          </w:tcPr>
          <w:p>
            <w:pPr>
              <w:spacing w:after="0"/>
              <w:rPr>
                <w:sz w:val="15"/>
                <w:szCs w:val="15"/>
                <w:color w:val="auto"/>
              </w:rPr>
            </w:pP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413,443</w:t>
            </w:r>
          </w:p>
        </w:tc>
        <w:tc>
          <w:tcPr>
            <w:tcW w:w="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404,313</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374,829</w:t>
            </w:r>
          </w:p>
        </w:tc>
        <w:tc>
          <w:tcPr>
            <w:tcW w:w="0" w:type="dxa"/>
            <w:vAlign w:val="bottom"/>
          </w:tcPr>
          <w:p>
            <w:pPr>
              <w:spacing w:after="0"/>
              <w:rPr>
                <w:sz w:val="1"/>
                <w:szCs w:val="1"/>
                <w:color w:val="auto"/>
              </w:rPr>
            </w:pPr>
          </w:p>
        </w:tc>
      </w:tr>
      <w:tr>
        <w:trPr>
          <w:trHeight w:val="256"/>
        </w:trPr>
        <w:tc>
          <w:tcPr>
            <w:tcW w:w="4120" w:type="dxa"/>
            <w:vAlign w:val="bottom"/>
          </w:tcPr>
          <w:p>
            <w:pPr>
              <w:spacing w:after="0"/>
              <w:rPr>
                <w:sz w:val="22"/>
                <w:szCs w:val="22"/>
                <w:color w:val="auto"/>
              </w:rPr>
            </w:pPr>
          </w:p>
        </w:tc>
        <w:tc>
          <w:tcPr>
            <w:tcW w:w="25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1995</w:t>
            </w:r>
          </w:p>
        </w:tc>
        <w:tc>
          <w:tcPr>
            <w:tcW w:w="500" w:type="dxa"/>
            <w:vAlign w:val="bottom"/>
          </w:tcPr>
          <w:p>
            <w:pPr>
              <w:spacing w:after="0"/>
              <w:rPr>
                <w:sz w:val="23"/>
                <w:szCs w:val="23"/>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6"/>
        </w:trPr>
        <w:tc>
          <w:tcPr>
            <w:tcW w:w="4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412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Commercial and industrial</w:t>
            </w:r>
          </w:p>
        </w:tc>
        <w:tc>
          <w:tcPr>
            <w:tcW w:w="1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58,987</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65,848</w:t>
            </w:r>
          </w:p>
        </w:tc>
        <w:tc>
          <w:tcPr>
            <w:tcW w:w="0" w:type="dxa"/>
            <w:vAlign w:val="bottom"/>
          </w:tcPr>
          <w:p>
            <w:pPr>
              <w:spacing w:after="0"/>
              <w:rPr>
                <w:sz w:val="1"/>
                <w:szCs w:val="1"/>
                <w:color w:val="auto"/>
              </w:rPr>
            </w:pPr>
          </w:p>
        </w:tc>
      </w:tr>
      <w:tr>
        <w:trPr>
          <w:trHeight w:val="175"/>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Agricultural</w:t>
            </w: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41,328</w:t>
            </w:r>
          </w:p>
        </w:tc>
        <w:tc>
          <w:tcPr>
            <w:tcW w:w="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29,586</w:t>
            </w:r>
          </w:p>
        </w:tc>
        <w:tc>
          <w:tcPr>
            <w:tcW w:w="0" w:type="dxa"/>
            <w:vAlign w:val="bottom"/>
          </w:tcPr>
          <w:p>
            <w:pPr>
              <w:spacing w:after="0"/>
              <w:rPr>
                <w:sz w:val="1"/>
                <w:szCs w:val="1"/>
                <w:color w:val="auto"/>
              </w:rPr>
            </w:pPr>
          </w:p>
        </w:tc>
      </w:tr>
      <w:tr>
        <w:trPr>
          <w:trHeight w:val="175"/>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Real estate - mortgage</w:t>
            </w: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173,302</w:t>
            </w:r>
          </w:p>
        </w:tc>
        <w:tc>
          <w:tcPr>
            <w:tcW w:w="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145,576</w:t>
            </w:r>
          </w:p>
        </w:tc>
        <w:tc>
          <w:tcPr>
            <w:tcW w:w="0" w:type="dxa"/>
            <w:vAlign w:val="bottom"/>
          </w:tcPr>
          <w:p>
            <w:pPr>
              <w:spacing w:after="0"/>
              <w:rPr>
                <w:sz w:val="1"/>
                <w:szCs w:val="1"/>
                <w:color w:val="auto"/>
              </w:rPr>
            </w:pPr>
          </w:p>
        </w:tc>
      </w:tr>
      <w:tr>
        <w:trPr>
          <w:trHeight w:val="175"/>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Installment</w:t>
            </w: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61,021</w:t>
            </w:r>
          </w:p>
        </w:tc>
        <w:tc>
          <w:tcPr>
            <w:tcW w:w="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62,462</w:t>
            </w:r>
          </w:p>
        </w:tc>
        <w:tc>
          <w:tcPr>
            <w:tcW w:w="0" w:type="dxa"/>
            <w:vAlign w:val="bottom"/>
          </w:tcPr>
          <w:p>
            <w:pPr>
              <w:spacing w:after="0"/>
              <w:rPr>
                <w:sz w:val="1"/>
                <w:szCs w:val="1"/>
                <w:color w:val="auto"/>
              </w:rPr>
            </w:pPr>
          </w:p>
        </w:tc>
      </w:tr>
      <w:tr>
        <w:trPr>
          <w:trHeight w:val="175"/>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Commercial paper</w:t>
            </w: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7,604</w:t>
            </w:r>
          </w:p>
        </w:tc>
        <w:tc>
          <w:tcPr>
            <w:tcW w:w="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2,019</w:t>
            </w:r>
          </w:p>
        </w:tc>
        <w:tc>
          <w:tcPr>
            <w:tcW w:w="0" w:type="dxa"/>
            <w:vAlign w:val="bottom"/>
          </w:tcPr>
          <w:p>
            <w:pPr>
              <w:spacing w:after="0"/>
              <w:rPr>
                <w:sz w:val="1"/>
                <w:szCs w:val="1"/>
                <w:color w:val="auto"/>
              </w:rPr>
            </w:pPr>
          </w:p>
        </w:tc>
      </w:tr>
      <w:tr>
        <w:trPr>
          <w:trHeight w:val="175"/>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Industrial Development Bonds</w:t>
            </w: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3,336</w:t>
            </w:r>
          </w:p>
        </w:tc>
        <w:tc>
          <w:tcPr>
            <w:tcW w:w="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1,826</w:t>
            </w:r>
          </w:p>
        </w:tc>
        <w:tc>
          <w:tcPr>
            <w:tcW w:w="0" w:type="dxa"/>
            <w:vAlign w:val="bottom"/>
          </w:tcPr>
          <w:p>
            <w:pPr>
              <w:spacing w:after="0"/>
              <w:rPr>
                <w:sz w:val="1"/>
                <w:szCs w:val="1"/>
                <w:color w:val="auto"/>
              </w:rPr>
            </w:pPr>
          </w:p>
        </w:tc>
      </w:tr>
      <w:tr>
        <w:trPr>
          <w:trHeight w:val="175"/>
        </w:trPr>
        <w:tc>
          <w:tcPr>
            <w:tcW w:w="41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Loans</w:t>
            </w: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2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345,578</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307,317</w:t>
            </w:r>
          </w:p>
        </w:tc>
        <w:tc>
          <w:tcPr>
            <w:tcW w:w="0" w:type="dxa"/>
            <w:vAlign w:val="bottom"/>
          </w:tcPr>
          <w:p>
            <w:pPr>
              <w:spacing w:after="0"/>
              <w:rPr>
                <w:sz w:val="1"/>
                <w:szCs w:val="1"/>
                <w:color w:val="auto"/>
              </w:rPr>
            </w:pPr>
          </w:p>
        </w:tc>
      </w:tr>
      <w:tr>
        <w:trPr>
          <w:trHeight w:val="256"/>
        </w:trPr>
        <w:tc>
          <w:tcPr>
            <w:tcW w:w="4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shows (dollars in thousands) the maturity of loans: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0" w:type="dxa"/>
            <w:vAlign w:val="bottom"/>
            <w:gridSpan w:val="3"/>
          </w:tcPr>
          <w:p>
            <w:pPr>
              <w:jc w:val="right"/>
              <w:ind w:right="1104"/>
              <w:spacing w:after="0"/>
              <w:rPr>
                <w:sz w:val="20"/>
                <w:szCs w:val="20"/>
                <w:color w:val="auto"/>
              </w:rPr>
            </w:pPr>
            <w:r>
              <w:rPr>
                <w:rFonts w:ascii="Courier New" w:cs="Courier New" w:eastAsia="Courier New" w:hAnsi="Courier New"/>
                <w:sz w:val="15"/>
                <w:szCs w:val="15"/>
                <w:color w:val="auto"/>
              </w:rPr>
              <w:t>Maturities</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65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vMerge w:val="restart"/>
          </w:tcPr>
          <w:p>
            <w:pPr>
              <w:jc w:val="right"/>
              <w:ind w:right="604"/>
              <w:spacing w:after="0"/>
              <w:rPr>
                <w:sz w:val="20"/>
                <w:szCs w:val="20"/>
                <w:color w:val="auto"/>
              </w:rPr>
            </w:pPr>
            <w:r>
              <w:rPr>
                <w:rFonts w:ascii="Courier New" w:cs="Courier New" w:eastAsia="Courier New" w:hAnsi="Courier New"/>
                <w:sz w:val="15"/>
                <w:szCs w:val="15"/>
                <w:color w:val="auto"/>
              </w:rPr>
              <w:t>Within</w:t>
            </w:r>
          </w:p>
        </w:tc>
        <w:tc>
          <w:tcPr>
            <w:tcW w:w="32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After One</w:t>
            </w:r>
          </w:p>
        </w:tc>
        <w:tc>
          <w:tcPr>
            <w:tcW w:w="280" w:type="dxa"/>
            <w:vAlign w:val="bottom"/>
          </w:tcPr>
          <w:p>
            <w:pPr>
              <w:spacing w:after="0"/>
              <w:rPr>
                <w:sz w:val="15"/>
                <w:szCs w:val="15"/>
                <w:color w:val="auto"/>
              </w:rPr>
            </w:pPr>
          </w:p>
        </w:tc>
        <w:tc>
          <w:tcPr>
            <w:tcW w:w="1460" w:type="dxa"/>
            <w:vAlign w:val="bottom"/>
            <w:vMerge w:val="restart"/>
          </w:tcPr>
          <w:p>
            <w:pPr>
              <w:jc w:val="right"/>
              <w:ind w:right="744"/>
              <w:spacing w:after="0"/>
              <w:rPr>
                <w:sz w:val="20"/>
                <w:szCs w:val="20"/>
                <w:color w:val="auto"/>
              </w:rPr>
            </w:pPr>
            <w:r>
              <w:rPr>
                <w:rFonts w:ascii="Courier New" w:cs="Courier New" w:eastAsia="Courier New" w:hAnsi="Courier New"/>
                <w:sz w:val="15"/>
                <w:szCs w:val="15"/>
                <w:color w:val="auto"/>
              </w:rPr>
              <w:t>After</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5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Year Within</w:t>
            </w:r>
          </w:p>
        </w:tc>
        <w:tc>
          <w:tcPr>
            <w:tcW w:w="2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7"/>
              </w:rPr>
              <w:t>One Year</w:t>
            </w:r>
          </w:p>
        </w:tc>
        <w:tc>
          <w:tcPr>
            <w:tcW w:w="32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Five Years</w:t>
            </w:r>
          </w:p>
        </w:tc>
        <w:tc>
          <w:tcPr>
            <w:tcW w:w="280" w:type="dxa"/>
            <w:vAlign w:val="bottom"/>
          </w:tcPr>
          <w:p>
            <w:pPr>
              <w:spacing w:after="0"/>
              <w:rPr>
                <w:sz w:val="15"/>
                <w:szCs w:val="15"/>
                <w:color w:val="auto"/>
              </w:rPr>
            </w:pP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7"/>
              </w:rPr>
              <w:t>Five Years</w:t>
            </w: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80" w:type="dxa"/>
            <w:vAlign w:val="bottom"/>
          </w:tcPr>
          <w:p>
            <w:pPr>
              <w:spacing w:after="0"/>
              <w:rPr>
                <w:sz w:val="22"/>
                <w:szCs w:val="22"/>
                <w:color w:val="auto"/>
              </w:rPr>
            </w:pPr>
          </w:p>
        </w:tc>
        <w:tc>
          <w:tcPr>
            <w:tcW w:w="1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Commercial, industrial, and</w:t>
            </w:r>
          </w:p>
        </w:tc>
        <w:tc>
          <w:tcPr>
            <w:tcW w:w="6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78,630</w:t>
            </w:r>
          </w:p>
        </w:tc>
        <w:tc>
          <w:tcPr>
            <w:tcW w:w="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30,349</w:t>
            </w:r>
          </w:p>
        </w:tc>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14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17,169</w:t>
            </w:r>
          </w:p>
        </w:tc>
        <w:tc>
          <w:tcPr>
            <w:tcW w:w="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126,148</w:t>
            </w:r>
          </w:p>
        </w:tc>
        <w:tc>
          <w:tcPr>
            <w:tcW w:w="0" w:type="dxa"/>
            <w:vAlign w:val="bottom"/>
          </w:tcPr>
          <w:p>
            <w:pPr>
              <w:spacing w:after="0"/>
              <w:rPr>
                <w:sz w:val="1"/>
                <w:szCs w:val="1"/>
                <w:color w:val="auto"/>
              </w:rPr>
            </w:pPr>
          </w:p>
        </w:tc>
      </w:tr>
      <w:tr>
        <w:trPr>
          <w:trHeight w:val="175"/>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agricultural (combined)</w:t>
            </w:r>
          </w:p>
        </w:tc>
        <w:tc>
          <w:tcPr>
            <w:tcW w:w="6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Real estate - mortgage</w:t>
            </w:r>
          </w:p>
        </w:tc>
        <w:tc>
          <w:tcPr>
            <w:tcW w:w="640" w:type="dxa"/>
            <w:vAlign w:val="bottom"/>
          </w:tcPr>
          <w:p>
            <w:pPr>
              <w:spacing w:after="0"/>
              <w:rPr>
                <w:sz w:val="15"/>
                <w:szCs w:val="15"/>
                <w:color w:val="auto"/>
              </w:rPr>
            </w:pP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5,437</w:t>
            </w:r>
          </w:p>
        </w:tc>
        <w:tc>
          <w:tcPr>
            <w:tcW w:w="32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8,894</w:t>
            </w:r>
          </w:p>
        </w:tc>
        <w:tc>
          <w:tcPr>
            <w:tcW w:w="280" w:type="dxa"/>
            <w:vAlign w:val="bottom"/>
          </w:tcPr>
          <w:p>
            <w:pPr>
              <w:spacing w:after="0"/>
              <w:rPr>
                <w:sz w:val="15"/>
                <w:szCs w:val="15"/>
                <w:color w:val="auto"/>
              </w:rPr>
            </w:pP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186,344</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200,675</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Installment</w:t>
            </w:r>
          </w:p>
        </w:tc>
        <w:tc>
          <w:tcPr>
            <w:tcW w:w="640" w:type="dxa"/>
            <w:vAlign w:val="bottom"/>
          </w:tcPr>
          <w:p>
            <w:pPr>
              <w:spacing w:after="0"/>
              <w:rPr>
                <w:sz w:val="15"/>
                <w:szCs w:val="15"/>
                <w:color w:val="auto"/>
              </w:rPr>
            </w:pP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11,511</w:t>
            </w:r>
          </w:p>
        </w:tc>
        <w:tc>
          <w:tcPr>
            <w:tcW w:w="32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54,577</w:t>
            </w:r>
          </w:p>
        </w:tc>
        <w:tc>
          <w:tcPr>
            <w:tcW w:w="280" w:type="dxa"/>
            <w:vAlign w:val="bottom"/>
          </w:tcPr>
          <w:p>
            <w:pPr>
              <w:spacing w:after="0"/>
              <w:rPr>
                <w:sz w:val="15"/>
                <w:szCs w:val="15"/>
                <w:color w:val="auto"/>
              </w:rPr>
            </w:pP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2,297</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68,385</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Commercial paper</w:t>
            </w:r>
          </w:p>
        </w:tc>
        <w:tc>
          <w:tcPr>
            <w:tcW w:w="640" w:type="dxa"/>
            <w:vAlign w:val="bottom"/>
          </w:tcPr>
          <w:p>
            <w:pPr>
              <w:spacing w:after="0"/>
              <w:rPr>
                <w:sz w:val="15"/>
                <w:szCs w:val="15"/>
                <w:color w:val="auto"/>
              </w:rPr>
            </w:pP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13,648</w:t>
            </w:r>
          </w:p>
        </w:tc>
        <w:tc>
          <w:tcPr>
            <w:tcW w:w="32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280" w:type="dxa"/>
            <w:vAlign w:val="bottom"/>
          </w:tcPr>
          <w:p>
            <w:pPr>
              <w:spacing w:after="0"/>
              <w:rPr>
                <w:sz w:val="15"/>
                <w:szCs w:val="15"/>
                <w:color w:val="auto"/>
              </w:rPr>
            </w:pP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13,648</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Industrial Development Bonds</w:t>
            </w:r>
          </w:p>
        </w:tc>
        <w:tc>
          <w:tcPr>
            <w:tcW w:w="640" w:type="dxa"/>
            <w:vAlign w:val="bottom"/>
          </w:tcPr>
          <w:p>
            <w:pPr>
              <w:spacing w:after="0"/>
              <w:rPr>
                <w:sz w:val="15"/>
                <w:szCs w:val="15"/>
                <w:color w:val="auto"/>
              </w:rPr>
            </w:pP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1,025</w:t>
            </w:r>
          </w:p>
        </w:tc>
        <w:tc>
          <w:tcPr>
            <w:tcW w:w="32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676</w:t>
            </w:r>
          </w:p>
        </w:tc>
        <w:tc>
          <w:tcPr>
            <w:tcW w:w="280" w:type="dxa"/>
            <w:vAlign w:val="bottom"/>
          </w:tcPr>
          <w:p>
            <w:pPr>
              <w:spacing w:after="0"/>
              <w:rPr>
                <w:sz w:val="15"/>
                <w:szCs w:val="15"/>
                <w:color w:val="auto"/>
              </w:rPr>
            </w:pP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2,886</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4,587</w:t>
            </w:r>
          </w:p>
        </w:tc>
        <w:tc>
          <w:tcPr>
            <w:tcW w:w="0" w:type="dxa"/>
            <w:vAlign w:val="bottom"/>
          </w:tcPr>
          <w:p>
            <w:pPr>
              <w:spacing w:after="0"/>
              <w:rPr>
                <w:sz w:val="1"/>
                <w:szCs w:val="1"/>
                <w:color w:val="auto"/>
              </w:rPr>
            </w:pPr>
          </w:p>
        </w:tc>
      </w:tr>
      <w:tr>
        <w:trPr>
          <w:trHeight w:val="175"/>
        </w:trPr>
        <w:tc>
          <w:tcPr>
            <w:tcW w:w="308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640" w:type="dxa"/>
            <w:vAlign w:val="bottom"/>
            <w:vMerge w:val="restart"/>
          </w:tcPr>
          <w:p>
            <w:pPr>
              <w:ind w:left="540"/>
              <w:spacing w:after="0"/>
              <w:rPr>
                <w:sz w:val="20"/>
                <w:szCs w:val="20"/>
                <w:color w:val="auto"/>
              </w:rPr>
            </w:pPr>
            <w:r>
              <w:rPr>
                <w:rFonts w:ascii="Courier New" w:cs="Courier New" w:eastAsia="Courier New" w:hAnsi="Courier New"/>
                <w:sz w:val="2"/>
                <w:szCs w:val="2"/>
                <w:color w:val="auto"/>
                <w:w w:val="92"/>
                <w:vertAlign w:val="subscript"/>
              </w:rPr>
              <w:t>$</w:t>
            </w:r>
            <w:r>
              <w:rPr>
                <w:rFonts w:ascii="Courier New" w:cs="Courier New" w:eastAsia="Courier New" w:hAnsi="Courier New"/>
                <w:sz w:val="1"/>
                <w:szCs w:val="1"/>
                <w:color w:val="auto"/>
                <w:w w:val="92"/>
              </w:rPr>
              <w:t>-------------</w:t>
            </w:r>
          </w:p>
        </w:tc>
        <w:tc>
          <w:tcPr>
            <w:tcW w:w="13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110,251</w:t>
            </w: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94,496</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208,696</w:t>
            </w: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413,443</w:t>
            </w:r>
          </w:p>
        </w:tc>
        <w:tc>
          <w:tcPr>
            <w:tcW w:w="0" w:type="dxa"/>
            <w:vAlign w:val="bottom"/>
          </w:tcPr>
          <w:p>
            <w:pPr>
              <w:spacing w:after="0"/>
              <w:rPr>
                <w:sz w:val="1"/>
                <w:szCs w:val="1"/>
                <w:color w:val="auto"/>
              </w:rPr>
            </w:pPr>
          </w:p>
        </w:tc>
      </w:tr>
      <w:tr>
        <w:trPr>
          <w:trHeight w:val="256"/>
        </w:trPr>
        <w:tc>
          <w:tcPr>
            <w:tcW w:w="3080" w:type="dxa"/>
            <w:vAlign w:val="bottom"/>
          </w:tcPr>
          <w:p>
            <w:pPr>
              <w:spacing w:after="0"/>
              <w:rPr>
                <w:sz w:val="22"/>
                <w:szCs w:val="22"/>
                <w:color w:val="auto"/>
              </w:rPr>
            </w:pPr>
          </w:p>
        </w:tc>
        <w:tc>
          <w:tcPr>
            <w:tcW w:w="19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3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0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After One Year</w:t>
            </w:r>
          </w:p>
        </w:tc>
        <w:tc>
          <w:tcPr>
            <w:tcW w:w="280" w:type="dxa"/>
            <w:vAlign w:val="bottom"/>
          </w:tcPr>
          <w:p>
            <w:pPr>
              <w:spacing w:after="0"/>
              <w:rPr>
                <w:sz w:val="24"/>
                <w:szCs w:val="24"/>
                <w:color w:val="auto"/>
              </w:rPr>
            </w:pP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After Five</w:t>
            </w:r>
          </w:p>
        </w:tc>
        <w:tc>
          <w:tcPr>
            <w:tcW w:w="260" w:type="dxa"/>
            <w:vAlign w:val="bottom"/>
          </w:tcPr>
          <w:p>
            <w:pPr>
              <w:spacing w:after="0"/>
              <w:rPr>
                <w:sz w:val="24"/>
                <w:szCs w:val="24"/>
                <w:color w:val="auto"/>
              </w:rPr>
            </w:pP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0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Within Five Years</w:t>
            </w:r>
          </w:p>
        </w:tc>
        <w:tc>
          <w:tcPr>
            <w:tcW w:w="280" w:type="dxa"/>
            <w:vAlign w:val="bottom"/>
          </w:tcPr>
          <w:p>
            <w:pPr>
              <w:spacing w:after="0"/>
              <w:rPr>
                <w:sz w:val="15"/>
                <w:szCs w:val="15"/>
                <w:color w:val="auto"/>
              </w:rPr>
            </w:pPr>
          </w:p>
        </w:tc>
        <w:tc>
          <w:tcPr>
            <w:tcW w:w="14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Years</w:t>
            </w: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80" w:type="dxa"/>
            <w:vAlign w:val="bottom"/>
          </w:tcPr>
          <w:p>
            <w:pPr>
              <w:spacing w:after="0"/>
              <w:rPr>
                <w:sz w:val="22"/>
                <w:szCs w:val="22"/>
                <w:color w:val="auto"/>
              </w:rPr>
            </w:pPr>
          </w:p>
        </w:tc>
        <w:tc>
          <w:tcPr>
            <w:tcW w:w="1960" w:type="dxa"/>
            <w:vAlign w:val="bottom"/>
            <w:gridSpan w:val="2"/>
          </w:tcPr>
          <w:p>
            <w:pPr>
              <w:ind w:left="540"/>
              <w:spacing w:after="0"/>
              <w:rPr>
                <w:sz w:val="20"/>
                <w:szCs w:val="20"/>
                <w:color w:val="auto"/>
              </w:rPr>
            </w:pPr>
            <w:r>
              <w:rPr>
                <w:rFonts w:ascii="Courier New" w:cs="Courier New" w:eastAsia="Courier New" w:hAnsi="Courier New"/>
                <w:sz w:val="10"/>
                <w:szCs w:val="10"/>
                <w:color w:val="auto"/>
                <w:w w:val="75"/>
              </w:rPr>
              <w:t>-------------------------------</w:t>
            </w: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Commercial, industrial, and</w:t>
            </w:r>
          </w:p>
        </w:tc>
        <w:tc>
          <w:tcPr>
            <w:tcW w:w="640" w:type="dxa"/>
            <w:vAlign w:val="bottom"/>
          </w:tcPr>
          <w:p>
            <w:pPr>
              <w:spacing w:after="0"/>
              <w:rPr>
                <w:sz w:val="23"/>
                <w:szCs w:val="23"/>
                <w:color w:val="auto"/>
              </w:rPr>
            </w:pPr>
          </w:p>
        </w:tc>
        <w:tc>
          <w:tcPr>
            <w:tcW w:w="13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Fixed</w:t>
            </w:r>
          </w:p>
        </w:tc>
        <w:tc>
          <w:tcPr>
            <w:tcW w:w="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14,186</w:t>
            </w:r>
          </w:p>
        </w:tc>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14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8,860</w:t>
            </w:r>
          </w:p>
        </w:tc>
        <w:tc>
          <w:tcPr>
            <w:tcW w:w="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23,046</w:t>
            </w:r>
          </w:p>
        </w:tc>
        <w:tc>
          <w:tcPr>
            <w:tcW w:w="0" w:type="dxa"/>
            <w:vAlign w:val="bottom"/>
          </w:tcPr>
          <w:p>
            <w:pPr>
              <w:spacing w:after="0"/>
              <w:rPr>
                <w:sz w:val="1"/>
                <w:szCs w:val="1"/>
                <w:color w:val="auto"/>
              </w:rPr>
            </w:pPr>
          </w:p>
        </w:tc>
      </w:tr>
      <w:tr>
        <w:trPr>
          <w:trHeight w:val="175"/>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agricultural (combined)</w:t>
            </w:r>
          </w:p>
        </w:tc>
        <w:tc>
          <w:tcPr>
            <w:tcW w:w="6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vMerge w:val="restart"/>
          </w:tcPr>
          <w:p>
            <w:pPr>
              <w:spacing w:after="0"/>
              <w:rPr>
                <w:sz w:val="20"/>
                <w:szCs w:val="20"/>
                <w:color w:val="auto"/>
              </w:rPr>
            </w:pPr>
            <w:r>
              <w:rPr>
                <w:rFonts w:ascii="Courier New" w:cs="Courier New" w:eastAsia="Courier New" w:hAnsi="Courier New"/>
                <w:sz w:val="15"/>
                <w:szCs w:val="15"/>
                <w:color w:val="auto"/>
              </w:rPr>
              <w:t>Real estate - mortgage</w:t>
            </w:r>
          </w:p>
        </w:tc>
        <w:tc>
          <w:tcPr>
            <w:tcW w:w="640" w:type="dxa"/>
            <w:vAlign w:val="bottom"/>
          </w:tcPr>
          <w:p>
            <w:pPr>
              <w:spacing w:after="0"/>
              <w:rPr>
                <w:sz w:val="15"/>
                <w:szCs w:val="15"/>
                <w:color w:val="auto"/>
              </w:rPr>
            </w:pP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Variable</w:t>
            </w:r>
          </w:p>
        </w:tc>
        <w:tc>
          <w:tcPr>
            <w:tcW w:w="32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16,163</w:t>
            </w:r>
          </w:p>
        </w:tc>
        <w:tc>
          <w:tcPr>
            <w:tcW w:w="280" w:type="dxa"/>
            <w:vAlign w:val="bottom"/>
          </w:tcPr>
          <w:p>
            <w:pPr>
              <w:spacing w:after="0"/>
              <w:rPr>
                <w:sz w:val="15"/>
                <w:szCs w:val="15"/>
                <w:color w:val="auto"/>
              </w:rPr>
            </w:pP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8,309</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24,472</w:t>
            </w: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Fixed</w:t>
            </w:r>
          </w:p>
        </w:tc>
        <w:tc>
          <w:tcPr>
            <w:tcW w:w="32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6,387</w:t>
            </w:r>
          </w:p>
        </w:tc>
        <w:tc>
          <w:tcPr>
            <w:tcW w:w="280" w:type="dxa"/>
            <w:vAlign w:val="bottom"/>
          </w:tcPr>
          <w:p>
            <w:pPr>
              <w:spacing w:after="0"/>
              <w:rPr>
                <w:sz w:val="15"/>
                <w:szCs w:val="15"/>
                <w:color w:val="auto"/>
              </w:rPr>
            </w:pP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69,109</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75,496</w:t>
            </w:r>
          </w:p>
        </w:tc>
        <w:tc>
          <w:tcPr>
            <w:tcW w:w="0" w:type="dxa"/>
            <w:vAlign w:val="bottom"/>
          </w:tcPr>
          <w:p>
            <w:pPr>
              <w:spacing w:after="0"/>
              <w:rPr>
                <w:sz w:val="1"/>
                <w:szCs w:val="1"/>
                <w:color w:val="auto"/>
              </w:rPr>
            </w:pPr>
          </w:p>
        </w:tc>
      </w:tr>
      <w:tr>
        <w:trPr>
          <w:trHeight w:val="175"/>
        </w:trPr>
        <w:tc>
          <w:tcPr>
            <w:tcW w:w="3080" w:type="dxa"/>
            <w:vAlign w:val="bottom"/>
            <w:vMerge w:val="restart"/>
          </w:tcPr>
          <w:p>
            <w:pPr>
              <w:spacing w:after="0"/>
              <w:rPr>
                <w:sz w:val="20"/>
                <w:szCs w:val="20"/>
                <w:color w:val="auto"/>
              </w:rPr>
            </w:pPr>
            <w:r>
              <w:rPr>
                <w:rFonts w:ascii="Courier New" w:cs="Courier New" w:eastAsia="Courier New" w:hAnsi="Courier New"/>
                <w:sz w:val="15"/>
                <w:szCs w:val="15"/>
                <w:color w:val="auto"/>
              </w:rPr>
              <w:t>Installment</w:t>
            </w:r>
          </w:p>
        </w:tc>
        <w:tc>
          <w:tcPr>
            <w:tcW w:w="640" w:type="dxa"/>
            <w:vAlign w:val="bottom"/>
          </w:tcPr>
          <w:p>
            <w:pPr>
              <w:spacing w:after="0"/>
              <w:rPr>
                <w:sz w:val="15"/>
                <w:szCs w:val="15"/>
                <w:color w:val="auto"/>
              </w:rPr>
            </w:pP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Variable</w:t>
            </w:r>
          </w:p>
        </w:tc>
        <w:tc>
          <w:tcPr>
            <w:tcW w:w="32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2,507</w:t>
            </w:r>
          </w:p>
        </w:tc>
        <w:tc>
          <w:tcPr>
            <w:tcW w:w="280" w:type="dxa"/>
            <w:vAlign w:val="bottom"/>
          </w:tcPr>
          <w:p>
            <w:pPr>
              <w:spacing w:after="0"/>
              <w:rPr>
                <w:sz w:val="15"/>
                <w:szCs w:val="15"/>
                <w:color w:val="auto"/>
              </w:rPr>
            </w:pP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117,235</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119,742</w:t>
            </w: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Fixed</w:t>
            </w:r>
          </w:p>
        </w:tc>
        <w:tc>
          <w:tcPr>
            <w:tcW w:w="32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53,304</w:t>
            </w:r>
          </w:p>
        </w:tc>
        <w:tc>
          <w:tcPr>
            <w:tcW w:w="280" w:type="dxa"/>
            <w:vAlign w:val="bottom"/>
          </w:tcPr>
          <w:p>
            <w:pPr>
              <w:spacing w:after="0"/>
              <w:rPr>
                <w:sz w:val="15"/>
                <w:szCs w:val="15"/>
                <w:color w:val="auto"/>
              </w:rPr>
            </w:pP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2,133</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55,437</w:t>
            </w:r>
          </w:p>
        </w:tc>
        <w:tc>
          <w:tcPr>
            <w:tcW w:w="0" w:type="dxa"/>
            <w:vAlign w:val="bottom"/>
          </w:tcPr>
          <w:p>
            <w:pPr>
              <w:spacing w:after="0"/>
              <w:rPr>
                <w:sz w:val="1"/>
                <w:szCs w:val="1"/>
                <w:color w:val="auto"/>
              </w:rPr>
            </w:pPr>
          </w:p>
        </w:tc>
      </w:tr>
      <w:tr>
        <w:trPr>
          <w:trHeight w:val="175"/>
        </w:trPr>
        <w:tc>
          <w:tcPr>
            <w:tcW w:w="3080" w:type="dxa"/>
            <w:vAlign w:val="bottom"/>
            <w:vMerge w:val="restart"/>
          </w:tcPr>
          <w:p>
            <w:pPr>
              <w:spacing w:after="0"/>
              <w:rPr>
                <w:sz w:val="20"/>
                <w:szCs w:val="20"/>
                <w:color w:val="auto"/>
              </w:rPr>
            </w:pPr>
            <w:r>
              <w:rPr>
                <w:rFonts w:ascii="Courier New" w:cs="Courier New" w:eastAsia="Courier New" w:hAnsi="Courier New"/>
                <w:sz w:val="15"/>
                <w:szCs w:val="15"/>
                <w:color w:val="auto"/>
              </w:rPr>
              <w:t>IDB's</w:t>
            </w:r>
          </w:p>
        </w:tc>
        <w:tc>
          <w:tcPr>
            <w:tcW w:w="640" w:type="dxa"/>
            <w:vAlign w:val="bottom"/>
          </w:tcPr>
          <w:p>
            <w:pPr>
              <w:spacing w:after="0"/>
              <w:rPr>
                <w:sz w:val="15"/>
                <w:szCs w:val="15"/>
                <w:color w:val="auto"/>
              </w:rPr>
            </w:pP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Variable</w:t>
            </w:r>
          </w:p>
        </w:tc>
        <w:tc>
          <w:tcPr>
            <w:tcW w:w="32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1,273</w:t>
            </w:r>
          </w:p>
        </w:tc>
        <w:tc>
          <w:tcPr>
            <w:tcW w:w="280" w:type="dxa"/>
            <w:vAlign w:val="bottom"/>
          </w:tcPr>
          <w:p>
            <w:pPr>
              <w:spacing w:after="0"/>
              <w:rPr>
                <w:sz w:val="15"/>
                <w:szCs w:val="15"/>
                <w:color w:val="auto"/>
              </w:rPr>
            </w:pP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164</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1,437</w:t>
            </w:r>
          </w:p>
        </w:tc>
        <w:tc>
          <w:tcPr>
            <w:tcW w:w="0" w:type="dxa"/>
            <w:vAlign w:val="bottom"/>
          </w:tcPr>
          <w:p>
            <w:pPr>
              <w:spacing w:after="0"/>
              <w:rPr>
                <w:sz w:val="1"/>
                <w:szCs w:val="1"/>
                <w:color w:val="auto"/>
              </w:rPr>
            </w:pPr>
          </w:p>
        </w:tc>
      </w:tr>
      <w:tr>
        <w:trPr>
          <w:trHeight w:val="256"/>
        </w:trPr>
        <w:tc>
          <w:tcPr>
            <w:tcW w:w="3080" w:type="dxa"/>
            <w:vAlign w:val="bottom"/>
            <w:vMerge w:val="continue"/>
          </w:tcPr>
          <w:p>
            <w:pPr>
              <w:spacing w:after="0"/>
              <w:rPr>
                <w:sz w:val="22"/>
                <w:szCs w:val="22"/>
                <w:color w:val="auto"/>
              </w:rPr>
            </w:pPr>
          </w:p>
        </w:tc>
        <w:tc>
          <w:tcPr>
            <w:tcW w:w="640" w:type="dxa"/>
            <w:vAlign w:val="bottom"/>
          </w:tcPr>
          <w:p>
            <w:pPr>
              <w:spacing w:after="0"/>
              <w:rPr>
                <w:sz w:val="22"/>
                <w:szCs w:val="22"/>
                <w:color w:val="auto"/>
              </w:rPr>
            </w:pP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Fixed</w:t>
            </w:r>
          </w:p>
        </w:tc>
        <w:tc>
          <w:tcPr>
            <w:tcW w:w="320" w:type="dxa"/>
            <w:vAlign w:val="bottom"/>
          </w:tcPr>
          <w:p>
            <w:pPr>
              <w:spacing w:after="0"/>
              <w:rPr>
                <w:sz w:val="22"/>
                <w:szCs w:val="22"/>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676</w:t>
            </w:r>
          </w:p>
        </w:tc>
        <w:tc>
          <w:tcPr>
            <w:tcW w:w="280" w:type="dxa"/>
            <w:vAlign w:val="bottom"/>
          </w:tcPr>
          <w:p>
            <w:pPr>
              <w:spacing w:after="0"/>
              <w:rPr>
                <w:sz w:val="22"/>
                <w:szCs w:val="22"/>
                <w:color w:val="auto"/>
              </w:rPr>
            </w:pP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2,886</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3,562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5"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NONACCRUAL PAST DUE AND RESTRUCTURED LOANS</w:t>
      </w:r>
    </w:p>
    <w:p>
      <w:pPr>
        <w:spacing w:after="0" w:line="180" w:lineRule="exact"/>
        <w:rPr>
          <w:sz w:val="20"/>
          <w:szCs w:val="20"/>
          <w:color w:val="auto"/>
        </w:rPr>
      </w:pPr>
    </w:p>
    <w:p>
      <w:pPr>
        <w:ind w:right="1100" w:firstLine="818"/>
        <w:spacing w:after="0" w:line="368" w:lineRule="auto"/>
        <w:rPr>
          <w:sz w:val="20"/>
          <w:szCs w:val="20"/>
          <w:color w:val="auto"/>
        </w:rPr>
      </w:pPr>
      <w:r>
        <w:rPr>
          <w:rFonts w:ascii="Courier New" w:cs="Courier New" w:eastAsia="Courier New" w:hAnsi="Courier New"/>
          <w:sz w:val="15"/>
          <w:szCs w:val="15"/>
          <w:color w:val="auto"/>
        </w:rPr>
        <w:t>The following table summarizes (dollars in thousands) the company's nonaccrual and past due loans as of December 31:</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9"/>
              </w:rPr>
              <w:t>1998</w:t>
            </w:r>
          </w:p>
        </w:tc>
        <w:tc>
          <w:tcPr>
            <w:tcW w:w="500" w:type="dxa"/>
            <w:vAlign w:val="bottom"/>
          </w:tcPr>
          <w:p>
            <w:pPr>
              <w:spacing w:after="0"/>
              <w:rPr>
                <w:sz w:val="15"/>
                <w:szCs w:val="15"/>
                <w:color w:val="auto"/>
              </w:rPr>
            </w:pP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2"/>
                <w:szCs w:val="22"/>
                <w:color w:val="auto"/>
              </w:rPr>
            </w:pPr>
          </w:p>
        </w:tc>
        <w:tc>
          <w:tcPr>
            <w:tcW w:w="2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400" w:type="dxa"/>
            <w:vAlign w:val="bottom"/>
          </w:tcPr>
          <w:p>
            <w:pPr>
              <w:spacing w:after="0"/>
              <w:rPr>
                <w:sz w:val="20"/>
                <w:szCs w:val="20"/>
                <w:color w:val="auto"/>
              </w:rPr>
            </w:pPr>
            <w:r>
              <w:rPr>
                <w:rFonts w:ascii="Courier New" w:cs="Courier New" w:eastAsia="Courier New" w:hAnsi="Courier New"/>
                <w:sz w:val="15"/>
                <w:szCs w:val="15"/>
                <w:color w:val="auto"/>
              </w:rPr>
              <w:t>Nonaccrual loans</w:t>
            </w:r>
          </w:p>
        </w:tc>
        <w:tc>
          <w:tcPr>
            <w:tcW w:w="1400" w:type="dxa"/>
            <w:vAlign w:val="bottom"/>
          </w:tcPr>
          <w:p>
            <w:pPr>
              <w:ind w:left="8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6,455</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2,890</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Accruing loans past due 90 days or more</w:t>
            </w:r>
          </w:p>
        </w:tc>
        <w:tc>
          <w:tcPr>
            <w:tcW w:w="1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1,988</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1,396</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400" w:type="dxa"/>
            <w:vAlign w:val="bottom"/>
            <w:vMerge w:val="restart"/>
          </w:tcPr>
          <w:p>
            <w:pPr>
              <w:ind w:left="860"/>
              <w:spacing w:after="0"/>
              <w:rPr>
                <w:sz w:val="20"/>
                <w:szCs w:val="20"/>
                <w:color w:val="auto"/>
              </w:rPr>
            </w:pPr>
            <w:r>
              <w:rPr>
                <w:rFonts w:ascii="Courier New" w:cs="Courier New" w:eastAsia="Courier New" w:hAnsi="Courier New"/>
                <w:sz w:val="11"/>
                <w:szCs w:val="11"/>
                <w:color w:val="auto"/>
                <w:w w:val="77"/>
                <w:vertAlign w:val="subscript"/>
              </w:rPr>
              <w:t>$</w:t>
            </w:r>
            <w:r>
              <w:rPr>
                <w:rFonts w:ascii="Courier New" w:cs="Courier New" w:eastAsia="Courier New" w:hAnsi="Courier New"/>
                <w:sz w:val="8"/>
                <w:szCs w:val="8"/>
                <w:color w:val="auto"/>
                <w:w w:val="77"/>
              </w:rPr>
              <w:t>-------------</w:t>
            </w: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8,443</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4,286</w:t>
            </w: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2"/>
                <w:szCs w:val="22"/>
                <w:color w:val="auto"/>
              </w:rPr>
            </w:pPr>
          </w:p>
        </w:tc>
        <w:tc>
          <w:tcPr>
            <w:tcW w:w="2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4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175"/>
        </w:trPr>
        <w:tc>
          <w:tcPr>
            <w:tcW w:w="4400" w:type="dxa"/>
            <w:vAlign w:val="bottom"/>
            <w:vMerge w:val="restart"/>
          </w:tcPr>
          <w:p>
            <w:pPr>
              <w:spacing w:after="0"/>
              <w:rPr>
                <w:sz w:val="20"/>
                <w:szCs w:val="20"/>
                <w:color w:val="auto"/>
              </w:rPr>
            </w:pPr>
            <w:r>
              <w:rPr>
                <w:rFonts w:ascii="Courier New" w:cs="Courier New" w:eastAsia="Courier New" w:hAnsi="Courier New"/>
                <w:sz w:val="15"/>
                <w:szCs w:val="15"/>
                <w:color w:val="auto"/>
              </w:rPr>
              <w:t>Nonaccrual loans</w:t>
            </w:r>
          </w:p>
        </w:tc>
        <w:tc>
          <w:tcPr>
            <w:tcW w:w="1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40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3,494</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Accruing loans past due 90 days or more</w:t>
            </w:r>
          </w:p>
        </w:tc>
        <w:tc>
          <w:tcPr>
            <w:tcW w:w="1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2,698</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6,192</w:t>
            </w: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right="920" w:firstLine="818"/>
        <w:spacing w:after="0" w:line="287" w:lineRule="auto"/>
        <w:rPr>
          <w:sz w:val="20"/>
          <w:szCs w:val="20"/>
          <w:color w:val="auto"/>
        </w:rPr>
      </w:pPr>
      <w:r>
        <w:rPr>
          <w:rFonts w:ascii="Courier New" w:cs="Courier New" w:eastAsia="Courier New" w:hAnsi="Courier New"/>
          <w:sz w:val="15"/>
          <w:szCs w:val="15"/>
          <w:color w:val="auto"/>
        </w:rPr>
        <w:t>As of December 31, 1998, management, to the best of its knowledge, is not aware of any significant loans, group of loans or segments of the loan portfolio not included above, where there are serious doubts as to the ability of the borrowers to comply with the present loan payment terms.</w:t>
      </w:r>
    </w:p>
    <w:p>
      <w:pPr>
        <w:spacing w:after="0" w:line="61" w:lineRule="exact"/>
        <w:rPr>
          <w:sz w:val="20"/>
          <w:szCs w:val="20"/>
          <w:color w:val="auto"/>
        </w:rPr>
      </w:pPr>
    </w:p>
    <w:p>
      <w:pPr>
        <w:ind w:right="740" w:firstLine="818"/>
        <w:spacing w:after="0" w:line="287" w:lineRule="auto"/>
        <w:rPr>
          <w:sz w:val="20"/>
          <w:szCs w:val="20"/>
          <w:color w:val="auto"/>
        </w:rPr>
      </w:pPr>
      <w:r>
        <w:rPr>
          <w:rFonts w:ascii="Courier New" w:cs="Courier New" w:eastAsia="Courier New" w:hAnsi="Courier New"/>
          <w:sz w:val="15"/>
          <w:szCs w:val="15"/>
          <w:color w:val="auto"/>
        </w:rPr>
        <w:t>Interest income which would have been recorded under the original terms of the nonaccrual loans was $40 thousand for the year 1998. Any collections of interest on nonaccrual loans are included in interest income when collected. This amounted to $172 thousand for 1998.</w:t>
      </w:r>
    </w:p>
    <w:p>
      <w:pPr>
        <w:spacing w:after="0" w:line="61" w:lineRule="exact"/>
        <w:rPr>
          <w:sz w:val="20"/>
          <w:szCs w:val="20"/>
          <w:color w:val="auto"/>
        </w:rPr>
      </w:pPr>
    </w:p>
    <w:p>
      <w:pPr>
        <w:ind w:right="740" w:firstLine="818"/>
        <w:spacing w:after="0" w:line="307" w:lineRule="auto"/>
        <w:rPr>
          <w:sz w:val="20"/>
          <w:szCs w:val="20"/>
          <w:color w:val="auto"/>
        </w:rPr>
      </w:pPr>
      <w:r>
        <w:rPr>
          <w:rFonts w:ascii="Courier New" w:cs="Courier New" w:eastAsia="Courier New" w:hAnsi="Courier New"/>
          <w:sz w:val="15"/>
          <w:szCs w:val="15"/>
          <w:color w:val="auto"/>
        </w:rPr>
        <w:t>Loans are placed on nonaccrual status in the event one of the following occurs: the total line of the customer is charged off to the extent of 50% or more, the loan is in past due status for more than 180 days.</w:t>
      </w:r>
    </w:p>
    <w:p>
      <w:pPr>
        <w:spacing w:after="0" w:line="4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$6.5 million of nonaccrual loans are secured at December 31, 1998.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PROBLEM LOANS:</w:t>
      </w:r>
    </w:p>
    <w:p>
      <w:pPr>
        <w:spacing w:after="0" w:line="180" w:lineRule="exact"/>
        <w:rPr>
          <w:sz w:val="20"/>
          <w:szCs w:val="20"/>
          <w:color w:val="auto"/>
        </w:rPr>
      </w:pPr>
    </w:p>
    <w:p>
      <w:pPr>
        <w:ind w:right="740" w:firstLine="818"/>
        <w:spacing w:after="0" w:line="287" w:lineRule="auto"/>
        <w:rPr>
          <w:sz w:val="20"/>
          <w:szCs w:val="20"/>
          <w:color w:val="auto"/>
        </w:rPr>
      </w:pPr>
      <w:r>
        <w:rPr>
          <w:rFonts w:ascii="Courier New" w:cs="Courier New" w:eastAsia="Courier New" w:hAnsi="Courier New"/>
          <w:sz w:val="15"/>
          <w:szCs w:val="15"/>
          <w:color w:val="auto"/>
        </w:rPr>
        <w:t>At December 31, 1998, the Bank has $8.4 million of loans which it considers to be potential problem loans in that the borrowers are experiencing financial difficulties. These loans are subject to constant management attention and are reviewed more frequently than quarterly.</w:t>
      </w:r>
    </w:p>
    <w:p>
      <w:pPr>
        <w:spacing w:after="0" w:line="61" w:lineRule="exact"/>
        <w:rPr>
          <w:sz w:val="20"/>
          <w:szCs w:val="20"/>
          <w:color w:val="auto"/>
        </w:rPr>
      </w:pPr>
    </w:p>
    <w:p>
      <w:pPr>
        <w:ind w:right="1000" w:firstLine="818"/>
        <w:spacing w:after="0" w:line="368" w:lineRule="auto"/>
        <w:rPr>
          <w:sz w:val="20"/>
          <w:szCs w:val="20"/>
          <w:color w:val="auto"/>
        </w:rPr>
      </w:pPr>
      <w:r>
        <w:rPr>
          <w:rFonts w:ascii="Courier New" w:cs="Courier New" w:eastAsia="Courier New" w:hAnsi="Courier New"/>
          <w:sz w:val="15"/>
          <w:szCs w:val="15"/>
          <w:color w:val="auto"/>
        </w:rPr>
        <w:t>The amount of potential problem loans was considered in management's review of the loan loss reserve required at December 31,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CONCENTRATION:</w:t>
      </w:r>
    </w:p>
    <w:p>
      <w:pPr>
        <w:spacing w:after="0" w:line="180" w:lineRule="exact"/>
        <w:rPr>
          <w:sz w:val="20"/>
          <w:szCs w:val="20"/>
          <w:color w:val="auto"/>
        </w:rPr>
      </w:pPr>
    </w:p>
    <w:p>
      <w:pPr>
        <w:ind w:right="740" w:firstLine="818"/>
        <w:spacing w:after="0" w:line="267" w:lineRule="auto"/>
        <w:rPr>
          <w:sz w:val="20"/>
          <w:szCs w:val="20"/>
          <w:color w:val="auto"/>
        </w:rPr>
      </w:pPr>
      <w:r>
        <w:rPr>
          <w:rFonts w:ascii="Courier New" w:cs="Courier New" w:eastAsia="Courier New" w:hAnsi="Courier New"/>
          <w:sz w:val="15"/>
          <w:szCs w:val="15"/>
          <w:color w:val="auto"/>
        </w:rPr>
        <w:t>In extending credit to families, businesses and governments, banks accept a measure of risk against which an allowance or reserve for possible loan losses is established by way of expense charges to earnings. This expense, used to enlarge a bank's allowance for loan losses, is determined by management based on a detailed monthly review of the risk factors affecting the loan portfolio, including general economic conditions, changes in the portfolio mix, past due loan-loss experience and the financial condition of the bank's borrowers.</w:t>
      </w:r>
    </w:p>
    <w:p>
      <w:pPr>
        <w:spacing w:after="0" w:line="75" w:lineRule="exact"/>
        <w:rPr>
          <w:sz w:val="20"/>
          <w:szCs w:val="20"/>
          <w:color w:val="auto"/>
        </w:rPr>
      </w:pPr>
    </w:p>
    <w:p>
      <w:pPr>
        <w:ind w:right="740" w:firstLine="818"/>
        <w:spacing w:after="0" w:line="287" w:lineRule="auto"/>
        <w:rPr>
          <w:sz w:val="20"/>
          <w:szCs w:val="20"/>
          <w:color w:val="auto"/>
        </w:rPr>
      </w:pPr>
      <w:r>
        <w:rPr>
          <w:rFonts w:ascii="Courier New" w:cs="Courier New" w:eastAsia="Courier New" w:hAnsi="Courier New"/>
          <w:sz w:val="15"/>
          <w:szCs w:val="15"/>
          <w:color w:val="auto"/>
        </w:rPr>
        <w:t>At December 31, 1998, the Bank had loans outstanding to individuals and firms engaged in the various fields of agriculture in the amount of $38.9 million. The ratio of this segment of loans to the total loan portfolio is not considered unusual for a bank engaged in and servicing rural communities.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1996</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40" w:hanging="735"/>
        <w:spacing w:after="0"/>
        <w:tabs>
          <w:tab w:leader="none" w:pos="7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3,489</w:t>
      </w:r>
    </w:p>
    <w:p>
      <w:pPr>
        <w:spacing w:after="0" w:line="44" w:lineRule="exact"/>
        <w:rPr>
          <w:rFonts w:ascii="Courier New" w:cs="Courier New" w:eastAsia="Courier New" w:hAnsi="Courier New"/>
          <w:sz w:val="14"/>
          <w:szCs w:val="14"/>
          <w:color w:val="auto"/>
        </w:rPr>
      </w:pPr>
    </w:p>
    <w:p>
      <w:pPr>
        <w:ind w:left="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1,899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40" w:hanging="735"/>
        <w:spacing w:after="0"/>
        <w:tabs>
          <w:tab w:leader="none" w:pos="7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5,388</w:t>
      </w:r>
    </w:p>
    <w:p>
      <w:pPr>
        <w:spacing w:after="0" w:line="1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1994</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40" w:hanging="735"/>
        <w:spacing w:after="0"/>
        <w:tabs>
          <w:tab w:leader="none" w:pos="7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2,681</w:t>
      </w:r>
    </w:p>
    <w:p>
      <w:pPr>
        <w:spacing w:after="0" w:line="16" w:lineRule="exact"/>
        <w:rPr>
          <w:rFonts w:ascii="Courier New" w:cs="Courier New" w:eastAsia="Courier New" w:hAnsi="Courier New"/>
          <w:sz w:val="14"/>
          <w:szCs w:val="14"/>
          <w:color w:val="auto"/>
        </w:rPr>
      </w:pPr>
    </w:p>
    <w:p>
      <w:pPr>
        <w:ind w:left="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2,601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40" w:hanging="735"/>
        <w:spacing w:after="0"/>
        <w:tabs>
          <w:tab w:leader="none" w:pos="7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5,282</w:t>
      </w:r>
    </w:p>
    <w:p>
      <w:pPr>
        <w:spacing w:after="0" w:line="1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7805" w:lineRule="exact"/>
        <w:rPr>
          <w:sz w:val="20"/>
          <w:szCs w:val="20"/>
          <w:color w:val="auto"/>
        </w:rPr>
      </w:pPr>
    </w:p>
    <w:p>
      <w:pPr>
        <w:sectPr>
          <w:pgSz w:w="11900" w:h="16838" w:orient="portrait"/>
          <w:cols w:equalWidth="0" w:num="2">
            <w:col w:w="8000" w:space="440"/>
            <w:col w:w="1779"/>
          </w:cols>
          <w:pgMar w:left="240" w:top="265" w:right="1440"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65"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LOAN LOSS EXPERIENCE</w:t>
      </w:r>
    </w:p>
    <w:p>
      <w:pPr>
        <w:spacing w:after="0" w:line="180" w:lineRule="exact"/>
        <w:rPr>
          <w:sz w:val="20"/>
          <w:szCs w:val="20"/>
          <w:color w:val="auto"/>
        </w:rPr>
      </w:pPr>
    </w:p>
    <w:p>
      <w:pPr>
        <w:ind w:right="3599" w:firstLine="818"/>
        <w:spacing w:after="0" w:line="368" w:lineRule="auto"/>
        <w:rPr>
          <w:sz w:val="20"/>
          <w:szCs w:val="20"/>
          <w:color w:val="auto"/>
        </w:rPr>
      </w:pPr>
      <w:r>
        <w:rPr>
          <w:rFonts w:ascii="Courier New" w:cs="Courier New" w:eastAsia="Courier New" w:hAnsi="Courier New"/>
          <w:sz w:val="15"/>
          <w:szCs w:val="15"/>
          <w:color w:val="auto"/>
        </w:rPr>
        <w:t>The following table reflects (in thousands) the bank's loan loss experience for each of the five years ended December 31: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1998</w:t>
            </w:r>
          </w:p>
        </w:tc>
        <w:tc>
          <w:tcPr>
            <w:tcW w:w="500" w:type="dxa"/>
            <w:vAlign w:val="bottom"/>
          </w:tcPr>
          <w:p>
            <w:pPr>
              <w:spacing w:after="0"/>
              <w:rPr>
                <w:sz w:val="15"/>
                <w:szCs w:val="15"/>
                <w:color w:val="auto"/>
              </w:rPr>
            </w:pP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4500" w:type="dxa"/>
            <w:vAlign w:val="bottom"/>
          </w:tcPr>
          <w:p>
            <w:pPr>
              <w:spacing w:after="0"/>
              <w:rPr>
                <w:sz w:val="22"/>
                <w:szCs w:val="22"/>
                <w:color w:val="auto"/>
              </w:rPr>
            </w:pPr>
          </w:p>
        </w:tc>
        <w:tc>
          <w:tcPr>
            <w:tcW w:w="2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50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413,443</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404,313</w:t>
            </w:r>
          </w:p>
        </w:tc>
        <w:tc>
          <w:tcPr>
            <w:tcW w:w="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374,829</w:t>
            </w:r>
          </w:p>
        </w:tc>
        <w:tc>
          <w:tcPr>
            <w:tcW w:w="0" w:type="dxa"/>
            <w:vAlign w:val="bottom"/>
          </w:tcPr>
          <w:p>
            <w:pPr>
              <w:spacing w:after="0"/>
              <w:rPr>
                <w:sz w:val="1"/>
                <w:szCs w:val="1"/>
                <w:color w:val="auto"/>
              </w:rPr>
            </w:pPr>
          </w:p>
        </w:tc>
      </w:tr>
      <w:tr>
        <w:trPr>
          <w:trHeight w:val="175"/>
        </w:trPr>
        <w:tc>
          <w:tcPr>
            <w:tcW w:w="4500" w:type="dxa"/>
            <w:vAlign w:val="bottom"/>
            <w:vMerge w:val="restart"/>
          </w:tcPr>
          <w:p>
            <w:pPr>
              <w:spacing w:after="0"/>
              <w:rPr>
                <w:sz w:val="20"/>
                <w:szCs w:val="20"/>
                <w:color w:val="auto"/>
              </w:rPr>
            </w:pPr>
            <w:r>
              <w:rPr>
                <w:rFonts w:ascii="Courier New" w:cs="Courier New" w:eastAsia="Courier New" w:hAnsi="Courier New"/>
                <w:sz w:val="15"/>
                <w:szCs w:val="15"/>
                <w:color w:val="auto"/>
              </w:rPr>
              <w:t>Daily average of outstanding loans</w:t>
            </w:r>
          </w:p>
        </w:tc>
        <w:tc>
          <w:tcPr>
            <w:tcW w:w="2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500" w:type="dxa"/>
            <w:vAlign w:val="bottom"/>
            <w:vMerge w:val="continue"/>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408,291</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384,498</w:t>
            </w:r>
          </w:p>
        </w:tc>
        <w:tc>
          <w:tcPr>
            <w:tcW w:w="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358,261</w:t>
            </w:r>
          </w:p>
        </w:tc>
        <w:tc>
          <w:tcPr>
            <w:tcW w:w="0" w:type="dxa"/>
            <w:vAlign w:val="bottom"/>
          </w:tcPr>
          <w:p>
            <w:pPr>
              <w:spacing w:after="0"/>
              <w:rPr>
                <w:sz w:val="1"/>
                <w:szCs w:val="1"/>
                <w:color w:val="auto"/>
              </w:rPr>
            </w:pPr>
          </w:p>
        </w:tc>
      </w:tr>
      <w:tr>
        <w:trPr>
          <w:trHeight w:val="256"/>
        </w:trPr>
        <w:tc>
          <w:tcPr>
            <w:tcW w:w="4500" w:type="dxa"/>
            <w:vAlign w:val="bottom"/>
            <w:vMerge w:val="restart"/>
          </w:tcPr>
          <w:p>
            <w:pPr>
              <w:spacing w:after="0"/>
              <w:rPr>
                <w:sz w:val="20"/>
                <w:szCs w:val="20"/>
                <w:color w:val="auto"/>
              </w:rPr>
            </w:pPr>
            <w:r>
              <w:rPr>
                <w:rFonts w:ascii="Courier New" w:cs="Courier New" w:eastAsia="Courier New" w:hAnsi="Courier New"/>
                <w:sz w:val="15"/>
                <w:szCs w:val="15"/>
                <w:color w:val="auto"/>
              </w:rPr>
              <w:t>Allowance for loan losses -</w:t>
            </w:r>
          </w:p>
        </w:tc>
        <w:tc>
          <w:tcPr>
            <w:tcW w:w="2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500" w:type="dxa"/>
            <w:vAlign w:val="bottom"/>
            <w:vMerge w:val="continue"/>
          </w:tcPr>
          <w:p>
            <w:pPr>
              <w:spacing w:after="0"/>
              <w:rPr>
                <w:sz w:val="8"/>
                <w:szCs w:val="8"/>
                <w:color w:val="auto"/>
              </w:rPr>
            </w:pPr>
          </w:p>
        </w:tc>
        <w:tc>
          <w:tcPr>
            <w:tcW w:w="10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5,850</w:t>
            </w:r>
          </w:p>
        </w:tc>
        <w:tc>
          <w:tcPr>
            <w:tcW w:w="5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5,500</w:t>
            </w:r>
          </w:p>
        </w:tc>
        <w:tc>
          <w:tcPr>
            <w:tcW w:w="5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5,500</w:t>
            </w:r>
          </w:p>
        </w:tc>
        <w:tc>
          <w:tcPr>
            <w:tcW w:w="0" w:type="dxa"/>
            <w:vAlign w:val="bottom"/>
          </w:tcPr>
          <w:p>
            <w:pPr>
              <w:spacing w:after="0"/>
              <w:rPr>
                <w:sz w:val="1"/>
                <w:szCs w:val="1"/>
                <w:color w:val="auto"/>
              </w:rPr>
            </w:pPr>
          </w:p>
        </w:tc>
      </w:tr>
      <w:tr>
        <w:trPr>
          <w:trHeight w:val="175"/>
        </w:trPr>
        <w:tc>
          <w:tcPr>
            <w:tcW w:w="4500" w:type="dxa"/>
            <w:vAlign w:val="bottom"/>
          </w:tcPr>
          <w:p>
            <w:pPr>
              <w:ind w:left="260"/>
              <w:spacing w:after="0"/>
              <w:rPr>
                <w:sz w:val="20"/>
                <w:szCs w:val="20"/>
                <w:color w:val="auto"/>
              </w:rPr>
            </w:pPr>
            <w:r>
              <w:rPr>
                <w:rFonts w:ascii="Courier New" w:cs="Courier New" w:eastAsia="Courier New" w:hAnsi="Courier New"/>
                <w:sz w:val="15"/>
                <w:szCs w:val="15"/>
                <w:color w:val="auto"/>
              </w:rPr>
              <w:t>beginning of year</w:t>
            </w:r>
          </w:p>
        </w:tc>
        <w:tc>
          <w:tcPr>
            <w:tcW w:w="10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Loans Charged Off:</w:t>
            </w:r>
          </w:p>
        </w:tc>
        <w:tc>
          <w:tcPr>
            <w:tcW w:w="1080" w:type="dxa"/>
            <w:vAlign w:val="bottom"/>
          </w:tcPr>
          <w:p>
            <w:pPr>
              <w:spacing w:after="0"/>
              <w:rPr>
                <w:sz w:val="15"/>
                <w:szCs w:val="15"/>
                <w:color w:val="auto"/>
              </w:rPr>
            </w:pPr>
          </w:p>
        </w:tc>
        <w:tc>
          <w:tcPr>
            <w:tcW w:w="10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472</w:t>
            </w:r>
          </w:p>
        </w:tc>
        <w:tc>
          <w:tcPr>
            <w:tcW w:w="500" w:type="dxa"/>
            <w:vAlign w:val="bottom"/>
          </w:tcPr>
          <w:p>
            <w:pPr>
              <w:spacing w:after="0"/>
              <w:rPr>
                <w:sz w:val="15"/>
                <w:szCs w:val="15"/>
                <w:color w:val="auto"/>
              </w:rPr>
            </w:pPr>
          </w:p>
        </w:tc>
        <w:tc>
          <w:tcPr>
            <w:tcW w:w="11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263</w:t>
            </w:r>
          </w:p>
        </w:tc>
        <w:tc>
          <w:tcPr>
            <w:tcW w:w="5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623</w:t>
            </w:r>
          </w:p>
        </w:tc>
        <w:tc>
          <w:tcPr>
            <w:tcW w:w="0" w:type="dxa"/>
            <w:vAlign w:val="bottom"/>
          </w:tcPr>
          <w:p>
            <w:pPr>
              <w:spacing w:after="0"/>
              <w:rPr>
                <w:sz w:val="1"/>
                <w:szCs w:val="1"/>
                <w:color w:val="auto"/>
              </w:rPr>
            </w:pPr>
          </w:p>
        </w:tc>
      </w:tr>
      <w:tr>
        <w:trPr>
          <w:trHeight w:val="175"/>
        </w:trPr>
        <w:tc>
          <w:tcPr>
            <w:tcW w:w="4500" w:type="dxa"/>
            <w:vAlign w:val="bottom"/>
          </w:tcPr>
          <w:p>
            <w:pPr>
              <w:ind w:left="440"/>
              <w:spacing w:after="0"/>
              <w:rPr>
                <w:sz w:val="20"/>
                <w:szCs w:val="20"/>
                <w:color w:val="auto"/>
              </w:rPr>
            </w:pPr>
            <w:r>
              <w:rPr>
                <w:rFonts w:ascii="Courier New" w:cs="Courier New" w:eastAsia="Courier New" w:hAnsi="Courier New"/>
                <w:sz w:val="15"/>
                <w:szCs w:val="15"/>
                <w:color w:val="auto"/>
              </w:rPr>
              <w:t>Commercial</w:t>
            </w:r>
          </w:p>
        </w:tc>
        <w:tc>
          <w:tcPr>
            <w:tcW w:w="10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ind w:left="440"/>
              <w:spacing w:after="0"/>
              <w:rPr>
                <w:sz w:val="20"/>
                <w:szCs w:val="20"/>
                <w:color w:val="auto"/>
              </w:rPr>
            </w:pPr>
            <w:r>
              <w:rPr>
                <w:rFonts w:ascii="Courier New" w:cs="Courier New" w:eastAsia="Courier New" w:hAnsi="Courier New"/>
                <w:sz w:val="15"/>
                <w:szCs w:val="15"/>
                <w:color w:val="auto"/>
              </w:rPr>
              <w:t>Installment</w:t>
            </w:r>
          </w:p>
        </w:tc>
        <w:tc>
          <w:tcPr>
            <w:tcW w:w="108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1,260</w:t>
            </w:r>
          </w:p>
        </w:tc>
        <w:tc>
          <w:tcPr>
            <w:tcW w:w="50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1,239</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1,053</w:t>
            </w:r>
          </w:p>
        </w:tc>
        <w:tc>
          <w:tcPr>
            <w:tcW w:w="0" w:type="dxa"/>
            <w:vAlign w:val="bottom"/>
          </w:tcPr>
          <w:p>
            <w:pPr>
              <w:spacing w:after="0"/>
              <w:rPr>
                <w:sz w:val="1"/>
                <w:szCs w:val="1"/>
                <w:color w:val="auto"/>
              </w:rPr>
            </w:pPr>
          </w:p>
        </w:tc>
      </w:tr>
      <w:tr>
        <w:trPr>
          <w:trHeight w:val="175"/>
        </w:trPr>
        <w:tc>
          <w:tcPr>
            <w:tcW w:w="4500" w:type="dxa"/>
            <w:vAlign w:val="bottom"/>
          </w:tcPr>
          <w:p>
            <w:pPr>
              <w:ind w:left="440"/>
              <w:spacing w:after="0"/>
              <w:rPr>
                <w:sz w:val="20"/>
                <w:szCs w:val="20"/>
                <w:color w:val="auto"/>
              </w:rPr>
            </w:pPr>
            <w:r>
              <w:rPr>
                <w:rFonts w:ascii="Courier New" w:cs="Courier New" w:eastAsia="Courier New" w:hAnsi="Courier New"/>
                <w:sz w:val="15"/>
                <w:szCs w:val="15"/>
                <w:color w:val="auto"/>
              </w:rPr>
              <w:t>Real estate mortgages</w:t>
            </w:r>
          </w:p>
        </w:tc>
        <w:tc>
          <w:tcPr>
            <w:tcW w:w="108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w:t>
            </w:r>
          </w:p>
        </w:tc>
        <w:tc>
          <w:tcPr>
            <w:tcW w:w="50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2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1,774</w:t>
            </w:r>
          </w:p>
        </w:tc>
        <w:tc>
          <w:tcPr>
            <w:tcW w:w="50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1,531</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1,711</w:t>
            </w:r>
          </w:p>
        </w:tc>
        <w:tc>
          <w:tcPr>
            <w:tcW w:w="0" w:type="dxa"/>
            <w:vAlign w:val="bottom"/>
          </w:tcPr>
          <w:p>
            <w:pPr>
              <w:spacing w:after="0"/>
              <w:rPr>
                <w:sz w:val="1"/>
                <w:szCs w:val="1"/>
                <w:color w:val="auto"/>
              </w:rPr>
            </w:pPr>
          </w:p>
        </w:tc>
      </w:tr>
      <w:tr>
        <w:trPr>
          <w:trHeight w:val="256"/>
        </w:trPr>
        <w:tc>
          <w:tcPr>
            <w:tcW w:w="4500" w:type="dxa"/>
            <w:vAlign w:val="bottom"/>
          </w:tcPr>
          <w:p>
            <w:pPr>
              <w:spacing w:after="0"/>
              <w:rPr>
                <w:sz w:val="22"/>
                <w:szCs w:val="22"/>
                <w:color w:val="auto"/>
              </w:rPr>
            </w:pPr>
          </w:p>
        </w:tc>
        <w:tc>
          <w:tcPr>
            <w:tcW w:w="2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500" w:type="dxa"/>
            <w:vAlign w:val="bottom"/>
          </w:tcPr>
          <w:p>
            <w:pPr>
              <w:spacing w:after="0"/>
              <w:rPr>
                <w:sz w:val="20"/>
                <w:szCs w:val="20"/>
                <w:color w:val="auto"/>
              </w:rPr>
            </w:pPr>
            <w:r>
              <w:rPr>
                <w:rFonts w:ascii="Courier New" w:cs="Courier New" w:eastAsia="Courier New" w:hAnsi="Courier New"/>
                <w:sz w:val="15"/>
                <w:szCs w:val="15"/>
                <w:color w:val="auto"/>
              </w:rPr>
              <w:t>Loan Recoveries:</w:t>
            </w:r>
          </w:p>
        </w:tc>
        <w:tc>
          <w:tcPr>
            <w:tcW w:w="1080" w:type="dxa"/>
            <w:vAlign w:val="bottom"/>
          </w:tcPr>
          <w:p>
            <w:pPr>
              <w:spacing w:after="0"/>
              <w:rPr>
                <w:sz w:val="23"/>
                <w:szCs w:val="23"/>
                <w:color w:val="auto"/>
              </w:rPr>
            </w:pPr>
          </w:p>
        </w:tc>
        <w:tc>
          <w:tcPr>
            <w:tcW w:w="10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540</w:t>
            </w:r>
          </w:p>
        </w:tc>
        <w:tc>
          <w:tcPr>
            <w:tcW w:w="500" w:type="dxa"/>
            <w:vAlign w:val="bottom"/>
          </w:tcPr>
          <w:p>
            <w:pPr>
              <w:spacing w:after="0"/>
              <w:rPr>
                <w:sz w:val="23"/>
                <w:szCs w:val="23"/>
                <w:color w:val="auto"/>
              </w:rPr>
            </w:pPr>
          </w:p>
        </w:tc>
        <w:tc>
          <w:tcPr>
            <w:tcW w:w="11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384</w:t>
            </w:r>
          </w:p>
        </w:tc>
        <w:tc>
          <w:tcPr>
            <w:tcW w:w="540" w:type="dxa"/>
            <w:vAlign w:val="bottom"/>
          </w:tcPr>
          <w:p>
            <w:pPr>
              <w:spacing w:after="0"/>
              <w:rPr>
                <w:sz w:val="23"/>
                <w:szCs w:val="23"/>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197</w:t>
            </w:r>
          </w:p>
        </w:tc>
        <w:tc>
          <w:tcPr>
            <w:tcW w:w="0" w:type="dxa"/>
            <w:vAlign w:val="bottom"/>
          </w:tcPr>
          <w:p>
            <w:pPr>
              <w:spacing w:after="0"/>
              <w:rPr>
                <w:sz w:val="1"/>
                <w:szCs w:val="1"/>
                <w:color w:val="auto"/>
              </w:rPr>
            </w:pPr>
          </w:p>
        </w:tc>
      </w:tr>
      <w:tr>
        <w:trPr>
          <w:trHeight w:val="175"/>
        </w:trPr>
        <w:tc>
          <w:tcPr>
            <w:tcW w:w="4500" w:type="dxa"/>
            <w:vAlign w:val="bottom"/>
          </w:tcPr>
          <w:p>
            <w:pPr>
              <w:ind w:left="440"/>
              <w:spacing w:after="0"/>
              <w:rPr>
                <w:sz w:val="20"/>
                <w:szCs w:val="20"/>
                <w:color w:val="auto"/>
              </w:rPr>
            </w:pPr>
            <w:r>
              <w:rPr>
                <w:rFonts w:ascii="Courier New" w:cs="Courier New" w:eastAsia="Courier New" w:hAnsi="Courier New"/>
                <w:sz w:val="15"/>
                <w:szCs w:val="15"/>
                <w:color w:val="auto"/>
              </w:rPr>
              <w:t>Commercial</w:t>
            </w:r>
          </w:p>
        </w:tc>
        <w:tc>
          <w:tcPr>
            <w:tcW w:w="10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ind w:left="440"/>
              <w:spacing w:after="0"/>
              <w:rPr>
                <w:sz w:val="20"/>
                <w:szCs w:val="20"/>
                <w:color w:val="auto"/>
              </w:rPr>
            </w:pPr>
            <w:r>
              <w:rPr>
                <w:rFonts w:ascii="Courier New" w:cs="Courier New" w:eastAsia="Courier New" w:hAnsi="Courier New"/>
                <w:sz w:val="15"/>
                <w:szCs w:val="15"/>
                <w:color w:val="auto"/>
              </w:rPr>
              <w:t>Installment</w:t>
            </w:r>
          </w:p>
        </w:tc>
        <w:tc>
          <w:tcPr>
            <w:tcW w:w="108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339</w:t>
            </w:r>
          </w:p>
        </w:tc>
        <w:tc>
          <w:tcPr>
            <w:tcW w:w="50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364</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c>
          <w:tcPr>
            <w:tcW w:w="0" w:type="dxa"/>
            <w:vAlign w:val="bottom"/>
          </w:tcPr>
          <w:p>
            <w:pPr>
              <w:spacing w:after="0"/>
              <w:rPr>
                <w:sz w:val="1"/>
                <w:szCs w:val="1"/>
                <w:color w:val="auto"/>
              </w:rPr>
            </w:pPr>
          </w:p>
        </w:tc>
      </w:tr>
      <w:tr>
        <w:trPr>
          <w:trHeight w:val="175"/>
        </w:trPr>
        <w:tc>
          <w:tcPr>
            <w:tcW w:w="4500" w:type="dxa"/>
            <w:vAlign w:val="bottom"/>
          </w:tcPr>
          <w:p>
            <w:pPr>
              <w:ind w:left="440"/>
              <w:spacing w:after="0"/>
              <w:rPr>
                <w:sz w:val="20"/>
                <w:szCs w:val="20"/>
                <w:color w:val="auto"/>
              </w:rPr>
            </w:pPr>
            <w:r>
              <w:rPr>
                <w:rFonts w:ascii="Courier New" w:cs="Courier New" w:eastAsia="Courier New" w:hAnsi="Courier New"/>
                <w:sz w:val="15"/>
                <w:szCs w:val="15"/>
                <w:color w:val="auto"/>
              </w:rPr>
              <w:t>Real estate mortgages</w:t>
            </w:r>
          </w:p>
        </w:tc>
        <w:tc>
          <w:tcPr>
            <w:tcW w:w="108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c>
          <w:tcPr>
            <w:tcW w:w="50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56"/>
        </w:trPr>
        <w:tc>
          <w:tcPr>
            <w:tcW w:w="4500" w:type="dxa"/>
            <w:vAlign w:val="bottom"/>
          </w:tcPr>
          <w:p>
            <w:pPr>
              <w:spacing w:after="0"/>
              <w:rPr>
                <w:sz w:val="22"/>
                <w:szCs w:val="22"/>
                <w:color w:val="auto"/>
              </w:rPr>
            </w:pPr>
          </w:p>
        </w:tc>
        <w:tc>
          <w:tcPr>
            <w:tcW w:w="2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882</w:t>
            </w:r>
          </w:p>
        </w:tc>
        <w:tc>
          <w:tcPr>
            <w:tcW w:w="500" w:type="dxa"/>
            <w:vAlign w:val="bottom"/>
          </w:tcPr>
          <w:p>
            <w:pPr>
              <w:spacing w:after="0"/>
              <w:rPr>
                <w:sz w:val="23"/>
                <w:szCs w:val="23"/>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770</w:t>
            </w: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643</w:t>
            </w:r>
          </w:p>
        </w:tc>
        <w:tc>
          <w:tcPr>
            <w:tcW w:w="0" w:type="dxa"/>
            <w:vAlign w:val="bottom"/>
          </w:tcPr>
          <w:p>
            <w:pPr>
              <w:spacing w:after="0"/>
              <w:rPr>
                <w:sz w:val="1"/>
                <w:szCs w:val="1"/>
                <w:color w:val="auto"/>
              </w:rPr>
            </w:pPr>
          </w:p>
        </w:tc>
      </w:tr>
      <w:tr>
        <w:trPr>
          <w:trHeight w:val="256"/>
        </w:trPr>
        <w:tc>
          <w:tcPr>
            <w:tcW w:w="4500" w:type="dxa"/>
            <w:vAlign w:val="bottom"/>
          </w:tcPr>
          <w:p>
            <w:pPr>
              <w:spacing w:after="0"/>
              <w:rPr>
                <w:sz w:val="22"/>
                <w:szCs w:val="22"/>
                <w:color w:val="auto"/>
              </w:rPr>
            </w:pPr>
          </w:p>
        </w:tc>
        <w:tc>
          <w:tcPr>
            <w:tcW w:w="2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4500" w:type="dxa"/>
            <w:vAlign w:val="bottom"/>
          </w:tcPr>
          <w:p>
            <w:pPr>
              <w:spacing w:after="0"/>
              <w:rPr>
                <w:sz w:val="20"/>
                <w:szCs w:val="20"/>
                <w:color w:val="auto"/>
              </w:rPr>
            </w:pPr>
            <w:r>
              <w:rPr>
                <w:rFonts w:ascii="Courier New" w:cs="Courier New" w:eastAsia="Courier New" w:hAnsi="Courier New"/>
                <w:sz w:val="15"/>
                <w:szCs w:val="15"/>
                <w:color w:val="auto"/>
              </w:rPr>
              <w:t>Net charged off</w:t>
            </w:r>
          </w:p>
        </w:tc>
        <w:tc>
          <w:tcPr>
            <w:tcW w:w="1080" w:type="dxa"/>
            <w:vAlign w:val="bottom"/>
          </w:tcPr>
          <w:p>
            <w:pPr>
              <w:spacing w:after="0"/>
              <w:rPr>
                <w:sz w:val="24"/>
                <w:szCs w:val="24"/>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892</w:t>
            </w:r>
          </w:p>
        </w:tc>
        <w:tc>
          <w:tcPr>
            <w:tcW w:w="500" w:type="dxa"/>
            <w:vAlign w:val="bottom"/>
          </w:tcPr>
          <w:p>
            <w:pPr>
              <w:spacing w:after="0"/>
              <w:rPr>
                <w:sz w:val="24"/>
                <w:szCs w:val="24"/>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761</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1,068</w:t>
            </w:r>
          </w:p>
        </w:tc>
        <w:tc>
          <w:tcPr>
            <w:tcW w:w="0" w:type="dxa"/>
            <w:vAlign w:val="bottom"/>
          </w:tcPr>
          <w:p>
            <w:pPr>
              <w:spacing w:after="0"/>
              <w:rPr>
                <w:sz w:val="1"/>
                <w:szCs w:val="1"/>
                <w:color w:val="auto"/>
              </w:rPr>
            </w:pPr>
          </w:p>
        </w:tc>
      </w:tr>
      <w:tr>
        <w:trPr>
          <w:trHeight w:val="268"/>
        </w:trPr>
        <w:tc>
          <w:tcPr>
            <w:tcW w:w="4500" w:type="dxa"/>
            <w:vAlign w:val="bottom"/>
          </w:tcPr>
          <w:p>
            <w:pPr>
              <w:spacing w:after="0"/>
              <w:rPr>
                <w:sz w:val="20"/>
                <w:szCs w:val="20"/>
                <w:color w:val="auto"/>
              </w:rPr>
            </w:pPr>
            <w:r>
              <w:rPr>
                <w:rFonts w:ascii="Courier New" w:cs="Courier New" w:eastAsia="Courier New" w:hAnsi="Courier New"/>
                <w:sz w:val="15"/>
                <w:szCs w:val="15"/>
                <w:color w:val="auto"/>
              </w:rPr>
              <w:t>Provision for loan loss</w:t>
            </w:r>
          </w:p>
        </w:tc>
        <w:tc>
          <w:tcPr>
            <w:tcW w:w="1080" w:type="dxa"/>
            <w:vAlign w:val="bottom"/>
          </w:tcPr>
          <w:p>
            <w:pPr>
              <w:spacing w:after="0"/>
              <w:rPr>
                <w:sz w:val="23"/>
                <w:szCs w:val="23"/>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892</w:t>
            </w:r>
          </w:p>
        </w:tc>
        <w:tc>
          <w:tcPr>
            <w:tcW w:w="500" w:type="dxa"/>
            <w:vAlign w:val="bottom"/>
          </w:tcPr>
          <w:p>
            <w:pPr>
              <w:spacing w:after="0"/>
              <w:rPr>
                <w:sz w:val="23"/>
                <w:szCs w:val="23"/>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1,111</w:t>
            </w: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1,068</w:t>
            </w:r>
          </w:p>
        </w:tc>
        <w:tc>
          <w:tcPr>
            <w:tcW w:w="0" w:type="dxa"/>
            <w:vAlign w:val="bottom"/>
          </w:tcPr>
          <w:p>
            <w:pPr>
              <w:spacing w:after="0"/>
              <w:rPr>
                <w:sz w:val="1"/>
                <w:szCs w:val="1"/>
                <w:color w:val="auto"/>
              </w:rPr>
            </w:pPr>
          </w:p>
        </w:tc>
      </w:tr>
      <w:tr>
        <w:trPr>
          <w:trHeight w:val="256"/>
        </w:trPr>
        <w:tc>
          <w:tcPr>
            <w:tcW w:w="4500" w:type="dxa"/>
            <w:vAlign w:val="bottom"/>
          </w:tcPr>
          <w:p>
            <w:pPr>
              <w:spacing w:after="0"/>
              <w:rPr>
                <w:sz w:val="22"/>
                <w:szCs w:val="22"/>
                <w:color w:val="auto"/>
              </w:rPr>
            </w:pPr>
          </w:p>
        </w:tc>
        <w:tc>
          <w:tcPr>
            <w:tcW w:w="2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500" w:type="dxa"/>
            <w:vAlign w:val="bottom"/>
          </w:tcPr>
          <w:p>
            <w:pPr>
              <w:spacing w:after="0"/>
              <w:rPr>
                <w:sz w:val="20"/>
                <w:szCs w:val="20"/>
                <w:color w:val="auto"/>
              </w:rPr>
            </w:pPr>
            <w:r>
              <w:rPr>
                <w:rFonts w:ascii="Courier New" w:cs="Courier New" w:eastAsia="Courier New" w:hAnsi="Courier New"/>
                <w:sz w:val="15"/>
                <w:szCs w:val="15"/>
                <w:color w:val="auto"/>
              </w:rPr>
              <w:t>Allowance for Loan Losses - End of Year</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5,850</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5,850</w:t>
            </w:r>
          </w:p>
        </w:tc>
        <w:tc>
          <w:tcPr>
            <w:tcW w:w="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5,500</w:t>
            </w:r>
          </w:p>
        </w:tc>
        <w:tc>
          <w:tcPr>
            <w:tcW w:w="0" w:type="dxa"/>
            <w:vAlign w:val="bottom"/>
          </w:tcPr>
          <w:p>
            <w:pPr>
              <w:spacing w:after="0"/>
              <w:rPr>
                <w:sz w:val="1"/>
                <w:szCs w:val="1"/>
                <w:color w:val="auto"/>
              </w:rPr>
            </w:pPr>
          </w:p>
        </w:tc>
      </w:tr>
      <w:tr>
        <w:trPr>
          <w:trHeight w:val="256"/>
        </w:trPr>
        <w:tc>
          <w:tcPr>
            <w:tcW w:w="4500" w:type="dxa"/>
            <w:vAlign w:val="bottom"/>
          </w:tcPr>
          <w:p>
            <w:pPr>
              <w:spacing w:after="0"/>
              <w:rPr>
                <w:sz w:val="22"/>
                <w:szCs w:val="22"/>
                <w:color w:val="auto"/>
              </w:rPr>
            </w:pPr>
          </w:p>
        </w:tc>
        <w:tc>
          <w:tcPr>
            <w:tcW w:w="2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500" w:type="dxa"/>
            <w:vAlign w:val="bottom"/>
          </w:tcPr>
          <w:p>
            <w:pPr>
              <w:spacing w:after="0"/>
              <w:rPr>
                <w:sz w:val="20"/>
                <w:szCs w:val="20"/>
                <w:color w:val="auto"/>
              </w:rPr>
            </w:pPr>
            <w:r>
              <w:rPr>
                <w:rFonts w:ascii="Courier New" w:cs="Courier New" w:eastAsia="Courier New" w:hAnsi="Courier New"/>
                <w:sz w:val="15"/>
                <w:szCs w:val="15"/>
                <w:color w:val="auto"/>
              </w:rPr>
              <w:t>Ratio of net charge-offs to average loans</w:t>
            </w:r>
          </w:p>
        </w:tc>
        <w:tc>
          <w:tcPr>
            <w:tcW w:w="1080" w:type="dxa"/>
            <w:vAlign w:val="bottom"/>
          </w:tcPr>
          <w:p>
            <w:pPr>
              <w:spacing w:after="0"/>
              <w:rPr>
                <w:sz w:val="23"/>
                <w:szCs w:val="23"/>
                <w:color w:val="auto"/>
              </w:rPr>
            </w:pPr>
          </w:p>
        </w:tc>
        <w:tc>
          <w:tcPr>
            <w:tcW w:w="104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.22%</w:t>
            </w:r>
          </w:p>
        </w:tc>
        <w:tc>
          <w:tcPr>
            <w:tcW w:w="500" w:type="dxa"/>
            <w:vAlign w:val="bottom"/>
          </w:tcPr>
          <w:p>
            <w:pPr>
              <w:spacing w:after="0"/>
              <w:rPr>
                <w:sz w:val="23"/>
                <w:szCs w:val="23"/>
                <w:color w:val="auto"/>
              </w:rPr>
            </w:pPr>
          </w:p>
        </w:tc>
        <w:tc>
          <w:tcPr>
            <w:tcW w:w="11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spacing w:after="0"/>
              <w:rPr>
                <w:sz w:val="23"/>
                <w:szCs w:val="23"/>
                <w:color w:val="auto"/>
              </w:rPr>
            </w:pP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5"/>
        </w:trPr>
        <w:tc>
          <w:tcPr>
            <w:tcW w:w="450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10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500" w:type="dxa"/>
            <w:vAlign w:val="bottom"/>
          </w:tcPr>
          <w:p>
            <w:pPr>
              <w:spacing w:after="0"/>
              <w:rPr>
                <w:sz w:val="22"/>
                <w:szCs w:val="22"/>
                <w:color w:val="auto"/>
              </w:rPr>
            </w:pPr>
          </w:p>
        </w:tc>
        <w:tc>
          <w:tcPr>
            <w:tcW w:w="2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5"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56"/>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16</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5760" w:type="dxa"/>
            <w:vAlign w:val="bottom"/>
          </w:tcPr>
          <w:p>
            <w:pPr>
              <w:ind w:left="820"/>
              <w:spacing w:after="0"/>
              <w:rPr>
                <w:sz w:val="20"/>
                <w:szCs w:val="20"/>
                <w:color w:val="auto"/>
              </w:rPr>
            </w:pPr>
            <w:r>
              <w:rPr>
                <w:rFonts w:ascii="Courier New" w:cs="Courier New" w:eastAsia="Courier New" w:hAnsi="Courier New"/>
                <w:sz w:val="15"/>
                <w:szCs w:val="15"/>
                <w:color w:val="auto"/>
              </w:rPr>
              <w:t>Allocation of the allowance for loan losses:</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5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24"/>
                <w:szCs w:val="24"/>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2"/>
                <w:szCs w:val="22"/>
                <w:color w:val="auto"/>
              </w:rPr>
            </w:pPr>
          </w:p>
        </w:tc>
        <w:tc>
          <w:tcPr>
            <w:tcW w:w="2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76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1140" w:type="dxa"/>
            <w:vAlign w:val="bottom"/>
          </w:tcPr>
          <w:p>
            <w:pPr>
              <w:ind w:left="104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345,577</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307,317</w:t>
            </w: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2"/>
                <w:szCs w:val="22"/>
                <w:color w:val="auto"/>
              </w:rPr>
            </w:pPr>
          </w:p>
        </w:tc>
        <w:tc>
          <w:tcPr>
            <w:tcW w:w="2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760" w:type="dxa"/>
            <w:vAlign w:val="bottom"/>
          </w:tcPr>
          <w:p>
            <w:pPr>
              <w:spacing w:after="0"/>
              <w:rPr>
                <w:sz w:val="20"/>
                <w:szCs w:val="20"/>
                <w:color w:val="auto"/>
              </w:rPr>
            </w:pPr>
            <w:r>
              <w:rPr>
                <w:rFonts w:ascii="Courier New" w:cs="Courier New" w:eastAsia="Courier New" w:hAnsi="Courier New"/>
                <w:sz w:val="15"/>
                <w:szCs w:val="15"/>
                <w:color w:val="auto"/>
              </w:rPr>
              <w:t>Daily average of outstanding loans</w:t>
            </w:r>
          </w:p>
        </w:tc>
        <w:tc>
          <w:tcPr>
            <w:tcW w:w="1140" w:type="dxa"/>
            <w:vAlign w:val="bottom"/>
          </w:tcPr>
          <w:p>
            <w:pPr>
              <w:ind w:left="104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324,239</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277,729</w:t>
            </w: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2"/>
                <w:szCs w:val="22"/>
                <w:color w:val="auto"/>
              </w:rPr>
            </w:pPr>
          </w:p>
        </w:tc>
        <w:tc>
          <w:tcPr>
            <w:tcW w:w="2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760" w:type="dxa"/>
            <w:vAlign w:val="bottom"/>
          </w:tcPr>
          <w:p>
            <w:pPr>
              <w:spacing w:after="0"/>
              <w:rPr>
                <w:sz w:val="20"/>
                <w:szCs w:val="20"/>
                <w:color w:val="auto"/>
              </w:rPr>
            </w:pPr>
            <w:r>
              <w:rPr>
                <w:rFonts w:ascii="Courier New" w:cs="Courier New" w:eastAsia="Courier New" w:hAnsi="Courier New"/>
                <w:sz w:val="15"/>
                <w:szCs w:val="15"/>
                <w:color w:val="auto"/>
              </w:rPr>
              <w:t>Allowance for loan losses -</w:t>
            </w:r>
          </w:p>
        </w:tc>
        <w:tc>
          <w:tcPr>
            <w:tcW w:w="1140" w:type="dxa"/>
            <w:vAlign w:val="bottom"/>
            <w:vMerge w:val="restart"/>
          </w:tcPr>
          <w:p>
            <w:pPr>
              <w:ind w:left="104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5,500</w:t>
            </w:r>
          </w:p>
        </w:tc>
        <w:tc>
          <w:tcPr>
            <w:tcW w:w="4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5,000</w:t>
            </w:r>
          </w:p>
        </w:tc>
        <w:tc>
          <w:tcPr>
            <w:tcW w:w="0" w:type="dxa"/>
            <w:vAlign w:val="bottom"/>
          </w:tcPr>
          <w:p>
            <w:pPr>
              <w:spacing w:after="0"/>
              <w:rPr>
                <w:sz w:val="1"/>
                <w:szCs w:val="1"/>
                <w:color w:val="auto"/>
              </w:rPr>
            </w:pPr>
          </w:p>
        </w:tc>
      </w:tr>
      <w:tr>
        <w:trPr>
          <w:trHeight w:val="256"/>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beginning of year</w:t>
            </w:r>
          </w:p>
        </w:tc>
        <w:tc>
          <w:tcPr>
            <w:tcW w:w="114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40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760" w:type="dxa"/>
            <w:vAlign w:val="bottom"/>
          </w:tcPr>
          <w:p>
            <w:pPr>
              <w:spacing w:after="0"/>
              <w:rPr>
                <w:sz w:val="20"/>
                <w:szCs w:val="20"/>
                <w:color w:val="auto"/>
              </w:rPr>
            </w:pPr>
            <w:r>
              <w:rPr>
                <w:rFonts w:ascii="Courier New" w:cs="Courier New" w:eastAsia="Courier New" w:hAnsi="Courier New"/>
                <w:sz w:val="15"/>
                <w:szCs w:val="15"/>
                <w:color w:val="auto"/>
              </w:rPr>
              <w:t>Loans Charged Off:</w:t>
            </w:r>
          </w:p>
        </w:tc>
        <w:tc>
          <w:tcPr>
            <w:tcW w:w="1140" w:type="dxa"/>
            <w:vAlign w:val="bottom"/>
          </w:tcPr>
          <w:p>
            <w:pPr>
              <w:spacing w:after="0"/>
              <w:rPr>
                <w:sz w:val="23"/>
                <w:szCs w:val="23"/>
                <w:color w:val="auto"/>
              </w:rPr>
            </w:pPr>
          </w:p>
        </w:tc>
        <w:tc>
          <w:tcPr>
            <w:tcW w:w="12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748</w:t>
            </w:r>
          </w:p>
        </w:tc>
        <w:tc>
          <w:tcPr>
            <w:tcW w:w="400" w:type="dxa"/>
            <w:vAlign w:val="bottom"/>
          </w:tcPr>
          <w:p>
            <w:pPr>
              <w:spacing w:after="0"/>
              <w:rPr>
                <w:sz w:val="23"/>
                <w:szCs w:val="23"/>
                <w:color w:val="auto"/>
              </w:rPr>
            </w:pP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602</w:t>
            </w:r>
          </w:p>
        </w:tc>
        <w:tc>
          <w:tcPr>
            <w:tcW w:w="0" w:type="dxa"/>
            <w:vAlign w:val="bottom"/>
          </w:tcPr>
          <w:p>
            <w:pPr>
              <w:spacing w:after="0"/>
              <w:rPr>
                <w:sz w:val="1"/>
                <w:szCs w:val="1"/>
                <w:color w:val="auto"/>
              </w:rPr>
            </w:pPr>
          </w:p>
        </w:tc>
      </w:tr>
      <w:tr>
        <w:trPr>
          <w:trHeight w:val="175"/>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Commercial</w:t>
            </w:r>
          </w:p>
        </w:tc>
        <w:tc>
          <w:tcPr>
            <w:tcW w:w="11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Installment</w:t>
            </w:r>
          </w:p>
        </w:tc>
        <w:tc>
          <w:tcPr>
            <w:tcW w:w="114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691</w:t>
            </w:r>
          </w:p>
        </w:tc>
        <w:tc>
          <w:tcPr>
            <w:tcW w:w="40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569</w:t>
            </w:r>
          </w:p>
        </w:tc>
        <w:tc>
          <w:tcPr>
            <w:tcW w:w="0" w:type="dxa"/>
            <w:vAlign w:val="bottom"/>
          </w:tcPr>
          <w:p>
            <w:pPr>
              <w:spacing w:after="0"/>
              <w:rPr>
                <w:sz w:val="1"/>
                <w:szCs w:val="1"/>
                <w:color w:val="auto"/>
              </w:rPr>
            </w:pPr>
          </w:p>
        </w:tc>
      </w:tr>
      <w:tr>
        <w:trPr>
          <w:trHeight w:val="175"/>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Real estate mortgages</w:t>
            </w:r>
          </w:p>
        </w:tc>
        <w:tc>
          <w:tcPr>
            <w:tcW w:w="114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w:t>
            </w:r>
          </w:p>
        </w:tc>
        <w:tc>
          <w:tcPr>
            <w:tcW w:w="40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2"/>
                <w:szCs w:val="22"/>
                <w:color w:val="auto"/>
              </w:rPr>
            </w:pPr>
          </w:p>
        </w:tc>
        <w:tc>
          <w:tcPr>
            <w:tcW w:w="2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1,479</w:t>
            </w:r>
          </w:p>
        </w:tc>
        <w:tc>
          <w:tcPr>
            <w:tcW w:w="400" w:type="dxa"/>
            <w:vAlign w:val="bottom"/>
          </w:tcPr>
          <w:p>
            <w:pPr>
              <w:spacing w:after="0"/>
              <w:rPr>
                <w:sz w:val="23"/>
                <w:szCs w:val="23"/>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1,171</w:t>
            </w: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2"/>
                <w:szCs w:val="22"/>
                <w:color w:val="auto"/>
              </w:rPr>
            </w:pPr>
          </w:p>
        </w:tc>
        <w:tc>
          <w:tcPr>
            <w:tcW w:w="2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760" w:type="dxa"/>
            <w:vAlign w:val="bottom"/>
          </w:tcPr>
          <w:p>
            <w:pPr>
              <w:spacing w:after="0"/>
              <w:rPr>
                <w:sz w:val="20"/>
                <w:szCs w:val="20"/>
                <w:color w:val="auto"/>
              </w:rPr>
            </w:pPr>
            <w:r>
              <w:rPr>
                <w:rFonts w:ascii="Courier New" w:cs="Courier New" w:eastAsia="Courier New" w:hAnsi="Courier New"/>
                <w:sz w:val="15"/>
                <w:szCs w:val="15"/>
                <w:color w:val="auto"/>
              </w:rPr>
              <w:t>Loan Recoveries:</w:t>
            </w:r>
          </w:p>
        </w:tc>
        <w:tc>
          <w:tcPr>
            <w:tcW w:w="1140" w:type="dxa"/>
            <w:vAlign w:val="bottom"/>
          </w:tcPr>
          <w:p>
            <w:pPr>
              <w:spacing w:after="0"/>
              <w:rPr>
                <w:sz w:val="23"/>
                <w:szCs w:val="23"/>
                <w:color w:val="auto"/>
              </w:rPr>
            </w:pPr>
          </w:p>
        </w:tc>
        <w:tc>
          <w:tcPr>
            <w:tcW w:w="12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584</w:t>
            </w:r>
          </w:p>
        </w:tc>
        <w:tc>
          <w:tcPr>
            <w:tcW w:w="400" w:type="dxa"/>
            <w:vAlign w:val="bottom"/>
          </w:tcPr>
          <w:p>
            <w:pPr>
              <w:spacing w:after="0"/>
              <w:rPr>
                <w:sz w:val="23"/>
                <w:szCs w:val="23"/>
                <w:color w:val="auto"/>
              </w:rPr>
            </w:pP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729</w:t>
            </w:r>
          </w:p>
        </w:tc>
        <w:tc>
          <w:tcPr>
            <w:tcW w:w="0" w:type="dxa"/>
            <w:vAlign w:val="bottom"/>
          </w:tcPr>
          <w:p>
            <w:pPr>
              <w:spacing w:after="0"/>
              <w:rPr>
                <w:sz w:val="1"/>
                <w:szCs w:val="1"/>
                <w:color w:val="auto"/>
              </w:rPr>
            </w:pPr>
          </w:p>
        </w:tc>
      </w:tr>
      <w:tr>
        <w:trPr>
          <w:trHeight w:val="175"/>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Commercial</w:t>
            </w:r>
          </w:p>
        </w:tc>
        <w:tc>
          <w:tcPr>
            <w:tcW w:w="11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Installment</w:t>
            </w:r>
          </w:p>
        </w:tc>
        <w:tc>
          <w:tcPr>
            <w:tcW w:w="114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426</w:t>
            </w:r>
          </w:p>
        </w:tc>
        <w:tc>
          <w:tcPr>
            <w:tcW w:w="40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311</w:t>
            </w:r>
          </w:p>
        </w:tc>
        <w:tc>
          <w:tcPr>
            <w:tcW w:w="0" w:type="dxa"/>
            <w:vAlign w:val="bottom"/>
          </w:tcPr>
          <w:p>
            <w:pPr>
              <w:spacing w:after="0"/>
              <w:rPr>
                <w:sz w:val="1"/>
                <w:szCs w:val="1"/>
                <w:color w:val="auto"/>
              </w:rPr>
            </w:pPr>
          </w:p>
        </w:tc>
      </w:tr>
      <w:tr>
        <w:trPr>
          <w:trHeight w:val="175"/>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Real estate mortgages</w:t>
            </w:r>
          </w:p>
        </w:tc>
        <w:tc>
          <w:tcPr>
            <w:tcW w:w="114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w:t>
            </w:r>
          </w:p>
        </w:tc>
        <w:tc>
          <w:tcPr>
            <w:tcW w:w="40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2"/>
                <w:szCs w:val="22"/>
                <w:color w:val="auto"/>
              </w:rPr>
            </w:pPr>
          </w:p>
        </w:tc>
        <w:tc>
          <w:tcPr>
            <w:tcW w:w="2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1,094</w:t>
            </w:r>
          </w:p>
        </w:tc>
        <w:tc>
          <w:tcPr>
            <w:tcW w:w="400" w:type="dxa"/>
            <w:vAlign w:val="bottom"/>
          </w:tcPr>
          <w:p>
            <w:pPr>
              <w:spacing w:after="0"/>
              <w:rPr>
                <w:sz w:val="23"/>
                <w:szCs w:val="23"/>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1,107</w:t>
            </w: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2"/>
                <w:szCs w:val="22"/>
                <w:color w:val="auto"/>
              </w:rPr>
            </w:pPr>
          </w:p>
        </w:tc>
        <w:tc>
          <w:tcPr>
            <w:tcW w:w="2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5760" w:type="dxa"/>
            <w:vAlign w:val="bottom"/>
          </w:tcPr>
          <w:p>
            <w:pPr>
              <w:spacing w:after="0"/>
              <w:rPr>
                <w:sz w:val="20"/>
                <w:szCs w:val="20"/>
                <w:color w:val="auto"/>
              </w:rPr>
            </w:pPr>
            <w:r>
              <w:rPr>
                <w:rFonts w:ascii="Courier New" w:cs="Courier New" w:eastAsia="Courier New" w:hAnsi="Courier New"/>
                <w:sz w:val="15"/>
                <w:szCs w:val="15"/>
                <w:color w:val="auto"/>
              </w:rPr>
              <w:t>Net charged off</w:t>
            </w:r>
          </w:p>
        </w:tc>
        <w:tc>
          <w:tcPr>
            <w:tcW w:w="1140" w:type="dxa"/>
            <w:vAlign w:val="bottom"/>
          </w:tcPr>
          <w:p>
            <w:pPr>
              <w:spacing w:after="0"/>
              <w:rPr>
                <w:sz w:val="24"/>
                <w:szCs w:val="24"/>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385</w:t>
            </w:r>
          </w:p>
        </w:tc>
        <w:tc>
          <w:tcPr>
            <w:tcW w:w="400" w:type="dxa"/>
            <w:vAlign w:val="bottom"/>
          </w:tcPr>
          <w:p>
            <w:pPr>
              <w:spacing w:after="0"/>
              <w:rPr>
                <w:sz w:val="24"/>
                <w:szCs w:val="24"/>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w:t>
            </w:r>
          </w:p>
        </w:tc>
        <w:tc>
          <w:tcPr>
            <w:tcW w:w="0" w:type="dxa"/>
            <w:vAlign w:val="bottom"/>
          </w:tcPr>
          <w:p>
            <w:pPr>
              <w:spacing w:after="0"/>
              <w:rPr>
                <w:sz w:val="1"/>
                <w:szCs w:val="1"/>
                <w:color w:val="auto"/>
              </w:rPr>
            </w:pPr>
          </w:p>
        </w:tc>
      </w:tr>
      <w:tr>
        <w:trPr>
          <w:trHeight w:val="268"/>
        </w:trPr>
        <w:tc>
          <w:tcPr>
            <w:tcW w:w="5760" w:type="dxa"/>
            <w:vAlign w:val="bottom"/>
          </w:tcPr>
          <w:p>
            <w:pPr>
              <w:spacing w:after="0"/>
              <w:rPr>
                <w:sz w:val="20"/>
                <w:szCs w:val="20"/>
                <w:color w:val="auto"/>
              </w:rPr>
            </w:pPr>
            <w:r>
              <w:rPr>
                <w:rFonts w:ascii="Courier New" w:cs="Courier New" w:eastAsia="Courier New" w:hAnsi="Courier New"/>
                <w:sz w:val="15"/>
                <w:szCs w:val="15"/>
                <w:color w:val="auto"/>
              </w:rPr>
              <w:t>Provision for loan loss</w:t>
            </w:r>
          </w:p>
        </w:tc>
        <w:tc>
          <w:tcPr>
            <w:tcW w:w="1140" w:type="dxa"/>
            <w:vAlign w:val="bottom"/>
          </w:tcPr>
          <w:p>
            <w:pPr>
              <w:spacing w:after="0"/>
              <w:rPr>
                <w:sz w:val="23"/>
                <w:szCs w:val="23"/>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385</w:t>
            </w:r>
          </w:p>
        </w:tc>
        <w:tc>
          <w:tcPr>
            <w:tcW w:w="400" w:type="dxa"/>
            <w:vAlign w:val="bottom"/>
          </w:tcPr>
          <w:p>
            <w:pPr>
              <w:spacing w:after="0"/>
              <w:rPr>
                <w:sz w:val="23"/>
                <w:szCs w:val="23"/>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564</w:t>
            </w: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2"/>
                <w:szCs w:val="22"/>
                <w:color w:val="auto"/>
              </w:rPr>
            </w:pPr>
          </w:p>
        </w:tc>
        <w:tc>
          <w:tcPr>
            <w:tcW w:w="2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760" w:type="dxa"/>
            <w:vAlign w:val="bottom"/>
          </w:tcPr>
          <w:p>
            <w:pPr>
              <w:spacing w:after="0"/>
              <w:rPr>
                <w:sz w:val="20"/>
                <w:szCs w:val="20"/>
                <w:color w:val="auto"/>
              </w:rPr>
            </w:pPr>
            <w:r>
              <w:rPr>
                <w:rFonts w:ascii="Courier New" w:cs="Courier New" w:eastAsia="Courier New" w:hAnsi="Courier New"/>
                <w:sz w:val="15"/>
                <w:szCs w:val="15"/>
                <w:color w:val="auto"/>
              </w:rPr>
              <w:t>Allowance for Loan Losses - End of Year</w:t>
            </w:r>
          </w:p>
        </w:tc>
        <w:tc>
          <w:tcPr>
            <w:tcW w:w="1140" w:type="dxa"/>
            <w:vAlign w:val="bottom"/>
          </w:tcPr>
          <w:p>
            <w:pPr>
              <w:ind w:left="104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5,500</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5,500</w:t>
            </w: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2"/>
                <w:szCs w:val="22"/>
                <w:color w:val="auto"/>
              </w:rPr>
            </w:pPr>
          </w:p>
        </w:tc>
        <w:tc>
          <w:tcPr>
            <w:tcW w:w="2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760" w:type="dxa"/>
            <w:vAlign w:val="bottom"/>
          </w:tcPr>
          <w:p>
            <w:pPr>
              <w:spacing w:after="0"/>
              <w:rPr>
                <w:sz w:val="20"/>
                <w:szCs w:val="20"/>
                <w:color w:val="auto"/>
              </w:rPr>
            </w:pPr>
            <w:r>
              <w:rPr>
                <w:rFonts w:ascii="Courier New" w:cs="Courier New" w:eastAsia="Courier New" w:hAnsi="Courier New"/>
                <w:sz w:val="15"/>
                <w:szCs w:val="15"/>
                <w:color w:val="auto"/>
              </w:rPr>
              <w:t>Ratio of net charge-offs to average loans outstanding</w:t>
            </w:r>
          </w:p>
        </w:tc>
        <w:tc>
          <w:tcPr>
            <w:tcW w:w="1140" w:type="dxa"/>
            <w:vAlign w:val="bottom"/>
          </w:tcPr>
          <w:p>
            <w:pPr>
              <w:spacing w:after="0"/>
              <w:rPr>
                <w:sz w:val="23"/>
                <w:szCs w:val="23"/>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w:t>
            </w:r>
          </w:p>
        </w:tc>
        <w:tc>
          <w:tcPr>
            <w:tcW w:w="400" w:type="dxa"/>
            <w:vAlign w:val="bottom"/>
          </w:tcPr>
          <w:p>
            <w:pPr>
              <w:spacing w:after="0"/>
              <w:rPr>
                <w:sz w:val="23"/>
                <w:szCs w:val="23"/>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2"/>
                <w:szCs w:val="22"/>
                <w:color w:val="auto"/>
              </w:rPr>
            </w:pPr>
          </w:p>
        </w:tc>
        <w:tc>
          <w:tcPr>
            <w:tcW w:w="242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5760" w:type="dxa"/>
            <w:vAlign w:val="bottom"/>
          </w:tcPr>
          <w:p>
            <w:pPr>
              <w:ind w:left="820"/>
              <w:spacing w:after="0"/>
              <w:rPr>
                <w:sz w:val="20"/>
                <w:szCs w:val="20"/>
                <w:color w:val="auto"/>
              </w:rPr>
            </w:pPr>
            <w:r>
              <w:rPr>
                <w:rFonts w:ascii="Courier New" w:cs="Courier New" w:eastAsia="Courier New" w:hAnsi="Courier New"/>
                <w:sz w:val="15"/>
                <w:szCs w:val="15"/>
                <w:color w:val="auto"/>
              </w:rPr>
              <w:t>Allocation of the allowance for loan losses:</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5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Percent of</w:t>
            </w:r>
          </w:p>
        </w:tc>
        <w:tc>
          <w:tcPr>
            <w:tcW w:w="0" w:type="dxa"/>
            <w:vAlign w:val="bottom"/>
          </w:tcPr>
          <w:p>
            <w:pPr>
              <w:spacing w:after="0"/>
              <w:rPr>
                <w:sz w:val="1"/>
                <w:szCs w:val="1"/>
                <w:color w:val="auto"/>
              </w:rPr>
            </w:pPr>
          </w:p>
        </w:tc>
      </w:tr>
      <w:tr>
        <w:trPr>
          <w:trHeight w:val="175"/>
        </w:trPr>
        <w:tc>
          <w:tcPr>
            <w:tcW w:w="5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vMerge w:val="restart"/>
          </w:tcPr>
          <w:p>
            <w:pPr>
              <w:jc w:val="right"/>
              <w:ind w:right="664"/>
              <w:spacing w:after="0"/>
              <w:rPr>
                <w:sz w:val="20"/>
                <w:szCs w:val="20"/>
                <w:color w:val="auto"/>
              </w:rPr>
            </w:pPr>
            <w:r>
              <w:rPr>
                <w:rFonts w:ascii="Courier New" w:cs="Courier New" w:eastAsia="Courier New" w:hAnsi="Courier New"/>
                <w:sz w:val="15"/>
                <w:szCs w:val="15"/>
                <w:color w:val="auto"/>
                <w:w w:val="96"/>
              </w:rPr>
              <w:t>Amount</w:t>
            </w:r>
          </w:p>
        </w:tc>
        <w:tc>
          <w:tcPr>
            <w:tcW w:w="40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Loans in</w:t>
            </w:r>
          </w:p>
        </w:tc>
        <w:tc>
          <w:tcPr>
            <w:tcW w:w="0" w:type="dxa"/>
            <w:vAlign w:val="bottom"/>
          </w:tcPr>
          <w:p>
            <w:pPr>
              <w:spacing w:after="0"/>
              <w:rPr>
                <w:sz w:val="1"/>
                <w:szCs w:val="1"/>
                <w:color w:val="auto"/>
              </w:rPr>
            </w:pPr>
          </w:p>
        </w:tc>
      </w:tr>
      <w:tr>
        <w:trPr>
          <w:trHeight w:val="175"/>
        </w:trPr>
        <w:tc>
          <w:tcPr>
            <w:tcW w:w="57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End of Period Applicable To:</w:t>
            </w:r>
          </w:p>
        </w:tc>
        <w:tc>
          <w:tcPr>
            <w:tcW w:w="11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Each Category</w:t>
            </w:r>
          </w:p>
        </w:tc>
        <w:tc>
          <w:tcPr>
            <w:tcW w:w="0" w:type="dxa"/>
            <w:vAlign w:val="bottom"/>
          </w:tcPr>
          <w:p>
            <w:pPr>
              <w:spacing w:after="0"/>
              <w:rPr>
                <w:sz w:val="1"/>
                <w:szCs w:val="1"/>
                <w:color w:val="auto"/>
              </w:rPr>
            </w:pPr>
          </w:p>
        </w:tc>
      </w:tr>
      <w:tr>
        <w:trPr>
          <w:trHeight w:val="175"/>
        </w:trPr>
        <w:tc>
          <w:tcPr>
            <w:tcW w:w="5760" w:type="dxa"/>
            <w:vAlign w:val="bottom"/>
            <w:vMerge w:val="continue"/>
          </w:tcPr>
          <w:p>
            <w:pPr>
              <w:spacing w:after="0"/>
              <w:rPr>
                <w:sz w:val="15"/>
                <w:szCs w:val="15"/>
                <w:color w:val="auto"/>
              </w:rPr>
            </w:pPr>
          </w:p>
        </w:tc>
        <w:tc>
          <w:tcPr>
            <w:tcW w:w="2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(in thousands)</w:t>
            </w:r>
          </w:p>
        </w:tc>
        <w:tc>
          <w:tcPr>
            <w:tcW w:w="1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 Total Loans</w:t>
            </w: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2"/>
                <w:szCs w:val="22"/>
                <w:color w:val="auto"/>
              </w:rPr>
            </w:pPr>
          </w:p>
        </w:tc>
        <w:tc>
          <w:tcPr>
            <w:tcW w:w="2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8"/>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Commercial and industrial</w:t>
            </w:r>
          </w:p>
        </w:tc>
        <w:tc>
          <w:tcPr>
            <w:tcW w:w="1140" w:type="dxa"/>
            <w:vAlign w:val="bottom"/>
          </w:tcPr>
          <w:p>
            <w:pPr>
              <w:ind w:left="104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3,281</w:t>
            </w:r>
          </w:p>
        </w:tc>
        <w:tc>
          <w:tcPr>
            <w:tcW w:w="400" w:type="dxa"/>
            <w:vAlign w:val="bottom"/>
          </w:tcPr>
          <w:p>
            <w:pPr>
              <w:spacing w:after="0"/>
              <w:rPr>
                <w:sz w:val="23"/>
                <w:szCs w:val="23"/>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32.43%</w:t>
            </w:r>
          </w:p>
        </w:tc>
        <w:tc>
          <w:tcPr>
            <w:tcW w:w="0" w:type="dxa"/>
            <w:vAlign w:val="bottom"/>
          </w:tcPr>
          <w:p>
            <w:pPr>
              <w:spacing w:after="0"/>
              <w:rPr>
                <w:sz w:val="1"/>
                <w:szCs w:val="1"/>
                <w:color w:val="auto"/>
              </w:rPr>
            </w:pPr>
          </w:p>
        </w:tc>
      </w:tr>
      <w:tr>
        <w:trPr>
          <w:trHeight w:val="175"/>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Installment</w:t>
            </w:r>
          </w:p>
        </w:tc>
        <w:tc>
          <w:tcPr>
            <w:tcW w:w="114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1,665</w:t>
            </w:r>
          </w:p>
        </w:tc>
        <w:tc>
          <w:tcPr>
            <w:tcW w:w="40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17.53%</w:t>
            </w:r>
          </w:p>
        </w:tc>
        <w:tc>
          <w:tcPr>
            <w:tcW w:w="0" w:type="dxa"/>
            <w:vAlign w:val="bottom"/>
          </w:tcPr>
          <w:p>
            <w:pPr>
              <w:spacing w:after="0"/>
              <w:rPr>
                <w:sz w:val="1"/>
                <w:szCs w:val="1"/>
                <w:color w:val="auto"/>
              </w:rPr>
            </w:pPr>
          </w:p>
        </w:tc>
      </w:tr>
      <w:tr>
        <w:trPr>
          <w:trHeight w:val="175"/>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Real estate</w:t>
            </w:r>
          </w:p>
        </w:tc>
        <w:tc>
          <w:tcPr>
            <w:tcW w:w="114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904</w:t>
            </w:r>
          </w:p>
        </w:tc>
        <w:tc>
          <w:tcPr>
            <w:tcW w:w="40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50.04%</w:t>
            </w: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2"/>
                <w:szCs w:val="22"/>
                <w:color w:val="auto"/>
              </w:rPr>
            </w:pPr>
          </w:p>
        </w:tc>
        <w:tc>
          <w:tcPr>
            <w:tcW w:w="2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760" w:type="dxa"/>
            <w:vAlign w:val="bottom"/>
          </w:tcPr>
          <w:p>
            <w:pPr>
              <w:spacing w:after="0"/>
              <w:rPr>
                <w:sz w:val="23"/>
                <w:szCs w:val="23"/>
                <w:color w:val="auto"/>
              </w:rPr>
            </w:pPr>
          </w:p>
        </w:tc>
        <w:tc>
          <w:tcPr>
            <w:tcW w:w="1140" w:type="dxa"/>
            <w:vAlign w:val="bottom"/>
          </w:tcPr>
          <w:p>
            <w:pPr>
              <w:ind w:left="104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5,850</w:t>
            </w:r>
          </w:p>
        </w:tc>
        <w:tc>
          <w:tcPr>
            <w:tcW w:w="400" w:type="dxa"/>
            <w:vAlign w:val="bottom"/>
          </w:tcPr>
          <w:p>
            <w:pPr>
              <w:spacing w:after="0"/>
              <w:rPr>
                <w:sz w:val="23"/>
                <w:szCs w:val="23"/>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2"/>
                <w:szCs w:val="22"/>
                <w:color w:val="auto"/>
              </w:rPr>
            </w:pPr>
          </w:p>
        </w:tc>
        <w:tc>
          <w:tcPr>
            <w:tcW w:w="2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The charge-off amounts are based upon periodic evaluations of the loan portfolio by management. These evaluations consider several factors, including, but not limited to, general economic conditions, loan portfolio composition, prior loan experience and management's estimation of future potential losses.</w:t>
      </w:r>
    </w:p>
    <w:p>
      <w:pPr>
        <w:sectPr>
          <w:pgSz w:w="11900" w:h="16838" w:orient="portrait"/>
          <w:cols w:equalWidth="0" w:num="1">
            <w:col w:w="10219"/>
          </w:cols>
          <w:pgMar w:left="2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65"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DEPOSITS</w:t>
      </w:r>
    </w:p>
    <w:p>
      <w:pPr>
        <w:spacing w:after="0" w:line="180" w:lineRule="exact"/>
        <w:rPr>
          <w:sz w:val="20"/>
          <w:szCs w:val="20"/>
          <w:color w:val="auto"/>
        </w:rPr>
      </w:pPr>
    </w:p>
    <w:p>
      <w:pPr>
        <w:ind w:right="3039" w:firstLine="818"/>
        <w:spacing w:after="0" w:line="307" w:lineRule="auto"/>
        <w:rPr>
          <w:sz w:val="20"/>
          <w:szCs w:val="20"/>
          <w:color w:val="auto"/>
        </w:rPr>
      </w:pPr>
      <w:r>
        <w:rPr>
          <w:rFonts w:ascii="Courier New" w:cs="Courier New" w:eastAsia="Courier New" w:hAnsi="Courier New"/>
          <w:sz w:val="15"/>
          <w:szCs w:val="15"/>
          <w:color w:val="auto"/>
        </w:rPr>
        <w:t>The following table presents the average amount of (in thousands) and the average rate paid on each deposit category that is in excess of ten percent of average total deposits:</w:t>
      </w:r>
    </w:p>
    <w:p>
      <w:pPr>
        <w:spacing w:after="0" w:line="397"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2460" w:type="dxa"/>
            <w:vAlign w:val="bottom"/>
            <w:vMerge w:val="restart"/>
          </w:tcPr>
          <w:p>
            <w:pPr>
              <w:jc w:val="center"/>
              <w:ind w:right="544"/>
              <w:spacing w:after="0"/>
              <w:rPr>
                <w:sz w:val="20"/>
                <w:szCs w:val="20"/>
                <w:color w:val="auto"/>
              </w:rPr>
            </w:pPr>
            <w:r>
              <w:rPr>
                <w:rFonts w:ascii="Courier New" w:cs="Courier New" w:eastAsia="Courier New" w:hAnsi="Courier New"/>
                <w:sz w:val="15"/>
                <w:szCs w:val="15"/>
                <w:color w:val="auto"/>
              </w:rPr>
              <w:t>December 31, 1998:</w:t>
            </w:r>
          </w:p>
        </w:tc>
        <w:tc>
          <w:tcPr>
            <w:tcW w:w="780" w:type="dxa"/>
            <w:vAlign w:val="bottom"/>
          </w:tcPr>
          <w:p>
            <w:pPr>
              <w:spacing w:after="0"/>
              <w:rPr>
                <w:sz w:val="15"/>
                <w:szCs w:val="15"/>
                <w:color w:val="auto"/>
              </w:rPr>
            </w:pPr>
          </w:p>
        </w:tc>
        <w:tc>
          <w:tcPr>
            <w:tcW w:w="12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Demand</w:t>
            </w:r>
          </w:p>
        </w:tc>
        <w:tc>
          <w:tcPr>
            <w:tcW w:w="320" w:type="dxa"/>
            <w:vAlign w:val="bottom"/>
          </w:tcPr>
          <w:p>
            <w:pPr>
              <w:spacing w:after="0"/>
              <w:rPr>
                <w:sz w:val="15"/>
                <w:szCs w:val="15"/>
                <w:color w:val="auto"/>
              </w:rPr>
            </w:pP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NOW</w:t>
            </w:r>
          </w:p>
        </w:tc>
        <w:tc>
          <w:tcPr>
            <w:tcW w:w="26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Savings</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Time</w:t>
            </w:r>
          </w:p>
        </w:tc>
        <w:tc>
          <w:tcPr>
            <w:tcW w:w="0" w:type="dxa"/>
            <w:vAlign w:val="bottom"/>
          </w:tcPr>
          <w:p>
            <w:pPr>
              <w:spacing w:after="0"/>
              <w:rPr>
                <w:sz w:val="1"/>
                <w:szCs w:val="1"/>
                <w:color w:val="auto"/>
              </w:rPr>
            </w:pPr>
          </w:p>
        </w:tc>
      </w:tr>
      <w:tr>
        <w:trPr>
          <w:trHeight w:val="175"/>
        </w:trPr>
        <w:tc>
          <w:tcPr>
            <w:tcW w:w="24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Deposits</w:t>
            </w:r>
          </w:p>
        </w:tc>
        <w:tc>
          <w:tcPr>
            <w:tcW w:w="320" w:type="dxa"/>
            <w:vAlign w:val="bottom"/>
          </w:tcPr>
          <w:p>
            <w:pPr>
              <w:spacing w:after="0"/>
              <w:rPr>
                <w:sz w:val="15"/>
                <w:szCs w:val="15"/>
                <w:color w:val="auto"/>
              </w:rPr>
            </w:pP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7"/>
              </w:rPr>
              <w:t>Accounts</w:t>
            </w:r>
          </w:p>
        </w:tc>
        <w:tc>
          <w:tcPr>
            <w:tcW w:w="260" w:type="dxa"/>
            <w:vAlign w:val="bottom"/>
          </w:tcPr>
          <w:p>
            <w:pPr>
              <w:spacing w:after="0"/>
              <w:rPr>
                <w:sz w:val="15"/>
                <w:szCs w:val="15"/>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w w:val="99"/>
              </w:rPr>
              <w:t>Accounts</w:t>
            </w:r>
          </w:p>
        </w:tc>
        <w:tc>
          <w:tcPr>
            <w:tcW w:w="3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Accounts</w:t>
            </w:r>
          </w:p>
        </w:tc>
        <w:tc>
          <w:tcPr>
            <w:tcW w:w="0" w:type="dxa"/>
            <w:vAlign w:val="bottom"/>
          </w:tcPr>
          <w:p>
            <w:pPr>
              <w:spacing w:after="0"/>
              <w:rPr>
                <w:sz w:val="1"/>
                <w:szCs w:val="1"/>
                <w:color w:val="auto"/>
              </w:rPr>
            </w:pPr>
          </w:p>
        </w:tc>
      </w:tr>
      <w:tr>
        <w:trPr>
          <w:trHeight w:val="256"/>
        </w:trPr>
        <w:tc>
          <w:tcPr>
            <w:tcW w:w="2460" w:type="dxa"/>
            <w:vAlign w:val="bottom"/>
          </w:tcPr>
          <w:p>
            <w:pPr>
              <w:jc w:val="center"/>
              <w:ind w:right="564"/>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Average balance</w:t>
            </w:r>
          </w:p>
        </w:tc>
        <w:tc>
          <w:tcPr>
            <w:tcW w:w="78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38,906</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44,218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108,981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287,484</w:t>
            </w:r>
          </w:p>
        </w:tc>
        <w:tc>
          <w:tcPr>
            <w:tcW w:w="0" w:type="dxa"/>
            <w:vAlign w:val="bottom"/>
          </w:tcPr>
          <w:p>
            <w:pPr>
              <w:spacing w:after="0"/>
              <w:rPr>
                <w:sz w:val="1"/>
                <w:szCs w:val="1"/>
                <w:color w:val="auto"/>
              </w:rPr>
            </w:pPr>
          </w:p>
        </w:tc>
      </w:tr>
      <w:tr>
        <w:trPr>
          <w:trHeight w:val="25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Average rate</w:t>
            </w:r>
          </w:p>
        </w:tc>
        <w:tc>
          <w:tcPr>
            <w:tcW w:w="780" w:type="dxa"/>
            <w:vAlign w:val="bottom"/>
          </w:tcPr>
          <w:p>
            <w:pPr>
              <w:spacing w:after="0"/>
              <w:rPr>
                <w:sz w:val="22"/>
                <w:szCs w:val="22"/>
                <w:color w:val="auto"/>
              </w:rPr>
            </w:pPr>
          </w:p>
        </w:tc>
        <w:tc>
          <w:tcPr>
            <w:tcW w:w="12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22"/>
                <w:szCs w:val="22"/>
                <w:color w:val="auto"/>
              </w:rPr>
            </w:pP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2.29%</w:t>
            </w:r>
          </w:p>
        </w:tc>
        <w:tc>
          <w:tcPr>
            <w:tcW w:w="260" w:type="dxa"/>
            <w:vAlign w:val="bottom"/>
          </w:tcPr>
          <w:p>
            <w:pPr>
              <w:spacing w:after="0"/>
              <w:rPr>
                <w:sz w:val="22"/>
                <w:szCs w:val="22"/>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3.32%</w:t>
            </w: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5.76%</w:t>
            </w:r>
          </w:p>
        </w:tc>
        <w:tc>
          <w:tcPr>
            <w:tcW w:w="0" w:type="dxa"/>
            <w:vAlign w:val="bottom"/>
          </w:tcPr>
          <w:p>
            <w:pPr>
              <w:spacing w:after="0"/>
              <w:rPr>
                <w:sz w:val="1"/>
                <w:szCs w:val="1"/>
                <w:color w:val="auto"/>
              </w:rPr>
            </w:pPr>
          </w:p>
        </w:tc>
      </w:tr>
      <w:tr>
        <w:trPr>
          <w:trHeight w:val="268"/>
        </w:trPr>
        <w:tc>
          <w:tcPr>
            <w:tcW w:w="2460" w:type="dxa"/>
            <w:vAlign w:val="bottom"/>
          </w:tcPr>
          <w:p>
            <w:pPr>
              <w:jc w:val="center"/>
              <w:ind w:right="544"/>
              <w:spacing w:after="0"/>
              <w:rPr>
                <w:sz w:val="20"/>
                <w:szCs w:val="20"/>
                <w:color w:val="auto"/>
              </w:rPr>
            </w:pPr>
            <w:r>
              <w:rPr>
                <w:rFonts w:ascii="Courier New" w:cs="Courier New" w:eastAsia="Courier New" w:hAnsi="Courier New"/>
                <w:sz w:val="15"/>
                <w:szCs w:val="15"/>
                <w:color w:val="auto"/>
              </w:rPr>
              <w:t>December 31, 1997:</w:t>
            </w:r>
          </w:p>
        </w:tc>
        <w:tc>
          <w:tcPr>
            <w:tcW w:w="780" w:type="dxa"/>
            <w:vAlign w:val="bottom"/>
            <w:vMerge w:val="restart"/>
          </w:tcPr>
          <w:p>
            <w:pPr>
              <w:ind w:left="640"/>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34,665</w:t>
            </w:r>
          </w:p>
        </w:tc>
        <w:tc>
          <w:tcPr>
            <w:tcW w:w="320" w:type="dxa"/>
            <w:vAlign w:val="bottom"/>
            <w:vMerge w:val="restart"/>
          </w:tcPr>
          <w:p>
            <w:pPr>
              <w:ind w:left="24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rPr>
              <w:t>40,626</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100,025</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268,181</w:t>
            </w:r>
          </w:p>
        </w:tc>
        <w:tc>
          <w:tcPr>
            <w:tcW w:w="0" w:type="dxa"/>
            <w:vAlign w:val="bottom"/>
          </w:tcPr>
          <w:p>
            <w:pPr>
              <w:spacing w:after="0"/>
              <w:rPr>
                <w:sz w:val="1"/>
                <w:szCs w:val="1"/>
                <w:color w:val="auto"/>
              </w:rPr>
            </w:pPr>
          </w:p>
        </w:tc>
      </w:tr>
      <w:tr>
        <w:trPr>
          <w:trHeight w:val="175"/>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Average balance</w:t>
            </w:r>
          </w:p>
        </w:tc>
        <w:tc>
          <w:tcPr>
            <w:tcW w:w="7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Average rate</w:t>
            </w:r>
          </w:p>
        </w:tc>
        <w:tc>
          <w:tcPr>
            <w:tcW w:w="780" w:type="dxa"/>
            <w:vAlign w:val="bottom"/>
          </w:tcPr>
          <w:p>
            <w:pPr>
              <w:spacing w:after="0"/>
              <w:rPr>
                <w:sz w:val="22"/>
                <w:szCs w:val="22"/>
                <w:color w:val="auto"/>
              </w:rPr>
            </w:pPr>
          </w:p>
        </w:tc>
        <w:tc>
          <w:tcPr>
            <w:tcW w:w="12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22"/>
                <w:szCs w:val="22"/>
                <w:color w:val="auto"/>
              </w:rPr>
            </w:pP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2.49%</w:t>
            </w:r>
          </w:p>
        </w:tc>
        <w:tc>
          <w:tcPr>
            <w:tcW w:w="260" w:type="dxa"/>
            <w:vAlign w:val="bottom"/>
          </w:tcPr>
          <w:p>
            <w:pPr>
              <w:spacing w:after="0"/>
              <w:rPr>
                <w:sz w:val="22"/>
                <w:szCs w:val="22"/>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3.57%</w:t>
            </w: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5.84%</w:t>
            </w:r>
          </w:p>
        </w:tc>
        <w:tc>
          <w:tcPr>
            <w:tcW w:w="0" w:type="dxa"/>
            <w:vAlign w:val="bottom"/>
          </w:tcPr>
          <w:p>
            <w:pPr>
              <w:spacing w:after="0"/>
              <w:rPr>
                <w:sz w:val="1"/>
                <w:szCs w:val="1"/>
                <w:color w:val="auto"/>
              </w:rPr>
            </w:pPr>
          </w:p>
        </w:tc>
      </w:tr>
      <w:tr>
        <w:trPr>
          <w:trHeight w:val="268"/>
        </w:trPr>
        <w:tc>
          <w:tcPr>
            <w:tcW w:w="2460" w:type="dxa"/>
            <w:vAlign w:val="bottom"/>
          </w:tcPr>
          <w:p>
            <w:pPr>
              <w:jc w:val="center"/>
              <w:ind w:right="544"/>
              <w:spacing w:after="0"/>
              <w:rPr>
                <w:sz w:val="20"/>
                <w:szCs w:val="20"/>
                <w:color w:val="auto"/>
              </w:rPr>
            </w:pPr>
            <w:r>
              <w:rPr>
                <w:rFonts w:ascii="Courier New" w:cs="Courier New" w:eastAsia="Courier New" w:hAnsi="Courier New"/>
                <w:sz w:val="15"/>
                <w:szCs w:val="15"/>
                <w:color w:val="auto"/>
              </w:rPr>
              <w:t>December 31, 1996:</w:t>
            </w:r>
          </w:p>
        </w:tc>
        <w:tc>
          <w:tcPr>
            <w:tcW w:w="780" w:type="dxa"/>
            <w:vAlign w:val="bottom"/>
            <w:vMerge w:val="restart"/>
          </w:tcPr>
          <w:p>
            <w:pPr>
              <w:ind w:left="640"/>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32,041</w:t>
            </w:r>
          </w:p>
        </w:tc>
        <w:tc>
          <w:tcPr>
            <w:tcW w:w="320" w:type="dxa"/>
            <w:vAlign w:val="bottom"/>
            <w:vMerge w:val="restart"/>
          </w:tcPr>
          <w:p>
            <w:pPr>
              <w:ind w:left="24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rPr>
              <w:t>33,798</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104,441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250,834</w:t>
            </w:r>
          </w:p>
        </w:tc>
        <w:tc>
          <w:tcPr>
            <w:tcW w:w="0" w:type="dxa"/>
            <w:vAlign w:val="bottom"/>
          </w:tcPr>
          <w:p>
            <w:pPr>
              <w:spacing w:after="0"/>
              <w:rPr>
                <w:sz w:val="1"/>
                <w:szCs w:val="1"/>
                <w:color w:val="auto"/>
              </w:rPr>
            </w:pPr>
          </w:p>
        </w:tc>
      </w:tr>
      <w:tr>
        <w:trPr>
          <w:trHeight w:val="175"/>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Average balance</w:t>
            </w:r>
          </w:p>
        </w:tc>
        <w:tc>
          <w:tcPr>
            <w:tcW w:w="7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Average rate</w:t>
            </w:r>
          </w:p>
        </w:tc>
        <w:tc>
          <w:tcPr>
            <w:tcW w:w="780" w:type="dxa"/>
            <w:vAlign w:val="bottom"/>
          </w:tcPr>
          <w:p>
            <w:pPr>
              <w:spacing w:after="0"/>
              <w:rPr>
                <w:sz w:val="22"/>
                <w:szCs w:val="22"/>
                <w:color w:val="auto"/>
              </w:rPr>
            </w:pPr>
          </w:p>
        </w:tc>
        <w:tc>
          <w:tcPr>
            <w:tcW w:w="12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22"/>
                <w:szCs w:val="22"/>
                <w:color w:val="auto"/>
              </w:rPr>
            </w:pP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3.05%</w:t>
            </w:r>
          </w:p>
        </w:tc>
        <w:tc>
          <w:tcPr>
            <w:tcW w:w="260" w:type="dxa"/>
            <w:vAlign w:val="bottom"/>
          </w:tcPr>
          <w:p>
            <w:pPr>
              <w:spacing w:after="0"/>
              <w:rPr>
                <w:sz w:val="22"/>
                <w:szCs w:val="22"/>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3.35%</w:t>
            </w: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6.15%</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right="3039" w:firstLine="818"/>
        <w:spacing w:after="0" w:line="368" w:lineRule="auto"/>
        <w:rPr>
          <w:sz w:val="20"/>
          <w:szCs w:val="20"/>
          <w:color w:val="auto"/>
        </w:rPr>
      </w:pPr>
      <w:r>
        <w:rPr>
          <w:rFonts w:ascii="Courier New" w:cs="Courier New" w:eastAsia="Courier New" w:hAnsi="Courier New"/>
          <w:sz w:val="15"/>
          <w:szCs w:val="15"/>
          <w:color w:val="auto"/>
        </w:rPr>
        <w:t>The amount of outstanding time certificates of deposits and other time deposits in amounts of $100,000 or more by maturity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vMerge w:val="restart"/>
          </w:tcPr>
          <w:p>
            <w:pPr>
              <w:jc w:val="right"/>
              <w:ind w:right="604"/>
              <w:spacing w:after="0"/>
              <w:rPr>
                <w:sz w:val="20"/>
                <w:szCs w:val="20"/>
                <w:color w:val="auto"/>
              </w:rPr>
            </w:pPr>
            <w:r>
              <w:rPr>
                <w:rFonts w:ascii="Courier New" w:cs="Courier New" w:eastAsia="Courier New" w:hAnsi="Courier New"/>
                <w:sz w:val="15"/>
                <w:szCs w:val="15"/>
                <w:color w:val="auto"/>
              </w:rPr>
              <w:t>Under</w:t>
            </w:r>
          </w:p>
        </w:tc>
        <w:tc>
          <w:tcPr>
            <w:tcW w:w="740" w:type="dxa"/>
            <w:vAlign w:val="bottom"/>
          </w:tcPr>
          <w:p>
            <w:pPr>
              <w:ind w:left="320"/>
              <w:spacing w:after="0"/>
              <w:rPr>
                <w:sz w:val="20"/>
                <w:szCs w:val="20"/>
                <w:color w:val="auto"/>
              </w:rPr>
            </w:pPr>
            <w:r>
              <w:rPr>
                <w:rFonts w:ascii="Courier New" w:cs="Courier New" w:eastAsia="Courier New" w:hAnsi="Courier New"/>
                <w:sz w:val="15"/>
                <w:szCs w:val="15"/>
                <w:color w:val="auto"/>
              </w:rPr>
              <w:t>Over</w:t>
            </w: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three</w:t>
            </w:r>
          </w:p>
        </w:tc>
        <w:tc>
          <w:tcPr>
            <w:tcW w:w="780" w:type="dxa"/>
            <w:vAlign w:val="bottom"/>
          </w:tcPr>
          <w:p>
            <w:pPr>
              <w:ind w:left="360"/>
              <w:spacing w:after="0"/>
              <w:rPr>
                <w:sz w:val="20"/>
                <w:szCs w:val="20"/>
                <w:color w:val="auto"/>
              </w:rPr>
            </w:pPr>
            <w:r>
              <w:rPr>
                <w:rFonts w:ascii="Courier New" w:cs="Courier New" w:eastAsia="Courier New" w:hAnsi="Courier New"/>
                <w:sz w:val="15"/>
                <w:szCs w:val="15"/>
                <w:color w:val="auto"/>
              </w:rPr>
              <w:t>Over</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Six</w:t>
            </w:r>
          </w:p>
        </w:tc>
        <w:tc>
          <w:tcPr>
            <w:tcW w:w="420" w:type="dxa"/>
            <w:vAlign w:val="bottom"/>
          </w:tcPr>
          <w:p>
            <w:pPr>
              <w:spacing w:after="0"/>
              <w:rPr>
                <w:sz w:val="15"/>
                <w:szCs w:val="15"/>
                <w:color w:val="auto"/>
              </w:rPr>
            </w:pPr>
          </w:p>
        </w:tc>
        <w:tc>
          <w:tcPr>
            <w:tcW w:w="10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w w:val="98"/>
              </w:rPr>
              <w:t>Over Twelve</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Less Than</w:t>
            </w:r>
          </w:p>
        </w:tc>
        <w:tc>
          <w:tcPr>
            <w:tcW w:w="780" w:type="dxa"/>
            <w:vAlign w:val="bottom"/>
          </w:tcPr>
          <w:p>
            <w:pPr>
              <w:ind w:left="360"/>
              <w:spacing w:after="0"/>
              <w:rPr>
                <w:sz w:val="20"/>
                <w:szCs w:val="20"/>
                <w:color w:val="auto"/>
              </w:rPr>
            </w:pPr>
            <w:r>
              <w:rPr>
                <w:rFonts w:ascii="Courier New" w:cs="Courier New" w:eastAsia="Courier New" w:hAnsi="Courier New"/>
                <w:sz w:val="15"/>
                <w:szCs w:val="15"/>
                <w:color w:val="auto"/>
              </w:rPr>
              <w:t>Less</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Than</w:t>
            </w:r>
          </w:p>
        </w:tc>
        <w:tc>
          <w:tcPr>
            <w:tcW w:w="4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2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Three Months</w:t>
            </w:r>
          </w:p>
        </w:tc>
        <w:tc>
          <w:tcPr>
            <w:tcW w:w="15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Six Months</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Twelve Months</w:t>
            </w:r>
          </w:p>
        </w:tc>
        <w:tc>
          <w:tcPr>
            <w:tcW w:w="42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Months</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2"/>
                <w:szCs w:val="22"/>
                <w:color w:val="auto"/>
              </w:rPr>
            </w:pPr>
          </w:p>
        </w:tc>
        <w:tc>
          <w:tcPr>
            <w:tcW w:w="25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Time deposits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20,987</w:t>
            </w:r>
          </w:p>
        </w:tc>
        <w:tc>
          <w:tcPr>
            <w:tcW w:w="7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15,831</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16,432</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15,883</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RETURN ON EQUITY AND ASSETS</w:t>
      </w:r>
    </w:p>
    <w:p>
      <w:pPr>
        <w:spacing w:after="0" w:line="180" w:lineRule="exact"/>
        <w:rPr>
          <w:sz w:val="20"/>
          <w:szCs w:val="20"/>
          <w:color w:val="auto"/>
        </w:rPr>
      </w:pPr>
    </w:p>
    <w:p>
      <w:pPr>
        <w:jc w:val="both"/>
        <w:ind w:right="3039" w:firstLine="818"/>
        <w:spacing w:after="0" w:line="368" w:lineRule="auto"/>
        <w:rPr>
          <w:sz w:val="20"/>
          <w:szCs w:val="20"/>
          <w:color w:val="auto"/>
        </w:rPr>
      </w:pPr>
      <w:r>
        <w:rPr>
          <w:rFonts w:ascii="Courier New" w:cs="Courier New" w:eastAsia="Courier New" w:hAnsi="Courier New"/>
          <w:sz w:val="15"/>
          <w:szCs w:val="15"/>
          <w:color w:val="auto"/>
        </w:rPr>
        <w:t>The following table shows consolidated operating and capital ratios of the company for each of the last three years: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2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r>
      <w:tr>
        <w:trPr>
          <w:trHeight w:val="256"/>
        </w:trPr>
        <w:tc>
          <w:tcPr>
            <w:tcW w:w="3820" w:type="dxa"/>
            <w:vAlign w:val="bottom"/>
          </w:tcPr>
          <w:p>
            <w:pPr>
              <w:spacing w:after="0"/>
              <w:rPr>
                <w:sz w:val="22"/>
                <w:szCs w:val="22"/>
                <w:color w:val="auto"/>
              </w:rPr>
            </w:pPr>
          </w:p>
        </w:tc>
        <w:tc>
          <w:tcPr>
            <w:tcW w:w="2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8"/>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Return on average assets</w:t>
            </w:r>
          </w:p>
        </w:tc>
        <w:tc>
          <w:tcPr>
            <w:tcW w:w="29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1.38%</w:t>
            </w:r>
          </w:p>
        </w:tc>
        <w:tc>
          <w:tcPr>
            <w:tcW w:w="15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1.33%</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Return on average equity</w:t>
            </w:r>
          </w:p>
        </w:tc>
        <w:tc>
          <w:tcPr>
            <w:tcW w:w="29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14.46%</w:t>
            </w:r>
          </w:p>
        </w:tc>
        <w:tc>
          <w:tcPr>
            <w:tcW w:w="15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14.56%</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13.21%</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Dividend payout ratio</w:t>
            </w:r>
          </w:p>
        </w:tc>
        <w:tc>
          <w:tcPr>
            <w:tcW w:w="29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23.77%</w:t>
            </w:r>
          </w:p>
        </w:tc>
        <w:tc>
          <w:tcPr>
            <w:tcW w:w="15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23.95%</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27.23%</w:t>
            </w:r>
          </w:p>
        </w:tc>
      </w:tr>
      <w:tr>
        <w:trPr>
          <w:trHeight w:val="256"/>
        </w:trPr>
        <w:tc>
          <w:tcPr>
            <w:tcW w:w="3820" w:type="dxa"/>
            <w:vAlign w:val="bottom"/>
          </w:tcPr>
          <w:p>
            <w:pPr>
              <w:spacing w:after="0"/>
              <w:rPr>
                <w:sz w:val="20"/>
                <w:szCs w:val="20"/>
                <w:color w:val="auto"/>
              </w:rPr>
            </w:pPr>
            <w:r>
              <w:rPr>
                <w:rFonts w:ascii="Courier New" w:cs="Courier New" w:eastAsia="Courier New" w:hAnsi="Courier New"/>
                <w:sz w:val="15"/>
                <w:szCs w:val="15"/>
                <w:color w:val="auto"/>
              </w:rPr>
              <w:t>Equity to assets ratio</w:t>
            </w:r>
          </w:p>
        </w:tc>
        <w:tc>
          <w:tcPr>
            <w:tcW w:w="29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9.45%</w:t>
            </w:r>
          </w:p>
        </w:tc>
        <w:tc>
          <w:tcPr>
            <w:tcW w:w="15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9.25%</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8.65%</w:t>
            </w: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BORROWINGS</w:t>
      </w:r>
    </w:p>
    <w:p>
      <w:pPr>
        <w:spacing w:after="0" w:line="180" w:lineRule="exact"/>
        <w:rPr>
          <w:sz w:val="20"/>
          <w:szCs w:val="20"/>
          <w:color w:val="auto"/>
        </w:rPr>
      </w:pPr>
    </w:p>
    <w:p>
      <w:pPr>
        <w:jc w:val="both"/>
        <w:ind w:right="3039" w:firstLine="818"/>
        <w:spacing w:after="0" w:line="307" w:lineRule="auto"/>
        <w:rPr>
          <w:sz w:val="20"/>
          <w:szCs w:val="20"/>
          <w:color w:val="auto"/>
        </w:rPr>
      </w:pPr>
      <w:r>
        <w:rPr>
          <w:rFonts w:ascii="Courier New" w:cs="Courier New" w:eastAsia="Courier New" w:hAnsi="Courier New"/>
          <w:sz w:val="15"/>
          <w:szCs w:val="15"/>
          <w:color w:val="auto"/>
        </w:rPr>
        <w:t>The company's average balance of short-term borrowings during the year was less than 30% of end of year stockholders' equity for each year required to be reported; therefore, no data is presented.</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80" w:lineRule="exact"/>
        <w:rPr>
          <w:sz w:val="20"/>
          <w:szCs w:val="20"/>
          <w:color w:val="auto"/>
        </w:rPr>
      </w:pPr>
    </w:p>
    <w:p>
      <w:pPr>
        <w:ind w:right="2959" w:firstLine="818"/>
        <w:spacing w:after="0" w:line="368" w:lineRule="auto"/>
        <w:rPr>
          <w:sz w:val="20"/>
          <w:szCs w:val="20"/>
          <w:color w:val="auto"/>
        </w:rPr>
      </w:pPr>
      <w:r>
        <w:rPr>
          <w:rFonts w:ascii="Courier New" w:cs="Courier New" w:eastAsia="Courier New" w:hAnsi="Courier New"/>
          <w:sz w:val="15"/>
          <w:szCs w:val="15"/>
          <w:color w:val="auto"/>
        </w:rPr>
        <w:t>Information required by subsections of Item 1, to which no response has been made, are inapplicable to the business of the company.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5"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3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2.</w:t>
        <w:tab/>
        <w:t>PROPERTIES</w:t>
      </w:r>
    </w:p>
    <w:p>
      <w:pPr>
        <w:spacing w:after="0" w:line="180" w:lineRule="exact"/>
        <w:rPr>
          <w:sz w:val="20"/>
          <w:szCs w:val="20"/>
          <w:color w:val="auto"/>
        </w:rPr>
      </w:pPr>
    </w:p>
    <w:p>
      <w:pPr>
        <w:jc w:val="both"/>
        <w:ind w:right="2959" w:firstLine="818"/>
        <w:spacing w:after="0" w:line="307" w:lineRule="auto"/>
        <w:rPr>
          <w:sz w:val="20"/>
          <w:szCs w:val="20"/>
          <w:color w:val="auto"/>
        </w:rPr>
      </w:pPr>
      <w:r>
        <w:rPr>
          <w:rFonts w:ascii="Courier New" w:cs="Courier New" w:eastAsia="Courier New" w:hAnsi="Courier New"/>
          <w:sz w:val="15"/>
          <w:szCs w:val="15"/>
          <w:color w:val="auto"/>
        </w:rPr>
        <w:t>The principal office of Farmers &amp; Merchants Bancorp, Inc. is located in facilities owned by The Farmers &amp; Merchants State Bank at 307-11 North Defiance Street, Archbold, Ohio 43502.</w:t>
      </w:r>
    </w:p>
    <w:p>
      <w:pPr>
        <w:spacing w:after="0" w:line="47" w:lineRule="exact"/>
        <w:rPr>
          <w:sz w:val="20"/>
          <w:szCs w:val="20"/>
          <w:color w:val="auto"/>
        </w:rPr>
      </w:pPr>
    </w:p>
    <w:p>
      <w:pPr>
        <w:ind w:right="3139" w:firstLine="818"/>
        <w:spacing w:after="0" w:line="267" w:lineRule="auto"/>
        <w:rPr>
          <w:sz w:val="20"/>
          <w:szCs w:val="20"/>
          <w:color w:val="auto"/>
        </w:rPr>
      </w:pPr>
      <w:r>
        <w:rPr>
          <w:rFonts w:ascii="Courier New" w:cs="Courier New" w:eastAsia="Courier New" w:hAnsi="Courier New"/>
          <w:sz w:val="15"/>
          <w:szCs w:val="15"/>
          <w:color w:val="auto"/>
        </w:rPr>
        <w:t>The Farmers &amp; Merchants State Bank operates from and utilizes the entire facilities at 307-11 North Defiance Street. In addition, the bank owns the property from 200 to 208 Ditto Street, Archbold, Ohio, which it uses for Bank parking and a community mini-park area. The Bank owns real estate at two locations, 207 Ditto Street and 209 Ditto Street in Archbold, Ohio upon which the bank built a commercial building to be used for storage, and a parking lot for company vehicles and employee parking.</w:t>
      </w:r>
    </w:p>
    <w:p>
      <w:pPr>
        <w:spacing w:after="0" w:line="75" w:lineRule="exact"/>
        <w:rPr>
          <w:sz w:val="20"/>
          <w:szCs w:val="20"/>
          <w:color w:val="auto"/>
        </w:rPr>
      </w:pPr>
    </w:p>
    <w:p>
      <w:pPr>
        <w:ind w:right="2959" w:firstLine="818"/>
        <w:spacing w:after="0" w:line="277" w:lineRule="auto"/>
        <w:rPr>
          <w:sz w:val="20"/>
          <w:szCs w:val="20"/>
          <w:color w:val="auto"/>
        </w:rPr>
      </w:pPr>
      <w:r>
        <w:rPr>
          <w:rFonts w:ascii="Courier New" w:cs="Courier New" w:eastAsia="Courier New" w:hAnsi="Courier New"/>
          <w:sz w:val="15"/>
          <w:szCs w:val="15"/>
          <w:color w:val="auto"/>
        </w:rPr>
        <w:t>In late 1993 construction began on a 15,237 square foot addition on an adjacent lot it owned at 313 North Defiance Street. This addition was substantially completed by the end of 1994 with final completion taking place in the spring of 1995. Then in 1993 the Bank purchased real estate across from the main facilities to provide for possible parking expansion.</w:t>
      </w:r>
    </w:p>
    <w:p>
      <w:pPr>
        <w:spacing w:after="0" w:line="68" w:lineRule="exact"/>
        <w:rPr>
          <w:sz w:val="20"/>
          <w:szCs w:val="20"/>
          <w:color w:val="auto"/>
        </w:rPr>
      </w:pPr>
    </w:p>
    <w:p>
      <w:pPr>
        <w:ind w:right="2959" w:firstLine="818"/>
        <w:spacing w:after="0" w:line="264" w:lineRule="auto"/>
        <w:rPr>
          <w:sz w:val="20"/>
          <w:szCs w:val="20"/>
          <w:color w:val="auto"/>
        </w:rPr>
      </w:pPr>
      <w:r>
        <w:rPr>
          <w:rFonts w:ascii="Courier New" w:cs="Courier New" w:eastAsia="Courier New" w:hAnsi="Courier New"/>
          <w:sz w:val="15"/>
          <w:szCs w:val="15"/>
          <w:color w:val="auto"/>
        </w:rPr>
        <w:t>In 1989 the Bank purchased additional real estate in Bryan, Ohio, and has established another branch operation in Bryan. The Bank, in 1988, purchased real estate immediately adjacent to its branch bank premises in Delta, Ohio for expansion of parking facilities. In 1990 the Bank purchased real estate in Delta, Ohio for additional parking to serve its branch office. The Bank constructed in 1994 a 1,540 square foot addition to the branch in Wauseon, Ohio. The bank obtained permission to open a branch in Napoleon, Ohio. Facilities were completed in the Spring of 1995.</w:t>
      </w:r>
    </w:p>
    <w:p>
      <w:pPr>
        <w:spacing w:after="0" w:line="78" w:lineRule="exact"/>
        <w:rPr>
          <w:sz w:val="20"/>
          <w:szCs w:val="20"/>
          <w:color w:val="auto"/>
        </w:rPr>
      </w:pPr>
    </w:p>
    <w:p>
      <w:pPr>
        <w:ind w:right="2959" w:firstLine="818"/>
        <w:spacing w:after="0" w:line="287" w:lineRule="auto"/>
        <w:rPr>
          <w:sz w:val="20"/>
          <w:szCs w:val="20"/>
          <w:color w:val="auto"/>
        </w:rPr>
      </w:pPr>
      <w:r>
        <w:rPr>
          <w:rFonts w:ascii="Courier New" w:cs="Courier New" w:eastAsia="Courier New" w:hAnsi="Courier New"/>
          <w:sz w:val="15"/>
          <w:szCs w:val="15"/>
          <w:color w:val="auto"/>
        </w:rPr>
        <w:t>The Bank also owns real estate consisting of land and buildings housing each of its full service branch operations, except for the Montpelier, Ohio facilities which are leased. Construction has begun on permanent facilities for the Montpelier operations and was completed in June of 1998.</w:t>
      </w:r>
    </w:p>
    <w:p>
      <w:pPr>
        <w:spacing w:after="0" w:line="61" w:lineRule="exact"/>
        <w:rPr>
          <w:sz w:val="20"/>
          <w:szCs w:val="20"/>
          <w:color w:val="auto"/>
        </w:rPr>
      </w:pPr>
    </w:p>
    <w:p>
      <w:pPr>
        <w:jc w:val="both"/>
        <w:ind w:right="2959" w:firstLine="818"/>
        <w:spacing w:after="0" w:line="307" w:lineRule="auto"/>
        <w:rPr>
          <w:sz w:val="20"/>
          <w:szCs w:val="20"/>
          <w:color w:val="auto"/>
        </w:rPr>
      </w:pPr>
      <w:r>
        <w:rPr>
          <w:rFonts w:ascii="Courier New" w:cs="Courier New" w:eastAsia="Courier New" w:hAnsi="Courier New"/>
          <w:sz w:val="15"/>
          <w:szCs w:val="15"/>
          <w:color w:val="auto"/>
        </w:rPr>
        <w:t>The Bank purchased land for a Swanton branch with construction to begin in 1999 with a year end completion date. The Bank also began an addition to its Napoleon office with a completion date of first quarter 1999.</w:t>
      </w:r>
    </w:p>
    <w:p>
      <w:pPr>
        <w:spacing w:after="0" w:line="4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following is a compendium of the various branch locations: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Branch</w:t>
            </w:r>
          </w:p>
        </w:tc>
        <w:tc>
          <w:tcPr>
            <w:tcW w:w="1560" w:type="dxa"/>
            <w:vAlign w:val="bottom"/>
          </w:tcPr>
          <w:p>
            <w:pPr>
              <w:spacing w:after="0"/>
              <w:rPr>
                <w:sz w:val="15"/>
                <w:szCs w:val="15"/>
                <w:color w:val="auto"/>
              </w:rPr>
            </w:pPr>
          </w:p>
        </w:tc>
        <w:tc>
          <w:tcPr>
            <w:tcW w:w="2220" w:type="dxa"/>
            <w:vAlign w:val="bottom"/>
          </w:tcPr>
          <w:p>
            <w:pPr>
              <w:ind w:left="400"/>
              <w:spacing w:after="0"/>
              <w:rPr>
                <w:sz w:val="20"/>
                <w:szCs w:val="20"/>
                <w:color w:val="auto"/>
              </w:rPr>
            </w:pPr>
            <w:r>
              <w:rPr>
                <w:rFonts w:ascii="Courier New" w:cs="Courier New" w:eastAsia="Courier New" w:hAnsi="Courier New"/>
                <w:sz w:val="15"/>
                <w:szCs w:val="15"/>
                <w:color w:val="auto"/>
              </w:rPr>
              <w:t>Location</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780" w:type="dxa"/>
            <w:vAlign w:val="bottom"/>
            <w:gridSpan w:val="2"/>
          </w:tcPr>
          <w:p>
            <w:pPr>
              <w:ind w:left="142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Archbold, Ohio</w:t>
            </w:r>
          </w:p>
        </w:tc>
        <w:tc>
          <w:tcPr>
            <w:tcW w:w="378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1313 South Defiance Street</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Wauseon, Ohio</w:t>
            </w:r>
          </w:p>
        </w:tc>
        <w:tc>
          <w:tcPr>
            <w:tcW w:w="378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1130 North Shoop Avenue</w:t>
            </w:r>
          </w:p>
        </w:tc>
        <w:tc>
          <w:tcPr>
            <w:tcW w:w="0" w:type="dxa"/>
            <w:vAlign w:val="bottom"/>
          </w:tcPr>
          <w:p>
            <w:pPr>
              <w:spacing w:after="0"/>
              <w:rPr>
                <w:sz w:val="1"/>
                <w:szCs w:val="1"/>
                <w:color w:val="auto"/>
              </w:rPr>
            </w:pPr>
          </w:p>
        </w:tc>
      </w:tr>
      <w:tr>
        <w:trPr>
          <w:trHeight w:val="175"/>
        </w:trPr>
        <w:tc>
          <w:tcPr>
            <w:tcW w:w="2760" w:type="dxa"/>
            <w:vAlign w:val="bottom"/>
            <w:vMerge w:val="restart"/>
          </w:tcPr>
          <w:p>
            <w:pPr>
              <w:spacing w:after="0"/>
              <w:rPr>
                <w:sz w:val="20"/>
                <w:szCs w:val="20"/>
                <w:color w:val="auto"/>
              </w:rPr>
            </w:pPr>
            <w:r>
              <w:rPr>
                <w:rFonts w:ascii="Courier New" w:cs="Courier New" w:eastAsia="Courier New" w:hAnsi="Courier New"/>
                <w:sz w:val="15"/>
                <w:szCs w:val="15"/>
                <w:color w:val="auto"/>
              </w:rPr>
              <w:t>Stryker, Ohio</w:t>
            </w:r>
          </w:p>
        </w:tc>
        <w:tc>
          <w:tcPr>
            <w:tcW w:w="1560" w:type="dxa"/>
            <w:vAlign w:val="bottom"/>
          </w:tcPr>
          <w:p>
            <w:pPr>
              <w:ind w:left="1240"/>
              <w:spacing w:after="0"/>
              <w:rPr>
                <w:sz w:val="20"/>
                <w:szCs w:val="20"/>
                <w:color w:val="auto"/>
              </w:rPr>
            </w:pPr>
            <w:r>
              <w:rPr>
                <w:rFonts w:ascii="Courier New" w:cs="Courier New" w:eastAsia="Courier New" w:hAnsi="Courier New"/>
                <w:sz w:val="15"/>
                <w:szCs w:val="15"/>
                <w:color w:val="auto"/>
              </w:rPr>
              <w:t>119</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North Fulton Street</w:t>
            </w:r>
          </w:p>
        </w:tc>
        <w:tc>
          <w:tcPr>
            <w:tcW w:w="0" w:type="dxa"/>
            <w:vAlign w:val="bottom"/>
          </w:tcPr>
          <w:p>
            <w:pPr>
              <w:spacing w:after="0"/>
              <w:rPr>
                <w:sz w:val="1"/>
                <w:szCs w:val="1"/>
                <w:color w:val="auto"/>
              </w:rPr>
            </w:pPr>
          </w:p>
        </w:tc>
      </w:tr>
      <w:tr>
        <w:trPr>
          <w:trHeight w:val="175"/>
        </w:trPr>
        <w:tc>
          <w:tcPr>
            <w:tcW w:w="2760" w:type="dxa"/>
            <w:vAlign w:val="bottom"/>
            <w:vMerge w:val="continue"/>
          </w:tcPr>
          <w:p>
            <w:pPr>
              <w:spacing w:after="0"/>
              <w:rPr>
                <w:sz w:val="15"/>
                <w:szCs w:val="15"/>
                <w:color w:val="auto"/>
              </w:rPr>
            </w:pPr>
          </w:p>
        </w:tc>
        <w:tc>
          <w:tcPr>
            <w:tcW w:w="1560" w:type="dxa"/>
            <w:vAlign w:val="bottom"/>
          </w:tcPr>
          <w:p>
            <w:pPr>
              <w:ind w:left="1240"/>
              <w:spacing w:after="0"/>
              <w:rPr>
                <w:sz w:val="20"/>
                <w:szCs w:val="20"/>
                <w:color w:val="auto"/>
              </w:rPr>
            </w:pPr>
            <w:r>
              <w:rPr>
                <w:rFonts w:ascii="Courier New" w:cs="Courier New" w:eastAsia="Courier New" w:hAnsi="Courier New"/>
                <w:sz w:val="15"/>
                <w:szCs w:val="15"/>
                <w:color w:val="auto"/>
              </w:rPr>
              <w:t>300</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South Defiance Street</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West Unity, Ohio</w:t>
            </w:r>
          </w:p>
        </w:tc>
        <w:tc>
          <w:tcPr>
            <w:tcW w:w="1560" w:type="dxa"/>
            <w:vAlign w:val="bottom"/>
          </w:tcPr>
          <w:p>
            <w:pPr>
              <w:ind w:left="1240"/>
              <w:spacing w:after="0"/>
              <w:rPr>
                <w:sz w:val="20"/>
                <w:szCs w:val="20"/>
                <w:color w:val="auto"/>
              </w:rPr>
            </w:pPr>
            <w:r>
              <w:rPr>
                <w:rFonts w:ascii="Courier New" w:cs="Courier New" w:eastAsia="Courier New" w:hAnsi="Courier New"/>
                <w:sz w:val="15"/>
                <w:szCs w:val="15"/>
                <w:color w:val="auto"/>
              </w:rPr>
              <w:t>200</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West Jackson Street</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Bryan, Ohio</w:t>
            </w:r>
          </w:p>
        </w:tc>
        <w:tc>
          <w:tcPr>
            <w:tcW w:w="1560" w:type="dxa"/>
            <w:vAlign w:val="bottom"/>
          </w:tcPr>
          <w:p>
            <w:pPr>
              <w:ind w:left="1240"/>
              <w:spacing w:after="0"/>
              <w:rPr>
                <w:sz w:val="20"/>
                <w:szCs w:val="20"/>
                <w:color w:val="auto"/>
              </w:rPr>
            </w:pPr>
            <w:r>
              <w:rPr>
                <w:rFonts w:ascii="Courier New" w:cs="Courier New" w:eastAsia="Courier New" w:hAnsi="Courier New"/>
                <w:sz w:val="15"/>
                <w:szCs w:val="15"/>
                <w:color w:val="auto"/>
              </w:rPr>
              <w:t>924</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W. High Street</w:t>
            </w:r>
          </w:p>
        </w:tc>
        <w:tc>
          <w:tcPr>
            <w:tcW w:w="0" w:type="dxa"/>
            <w:vAlign w:val="bottom"/>
          </w:tcPr>
          <w:p>
            <w:pPr>
              <w:spacing w:after="0"/>
              <w:rPr>
                <w:sz w:val="1"/>
                <w:szCs w:val="1"/>
                <w:color w:val="auto"/>
              </w:rPr>
            </w:pPr>
          </w:p>
        </w:tc>
      </w:tr>
      <w:tr>
        <w:trPr>
          <w:trHeight w:val="175"/>
        </w:trPr>
        <w:tc>
          <w:tcPr>
            <w:tcW w:w="2760" w:type="dxa"/>
            <w:vAlign w:val="bottom"/>
            <w:vMerge w:val="restart"/>
          </w:tcPr>
          <w:p>
            <w:pPr>
              <w:spacing w:after="0"/>
              <w:rPr>
                <w:sz w:val="20"/>
                <w:szCs w:val="20"/>
                <w:color w:val="auto"/>
              </w:rPr>
            </w:pPr>
            <w:r>
              <w:rPr>
                <w:rFonts w:ascii="Courier New" w:cs="Courier New" w:eastAsia="Courier New" w:hAnsi="Courier New"/>
                <w:sz w:val="15"/>
                <w:szCs w:val="15"/>
                <w:color w:val="auto"/>
              </w:rPr>
              <w:t>Delta, Ohio</w:t>
            </w:r>
          </w:p>
        </w:tc>
        <w:tc>
          <w:tcPr>
            <w:tcW w:w="378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1000 South Main Street</w:t>
            </w:r>
          </w:p>
        </w:tc>
        <w:tc>
          <w:tcPr>
            <w:tcW w:w="0" w:type="dxa"/>
            <w:vAlign w:val="bottom"/>
          </w:tcPr>
          <w:p>
            <w:pPr>
              <w:spacing w:after="0"/>
              <w:rPr>
                <w:sz w:val="1"/>
                <w:szCs w:val="1"/>
                <w:color w:val="auto"/>
              </w:rPr>
            </w:pPr>
          </w:p>
        </w:tc>
      </w:tr>
      <w:tr>
        <w:trPr>
          <w:trHeight w:val="175"/>
        </w:trPr>
        <w:tc>
          <w:tcPr>
            <w:tcW w:w="2760" w:type="dxa"/>
            <w:vAlign w:val="bottom"/>
            <w:vMerge w:val="continue"/>
          </w:tcPr>
          <w:p>
            <w:pPr>
              <w:spacing w:after="0"/>
              <w:rPr>
                <w:sz w:val="15"/>
                <w:szCs w:val="15"/>
                <w:color w:val="auto"/>
              </w:rPr>
            </w:pPr>
          </w:p>
        </w:tc>
        <w:tc>
          <w:tcPr>
            <w:tcW w:w="1560" w:type="dxa"/>
            <w:vAlign w:val="bottom"/>
          </w:tcPr>
          <w:p>
            <w:pPr>
              <w:ind w:left="1240"/>
              <w:spacing w:after="0"/>
              <w:rPr>
                <w:sz w:val="20"/>
                <w:szCs w:val="20"/>
                <w:color w:val="auto"/>
              </w:rPr>
            </w:pPr>
            <w:r>
              <w:rPr>
                <w:rFonts w:ascii="Courier New" w:cs="Courier New" w:eastAsia="Courier New" w:hAnsi="Courier New"/>
                <w:sz w:val="15"/>
                <w:szCs w:val="15"/>
                <w:color w:val="auto"/>
              </w:rPr>
              <w:t>101</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Main Street</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Montpelier, Ohio</w:t>
            </w:r>
          </w:p>
        </w:tc>
        <w:tc>
          <w:tcPr>
            <w:tcW w:w="1560" w:type="dxa"/>
            <w:vAlign w:val="bottom"/>
          </w:tcPr>
          <w:p>
            <w:pPr>
              <w:ind w:left="1240"/>
              <w:spacing w:after="0"/>
              <w:rPr>
                <w:sz w:val="20"/>
                <w:szCs w:val="20"/>
                <w:color w:val="auto"/>
              </w:rPr>
            </w:pPr>
            <w:r>
              <w:rPr>
                <w:rFonts w:ascii="Courier New" w:cs="Courier New" w:eastAsia="Courier New" w:hAnsi="Courier New"/>
                <w:sz w:val="15"/>
                <w:szCs w:val="15"/>
                <w:color w:val="auto"/>
              </w:rPr>
              <w:t>225</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West Main Street</w:t>
            </w:r>
          </w:p>
        </w:tc>
        <w:tc>
          <w:tcPr>
            <w:tcW w:w="0" w:type="dxa"/>
            <w:vAlign w:val="bottom"/>
          </w:tcPr>
          <w:p>
            <w:pPr>
              <w:spacing w:after="0"/>
              <w:rPr>
                <w:sz w:val="1"/>
                <w:szCs w:val="1"/>
                <w:color w:val="auto"/>
              </w:rPr>
            </w:pPr>
          </w:p>
        </w:tc>
      </w:tr>
      <w:tr>
        <w:trPr>
          <w:trHeight w:val="175"/>
        </w:trPr>
        <w:tc>
          <w:tcPr>
            <w:tcW w:w="2760" w:type="dxa"/>
            <w:vAlign w:val="bottom"/>
            <w:vMerge w:val="restart"/>
          </w:tcPr>
          <w:p>
            <w:pPr>
              <w:spacing w:after="0"/>
              <w:rPr>
                <w:sz w:val="20"/>
                <w:szCs w:val="20"/>
                <w:color w:val="auto"/>
              </w:rPr>
            </w:pPr>
            <w:r>
              <w:rPr>
                <w:rFonts w:ascii="Courier New" w:cs="Courier New" w:eastAsia="Courier New" w:hAnsi="Courier New"/>
                <w:sz w:val="15"/>
                <w:szCs w:val="15"/>
                <w:color w:val="auto"/>
              </w:rPr>
              <w:t>Napoleon, Ohio</w:t>
            </w:r>
          </w:p>
        </w:tc>
        <w:tc>
          <w:tcPr>
            <w:tcW w:w="378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1150 East Main Street</w:t>
            </w:r>
          </w:p>
        </w:tc>
        <w:tc>
          <w:tcPr>
            <w:tcW w:w="0" w:type="dxa"/>
            <w:vAlign w:val="bottom"/>
          </w:tcPr>
          <w:p>
            <w:pPr>
              <w:spacing w:after="0"/>
              <w:rPr>
                <w:sz w:val="1"/>
                <w:szCs w:val="1"/>
                <w:color w:val="auto"/>
              </w:rPr>
            </w:pPr>
          </w:p>
        </w:tc>
      </w:tr>
      <w:tr>
        <w:trPr>
          <w:trHeight w:val="256"/>
        </w:trPr>
        <w:tc>
          <w:tcPr>
            <w:tcW w:w="2760" w:type="dxa"/>
            <w:vAlign w:val="bottom"/>
            <w:vMerge w:val="continue"/>
          </w:tcPr>
          <w:p>
            <w:pPr>
              <w:spacing w:after="0"/>
              <w:rPr>
                <w:sz w:val="22"/>
                <w:szCs w:val="22"/>
                <w:color w:val="auto"/>
              </w:rPr>
            </w:pPr>
          </w:p>
        </w:tc>
        <w:tc>
          <w:tcPr>
            <w:tcW w:w="378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2255 Scott Street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majority of the above locations have drive-up service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6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3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3.</w:t>
        <w:tab/>
        <w:t>LEGAL PROCEEDINGS</w:t>
      </w:r>
    </w:p>
    <w:p>
      <w:pPr>
        <w:spacing w:after="0" w:line="180" w:lineRule="exact"/>
        <w:rPr>
          <w:sz w:val="20"/>
          <w:szCs w:val="20"/>
          <w:color w:val="auto"/>
        </w:rPr>
      </w:pPr>
    </w:p>
    <w:p>
      <w:pPr>
        <w:ind w:right="100" w:firstLine="818"/>
        <w:spacing w:after="0" w:line="307" w:lineRule="auto"/>
        <w:rPr>
          <w:sz w:val="20"/>
          <w:szCs w:val="20"/>
          <w:color w:val="auto"/>
        </w:rPr>
      </w:pPr>
      <w:r>
        <w:rPr>
          <w:rFonts w:ascii="Courier New" w:cs="Courier New" w:eastAsia="Courier New" w:hAnsi="Courier New"/>
          <w:sz w:val="15"/>
          <w:szCs w:val="15"/>
          <w:color w:val="auto"/>
        </w:rPr>
        <w:t>There are no material pending legal proceedings, other than ordinary routine proceedings incidental to the business of the Bank, to which the Bank is a party or of which any of its properties is the subject.</w:t>
      </w:r>
    </w:p>
    <w:p>
      <w:pPr>
        <w:spacing w:after="0" w:line="47"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80" w:lineRule="exact"/>
        <w:rPr>
          <w:sz w:val="20"/>
          <w:szCs w:val="20"/>
          <w:color w:val="auto"/>
        </w:rPr>
      </w:pPr>
    </w:p>
    <w:p>
      <w:pPr>
        <w:ind w:right="100" w:firstLine="818"/>
        <w:spacing w:after="0" w:line="307" w:lineRule="auto"/>
        <w:rPr>
          <w:sz w:val="20"/>
          <w:szCs w:val="20"/>
          <w:color w:val="auto"/>
        </w:rPr>
      </w:pPr>
      <w:r>
        <w:rPr>
          <w:rFonts w:ascii="Courier New" w:cs="Courier New" w:eastAsia="Courier New" w:hAnsi="Courier New"/>
          <w:sz w:val="15"/>
          <w:szCs w:val="15"/>
          <w:color w:val="auto"/>
        </w:rPr>
        <w:t>No items were submitted during the fourth quarter of the fiscal year covered by this report to a vote of the security holders through solicitation of proxies or otherwise.</w:t>
      </w:r>
    </w:p>
    <w:p>
      <w:pPr>
        <w:spacing w:after="0" w:line="4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PART II</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5.</w:t>
        <w:tab/>
        <w:t>MARKET FOR REGISTRANT'S COMMON EQUITY AND RELATED</w:t>
      </w:r>
    </w:p>
    <w:p>
      <w:pPr>
        <w:spacing w:after="0" w:line="3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STOCKHOLDER MATTERS</w:t>
      </w:r>
    </w:p>
    <w:p>
      <w:pPr>
        <w:spacing w:after="0" w:line="152" w:lineRule="exact"/>
        <w:rPr>
          <w:sz w:val="20"/>
          <w:szCs w:val="20"/>
          <w:color w:val="auto"/>
        </w:rPr>
      </w:pPr>
    </w:p>
    <w:p>
      <w:pPr>
        <w:ind w:right="740" w:firstLine="818"/>
        <w:spacing w:after="0" w:line="368" w:lineRule="auto"/>
        <w:rPr>
          <w:sz w:val="20"/>
          <w:szCs w:val="20"/>
          <w:color w:val="auto"/>
        </w:rPr>
      </w:pPr>
      <w:r>
        <w:rPr>
          <w:rFonts w:ascii="Courier New" w:cs="Courier New" w:eastAsia="Courier New" w:hAnsi="Courier New"/>
          <w:sz w:val="15"/>
          <w:szCs w:val="15"/>
          <w:color w:val="auto"/>
        </w:rPr>
        <w:t>The company's stock is not quoted on the National Association of Securities Dealers Automated Quotations System (NASDAQ).</w:t>
      </w:r>
    </w:p>
    <w:p>
      <w:pPr>
        <w:spacing w:after="0" w:line="3" w:lineRule="exact"/>
        <w:rPr>
          <w:sz w:val="20"/>
          <w:szCs w:val="20"/>
          <w:color w:val="auto"/>
        </w:rPr>
      </w:pPr>
    </w:p>
    <w:p>
      <w:pPr>
        <w:ind w:right="180" w:firstLine="818"/>
        <w:spacing w:after="0" w:line="277" w:lineRule="auto"/>
        <w:rPr>
          <w:sz w:val="20"/>
          <w:szCs w:val="20"/>
          <w:color w:val="auto"/>
        </w:rPr>
      </w:pPr>
      <w:r>
        <w:rPr>
          <w:rFonts w:ascii="Courier New" w:cs="Courier New" w:eastAsia="Courier New" w:hAnsi="Courier New"/>
          <w:sz w:val="15"/>
          <w:szCs w:val="15"/>
          <w:color w:val="auto"/>
        </w:rPr>
        <w:t>The company's stock is traded in the principal market area of Fulton, Williams, and Henry Counties, Ohio. The company has no broker that sets a price for the company's stock, therefore, the only source as to the high and low sale price is from private sales. The high and low sale price known to the company's management is as follows:</w:t>
      </w:r>
    </w:p>
    <w:p>
      <w:pPr>
        <w:spacing w:after="0" w:line="200" w:lineRule="exact"/>
        <w:rPr>
          <w:sz w:val="20"/>
          <w:szCs w:val="20"/>
          <w:color w:val="auto"/>
        </w:rPr>
      </w:pPr>
    </w:p>
    <w:p>
      <w:pPr>
        <w:spacing w:after="0" w:line="218"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7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1st Quarter</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2nd Quarter</w:t>
            </w:r>
          </w:p>
        </w:tc>
      </w:tr>
      <w:tr>
        <w:trPr>
          <w:trHeight w:val="256"/>
        </w:trPr>
        <w:tc>
          <w:tcPr>
            <w:tcW w:w="7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8"/>
        </w:trPr>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1998</w:t>
            </w:r>
          </w:p>
        </w:tc>
        <w:tc>
          <w:tcPr>
            <w:tcW w:w="1860" w:type="dxa"/>
            <w:vAlign w:val="bottom"/>
          </w:tcPr>
          <w:p>
            <w:pPr>
              <w:ind w:left="400"/>
              <w:spacing w:after="0"/>
              <w:rPr>
                <w:sz w:val="20"/>
                <w:szCs w:val="20"/>
                <w:color w:val="auto"/>
              </w:rPr>
            </w:pPr>
            <w:r>
              <w:rPr>
                <w:rFonts w:ascii="Courier New" w:cs="Courier New" w:eastAsia="Courier New" w:hAnsi="Courier New"/>
                <w:sz w:val="15"/>
                <w:szCs w:val="15"/>
                <w:color w:val="auto"/>
              </w:rPr>
              <w:t>High</w:t>
            </w:r>
          </w:p>
        </w:tc>
        <w:tc>
          <w:tcPr>
            <w:tcW w:w="25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$45.00</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$72.00</w:t>
            </w:r>
          </w:p>
        </w:tc>
      </w:tr>
      <w:tr>
        <w:trPr>
          <w:trHeight w:val="256"/>
        </w:trPr>
        <w:tc>
          <w:tcPr>
            <w:tcW w:w="780" w:type="dxa"/>
            <w:vAlign w:val="bottom"/>
          </w:tcPr>
          <w:p>
            <w:pPr>
              <w:spacing w:after="0"/>
              <w:rPr>
                <w:sz w:val="22"/>
                <w:szCs w:val="22"/>
                <w:color w:val="auto"/>
              </w:rPr>
            </w:pPr>
          </w:p>
        </w:tc>
        <w:tc>
          <w:tcPr>
            <w:tcW w:w="1860" w:type="dxa"/>
            <w:vAlign w:val="bottom"/>
          </w:tcPr>
          <w:p>
            <w:pPr>
              <w:ind w:left="400"/>
              <w:spacing w:after="0"/>
              <w:rPr>
                <w:sz w:val="20"/>
                <w:szCs w:val="20"/>
                <w:color w:val="auto"/>
              </w:rPr>
            </w:pPr>
            <w:r>
              <w:rPr>
                <w:rFonts w:ascii="Courier New" w:cs="Courier New" w:eastAsia="Courier New" w:hAnsi="Courier New"/>
                <w:sz w:val="15"/>
                <w:szCs w:val="15"/>
                <w:color w:val="auto"/>
              </w:rPr>
              <w:t>Low</w:t>
            </w:r>
          </w:p>
        </w:tc>
        <w:tc>
          <w:tcPr>
            <w:tcW w:w="25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$40.00</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$55.00</w:t>
            </w:r>
          </w:p>
        </w:tc>
      </w:tr>
      <w:tr>
        <w:trPr>
          <w:trHeight w:val="268"/>
        </w:trPr>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1997</w:t>
            </w:r>
          </w:p>
        </w:tc>
        <w:tc>
          <w:tcPr>
            <w:tcW w:w="1860" w:type="dxa"/>
            <w:vAlign w:val="bottom"/>
          </w:tcPr>
          <w:p>
            <w:pPr>
              <w:ind w:left="400"/>
              <w:spacing w:after="0"/>
              <w:rPr>
                <w:sz w:val="20"/>
                <w:szCs w:val="20"/>
                <w:color w:val="auto"/>
              </w:rPr>
            </w:pPr>
            <w:r>
              <w:rPr>
                <w:rFonts w:ascii="Courier New" w:cs="Courier New" w:eastAsia="Courier New" w:hAnsi="Courier New"/>
                <w:sz w:val="15"/>
                <w:szCs w:val="15"/>
                <w:color w:val="auto"/>
              </w:rPr>
              <w:t>High</w:t>
            </w:r>
          </w:p>
        </w:tc>
        <w:tc>
          <w:tcPr>
            <w:tcW w:w="25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$45.00</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$72.00</w:t>
            </w:r>
          </w:p>
        </w:tc>
      </w:tr>
      <w:tr>
        <w:trPr>
          <w:trHeight w:val="256"/>
        </w:trPr>
        <w:tc>
          <w:tcPr>
            <w:tcW w:w="780" w:type="dxa"/>
            <w:vAlign w:val="bottom"/>
          </w:tcPr>
          <w:p>
            <w:pPr>
              <w:spacing w:after="0"/>
              <w:rPr>
                <w:sz w:val="22"/>
                <w:szCs w:val="22"/>
                <w:color w:val="auto"/>
              </w:rPr>
            </w:pPr>
          </w:p>
        </w:tc>
        <w:tc>
          <w:tcPr>
            <w:tcW w:w="1860" w:type="dxa"/>
            <w:vAlign w:val="bottom"/>
          </w:tcPr>
          <w:p>
            <w:pPr>
              <w:ind w:left="400"/>
              <w:spacing w:after="0"/>
              <w:rPr>
                <w:sz w:val="20"/>
                <w:szCs w:val="20"/>
                <w:color w:val="auto"/>
              </w:rPr>
            </w:pPr>
            <w:r>
              <w:rPr>
                <w:rFonts w:ascii="Courier New" w:cs="Courier New" w:eastAsia="Courier New" w:hAnsi="Courier New"/>
                <w:sz w:val="15"/>
                <w:szCs w:val="15"/>
                <w:color w:val="auto"/>
              </w:rPr>
              <w:t>Low</w:t>
            </w:r>
          </w:p>
        </w:tc>
        <w:tc>
          <w:tcPr>
            <w:tcW w:w="25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$40.00</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$55.00</w:t>
            </w:r>
          </w:p>
        </w:tc>
      </w:tr>
    </w:tbl>
    <w:p>
      <w:pPr>
        <w:spacing w:after="0" w:line="268" w:lineRule="exact"/>
        <w:rPr>
          <w:sz w:val="20"/>
          <w:szCs w:val="20"/>
          <w:color w:val="auto"/>
        </w:rPr>
      </w:pPr>
    </w:p>
    <w:p>
      <w:pPr>
        <w:jc w:val="both"/>
        <w:ind w:right="100" w:firstLine="818"/>
        <w:spacing w:after="0" w:line="368" w:lineRule="auto"/>
        <w:rPr>
          <w:sz w:val="20"/>
          <w:szCs w:val="20"/>
          <w:color w:val="auto"/>
        </w:rPr>
      </w:pPr>
      <w:r>
        <w:rPr>
          <w:rFonts w:ascii="Courier New" w:cs="Courier New" w:eastAsia="Courier New" w:hAnsi="Courier New"/>
          <w:sz w:val="15"/>
          <w:szCs w:val="15"/>
          <w:color w:val="auto"/>
        </w:rPr>
        <w:t>As of March 1, 1999, there were 1,397 record holders of common stock of the company.</w:t>
      </w:r>
    </w:p>
    <w:p>
      <w:pPr>
        <w:spacing w:after="0" w:line="3" w:lineRule="exact"/>
        <w:rPr>
          <w:sz w:val="20"/>
          <w:szCs w:val="20"/>
          <w:color w:val="auto"/>
        </w:rPr>
      </w:pPr>
    </w:p>
    <w:p>
      <w:pPr>
        <w:ind w:right="280" w:firstLine="818"/>
        <w:spacing w:after="0" w:line="368" w:lineRule="auto"/>
        <w:rPr>
          <w:sz w:val="20"/>
          <w:szCs w:val="20"/>
          <w:color w:val="auto"/>
        </w:rPr>
      </w:pPr>
      <w:r>
        <w:rPr>
          <w:rFonts w:ascii="Courier New" w:cs="Courier New" w:eastAsia="Courier New" w:hAnsi="Courier New"/>
          <w:sz w:val="15"/>
          <w:szCs w:val="15"/>
          <w:color w:val="auto"/>
        </w:rPr>
        <w:t>Dividends are paid quarterly. Per share dividends for the years ended 1998 and 1997 are as follows:</w:t>
      </w:r>
    </w:p>
    <w:p>
      <w:pPr>
        <w:spacing w:after="0" w:line="353"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1120" w:type="dxa"/>
            <w:vAlign w:val="bottom"/>
          </w:tcPr>
          <w:p>
            <w:pPr>
              <w:spacing w:after="0"/>
              <w:rPr>
                <w:sz w:val="15"/>
                <w:szCs w:val="15"/>
                <w:color w:val="auto"/>
              </w:rPr>
            </w:pPr>
          </w:p>
        </w:tc>
        <w:tc>
          <w:tcPr>
            <w:tcW w:w="2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1st Quarter</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2nd Quarter</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3rd Quarter</w:t>
            </w:r>
          </w:p>
        </w:tc>
      </w:tr>
      <w:tr>
        <w:trPr>
          <w:trHeight w:val="256"/>
        </w:trPr>
        <w:tc>
          <w:tcPr>
            <w:tcW w:w="1120" w:type="dxa"/>
            <w:vAlign w:val="bottom"/>
          </w:tcPr>
          <w:p>
            <w:pPr>
              <w:spacing w:after="0"/>
              <w:rPr>
                <w:sz w:val="22"/>
                <w:szCs w:val="22"/>
                <w:color w:val="auto"/>
              </w:rPr>
            </w:pPr>
          </w:p>
        </w:tc>
        <w:tc>
          <w:tcPr>
            <w:tcW w:w="2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8"/>
        </w:trPr>
        <w:tc>
          <w:tcPr>
            <w:tcW w:w="1120" w:type="dxa"/>
            <w:vAlign w:val="bottom"/>
          </w:tcPr>
          <w:p>
            <w:pPr>
              <w:jc w:val="right"/>
              <w:ind w:right="684"/>
              <w:spacing w:after="0"/>
              <w:rPr>
                <w:sz w:val="20"/>
                <w:szCs w:val="20"/>
                <w:color w:val="auto"/>
              </w:rPr>
            </w:pPr>
            <w:r>
              <w:rPr>
                <w:rFonts w:ascii="Courier New" w:cs="Courier New" w:eastAsia="Courier New" w:hAnsi="Courier New"/>
                <w:sz w:val="15"/>
                <w:szCs w:val="15"/>
                <w:color w:val="auto"/>
                <w:w w:val="94"/>
              </w:rPr>
              <w:t>1998</w:t>
            </w:r>
          </w:p>
        </w:tc>
        <w:tc>
          <w:tcPr>
            <w:tcW w:w="21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$.30</w:t>
            </w:r>
          </w:p>
        </w:tc>
        <w:tc>
          <w:tcPr>
            <w:tcW w:w="182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$.30</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$.30</w:t>
            </w:r>
          </w:p>
        </w:tc>
      </w:tr>
      <w:tr>
        <w:trPr>
          <w:trHeight w:val="256"/>
        </w:trPr>
        <w:tc>
          <w:tcPr>
            <w:tcW w:w="1120" w:type="dxa"/>
            <w:vAlign w:val="bottom"/>
          </w:tcPr>
          <w:p>
            <w:pPr>
              <w:jc w:val="right"/>
              <w:ind w:right="684"/>
              <w:spacing w:after="0"/>
              <w:rPr>
                <w:sz w:val="20"/>
                <w:szCs w:val="20"/>
                <w:color w:val="auto"/>
              </w:rPr>
            </w:pPr>
            <w:r>
              <w:rPr>
                <w:rFonts w:ascii="Courier New" w:cs="Courier New" w:eastAsia="Courier New" w:hAnsi="Courier New"/>
                <w:sz w:val="15"/>
                <w:szCs w:val="15"/>
                <w:color w:val="auto"/>
                <w:w w:val="94"/>
              </w:rPr>
              <w:t>1997</w:t>
            </w:r>
          </w:p>
        </w:tc>
        <w:tc>
          <w:tcPr>
            <w:tcW w:w="21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$.25</w:t>
            </w:r>
          </w:p>
        </w:tc>
        <w:tc>
          <w:tcPr>
            <w:tcW w:w="182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$.25</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$.25</w:t>
            </w:r>
          </w:p>
        </w:tc>
      </w:tr>
    </w:tbl>
    <w:p>
      <w:pPr>
        <w:spacing w:after="0" w:line="26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6.</w:t>
        <w:tab/>
        <w:t>SELECTED FINANCIAL DATA</w:t>
      </w:r>
    </w:p>
    <w:p>
      <w:pPr>
        <w:spacing w:after="0" w:line="180" w:lineRule="exact"/>
        <w:rPr>
          <w:sz w:val="20"/>
          <w:szCs w:val="20"/>
          <w:color w:val="auto"/>
        </w:rPr>
      </w:pPr>
    </w:p>
    <w:p>
      <w:pPr>
        <w:jc w:val="both"/>
        <w:ind w:right="100" w:firstLine="818"/>
        <w:spacing w:after="0" w:line="307" w:lineRule="auto"/>
        <w:rPr>
          <w:sz w:val="20"/>
          <w:szCs w:val="20"/>
          <w:color w:val="auto"/>
        </w:rPr>
      </w:pPr>
      <w:r>
        <w:rPr>
          <w:rFonts w:ascii="Courier New" w:cs="Courier New" w:eastAsia="Courier New" w:hAnsi="Courier New"/>
          <w:sz w:val="15"/>
          <w:szCs w:val="15"/>
          <w:color w:val="auto"/>
        </w:rPr>
        <w:t>Selected financial data is presented on page 35 of the Annual Report to shareholders for the year ended December 31, 1998 and are incorporated herein by reference.</w:t>
      </w:r>
    </w:p>
    <w:p>
      <w:pPr>
        <w:spacing w:after="0" w:line="47" w:lineRule="exact"/>
        <w:rPr>
          <w:sz w:val="20"/>
          <w:szCs w:val="20"/>
          <w:color w:val="auto"/>
        </w:rPr>
      </w:pPr>
    </w:p>
    <w:p>
      <w:pPr>
        <w:ind w:left="820" w:right="1180" w:hanging="999"/>
        <w:spacing w:after="0" w:line="368" w:lineRule="auto"/>
        <w:tabs>
          <w:tab w:leader="none" w:pos="80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3" w:lineRule="exact"/>
        <w:rPr>
          <w:sz w:val="20"/>
          <w:szCs w:val="20"/>
          <w:color w:val="auto"/>
        </w:rPr>
      </w:pPr>
    </w:p>
    <w:p>
      <w:pPr>
        <w:ind w:right="360" w:firstLine="818"/>
        <w:spacing w:after="0" w:line="271" w:lineRule="auto"/>
        <w:rPr>
          <w:sz w:val="20"/>
          <w:szCs w:val="20"/>
          <w:color w:val="auto"/>
        </w:rPr>
      </w:pPr>
      <w:r>
        <w:rPr>
          <w:rFonts w:ascii="Courier New" w:cs="Courier New" w:eastAsia="Courier New" w:hAnsi="Courier New"/>
          <w:sz w:val="15"/>
          <w:szCs w:val="15"/>
          <w:color w:val="auto"/>
        </w:rPr>
        <w:t>The purpose of this discussion is to focus on information concerning the company's financial condition and results of operations which is not otherwise apparent from the consolidated financial statements included in the annual report. Reference should be made to those statements and the selected financial data presented elsewhere in the report for an understanding of the following discussion and analysis.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3rd Quarter</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4th Quarter</w:t>
            </w:r>
          </w:p>
        </w:tc>
      </w:tr>
      <w:tr>
        <w:trPr>
          <w:trHeight w:val="256"/>
        </w:trPr>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8"/>
        </w:trPr>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$72.00</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$70.00</w:t>
            </w:r>
          </w:p>
        </w:tc>
      </w:tr>
      <w:tr>
        <w:trPr>
          <w:trHeight w:val="256"/>
        </w:trPr>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$72.00</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$65.00</w:t>
            </w:r>
          </w:p>
        </w:tc>
      </w:tr>
      <w:tr>
        <w:trPr>
          <w:trHeight w:val="268"/>
        </w:trPr>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$72.00</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$70.00</w:t>
            </w:r>
          </w:p>
        </w:tc>
      </w:tr>
      <w:tr>
        <w:trPr>
          <w:trHeight w:val="256"/>
        </w:trPr>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$72.00</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5"/>
          <w:szCs w:val="15"/>
          <w:color w:val="auto"/>
        </w:rPr>
        <w:t>4th Quarter</w:t>
      </w:r>
      <w:r>
        <w:rPr>
          <w:sz w:val="20"/>
          <w:szCs w:val="20"/>
          <w:color w:val="auto"/>
        </w:rPr>
        <w:tab/>
      </w:r>
      <w:r>
        <w:rPr>
          <w:rFonts w:ascii="Courier New" w:cs="Courier New" w:eastAsia="Courier New" w:hAnsi="Courier New"/>
          <w:sz w:val="14"/>
          <w:szCs w:val="14"/>
          <w:color w:val="auto"/>
        </w:rPr>
        <w:t>Total</w:t>
      </w:r>
    </w:p>
    <w:p>
      <w:pPr>
        <w:spacing w:after="0" w:line="33"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52" w:lineRule="exact"/>
        <w:rPr>
          <w:sz w:val="20"/>
          <w:szCs w:val="20"/>
          <w:color w:val="auto"/>
        </w:rPr>
      </w:pPr>
    </w:p>
    <w:p>
      <w:pPr>
        <w:ind w:left="180"/>
        <w:spacing w:after="0"/>
        <w:tabs>
          <w:tab w:leader="none" w:pos="2340" w:val="left"/>
        </w:tabs>
        <w:rPr>
          <w:sz w:val="20"/>
          <w:szCs w:val="20"/>
          <w:color w:val="auto"/>
        </w:rPr>
      </w:pPr>
      <w:r>
        <w:rPr>
          <w:rFonts w:ascii="Courier New" w:cs="Courier New" w:eastAsia="Courier New" w:hAnsi="Courier New"/>
          <w:sz w:val="15"/>
          <w:szCs w:val="15"/>
          <w:color w:val="auto"/>
        </w:rPr>
        <w:t>$.50</w:t>
      </w:r>
      <w:r>
        <w:rPr>
          <w:sz w:val="20"/>
          <w:szCs w:val="20"/>
          <w:color w:val="auto"/>
        </w:rPr>
        <w:tab/>
      </w:r>
      <w:r>
        <w:rPr>
          <w:rFonts w:ascii="Courier New" w:cs="Courier New" w:eastAsia="Courier New" w:hAnsi="Courier New"/>
          <w:sz w:val="15"/>
          <w:szCs w:val="15"/>
          <w:color w:val="auto"/>
        </w:rPr>
        <w:t>$1.40</w:t>
      </w:r>
    </w:p>
    <w:p>
      <w:pPr>
        <w:spacing w:after="0" w:line="33" w:lineRule="exact"/>
        <w:rPr>
          <w:sz w:val="20"/>
          <w:szCs w:val="20"/>
          <w:color w:val="auto"/>
        </w:rPr>
      </w:pPr>
    </w:p>
    <w:p>
      <w:pPr>
        <w:ind w:left="180"/>
        <w:spacing w:after="0"/>
        <w:tabs>
          <w:tab w:leader="none" w:pos="2340" w:val="left"/>
        </w:tabs>
        <w:rPr>
          <w:sz w:val="20"/>
          <w:szCs w:val="20"/>
          <w:color w:val="auto"/>
        </w:rPr>
      </w:pPr>
      <w:r>
        <w:rPr>
          <w:rFonts w:ascii="Courier New" w:cs="Courier New" w:eastAsia="Courier New" w:hAnsi="Courier New"/>
          <w:sz w:val="15"/>
          <w:szCs w:val="15"/>
          <w:color w:val="auto"/>
        </w:rPr>
        <w:t>$.50</w:t>
      </w:r>
      <w:r>
        <w:rPr>
          <w:sz w:val="20"/>
          <w:szCs w:val="20"/>
          <w:color w:val="auto"/>
        </w:rPr>
        <w:tab/>
      </w:r>
      <w:r>
        <w:rPr>
          <w:rFonts w:ascii="Courier New" w:cs="Courier New" w:eastAsia="Courier New" w:hAnsi="Courier New"/>
          <w:sz w:val="15"/>
          <w:szCs w:val="15"/>
          <w:color w:val="auto"/>
        </w:rPr>
        <w:t>$1.25</w:t>
      </w:r>
    </w:p>
    <w:p>
      <w:pPr>
        <w:spacing w:after="0" w:line="3250" w:lineRule="exact"/>
        <w:rPr>
          <w:sz w:val="20"/>
          <w:szCs w:val="20"/>
          <w:color w:val="auto"/>
        </w:rPr>
      </w:pPr>
    </w:p>
    <w:p>
      <w:pPr>
        <w:sectPr>
          <w:pgSz w:w="11900" w:h="16838" w:orient="portrait"/>
          <w:cols w:equalWidth="0" w:num="2">
            <w:col w:w="7360" w:space="720"/>
            <w:col w:w="3100"/>
          </w:cols>
          <w:pgMar w:left="240" w:top="265" w:right="479" w:bottom="1440" w:gutter="0" w:footer="0" w:header="0"/>
        </w:sectPr>
      </w:pPr>
    </w:p>
    <w:p>
      <w:pPr>
        <w:spacing w:after="0" w:line="39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1180"/>
          </w:cols>
          <w:pgMar w:left="240" w:top="265" w:right="479"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180" w:lineRule="exact"/>
        <w:rPr>
          <w:sz w:val="20"/>
          <w:szCs w:val="20"/>
          <w:color w:val="auto"/>
        </w:rPr>
      </w:pPr>
    </w:p>
    <w:p>
      <w:pPr>
        <w:ind w:right="4000" w:firstLine="818"/>
        <w:spacing w:after="0" w:line="287" w:lineRule="auto"/>
        <w:rPr>
          <w:sz w:val="20"/>
          <w:szCs w:val="20"/>
          <w:color w:val="auto"/>
        </w:rPr>
      </w:pPr>
      <w:r>
        <w:rPr>
          <w:rFonts w:ascii="Courier New" w:cs="Courier New" w:eastAsia="Courier New" w:hAnsi="Courier New"/>
          <w:sz w:val="15"/>
          <w:szCs w:val="15"/>
          <w:color w:val="auto"/>
        </w:rPr>
        <w:t>The company's bank subsidiary continues to follow the strategy of acquiring assets for investment purposes and retaining its own loan production, attempting to achieve reasonable spreads through matching such assets with one of a number of funding sources available.</w:t>
      </w:r>
    </w:p>
    <w:p>
      <w:pPr>
        <w:spacing w:after="0" w:line="61" w:lineRule="exact"/>
        <w:rPr>
          <w:sz w:val="20"/>
          <w:szCs w:val="20"/>
          <w:color w:val="auto"/>
        </w:rPr>
      </w:pPr>
    </w:p>
    <w:p>
      <w:pPr>
        <w:ind w:right="4100" w:firstLine="818"/>
        <w:spacing w:after="0" w:line="277" w:lineRule="auto"/>
        <w:rPr>
          <w:sz w:val="20"/>
          <w:szCs w:val="20"/>
          <w:color w:val="auto"/>
        </w:rPr>
      </w:pPr>
      <w:r>
        <w:rPr>
          <w:rFonts w:ascii="Courier New" w:cs="Courier New" w:eastAsia="Courier New" w:hAnsi="Courier New"/>
          <w:sz w:val="15"/>
          <w:szCs w:val="15"/>
          <w:color w:val="auto"/>
        </w:rPr>
        <w:t>The Farmers &amp; Merchants State Bank functions as a financial intermediary, and as such, its financial condition should be examined in terms of trends in its sources and uses of funds. The following comparison of daily average balances (in thousands) indicates how the bank has managed its sources and uses of funds: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560" w:type="dxa"/>
            <w:vAlign w:val="bottom"/>
            <w:gridSpan w:val="6"/>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Average</w:t>
            </w:r>
          </w:p>
        </w:tc>
        <w:tc>
          <w:tcPr>
            <w:tcW w:w="280" w:type="dxa"/>
            <w:vAlign w:val="bottom"/>
          </w:tcPr>
          <w:p>
            <w:pPr>
              <w:spacing w:after="0"/>
              <w:rPr>
                <w:sz w:val="15"/>
                <w:szCs w:val="15"/>
                <w:color w:val="auto"/>
              </w:rPr>
            </w:pPr>
          </w:p>
        </w:tc>
        <w:tc>
          <w:tcPr>
            <w:tcW w:w="264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Increase (Decrease)</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2"/>
                <w:szCs w:val="2"/>
                <w:color w:val="auto"/>
                <w:w w:val="77"/>
              </w:rPr>
              <w:t>----------------------------</w:t>
            </w:r>
          </w:p>
        </w:tc>
        <w:tc>
          <w:tcPr>
            <w:tcW w:w="132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Amount</w:t>
            </w:r>
          </w:p>
        </w:tc>
        <w:tc>
          <w:tcPr>
            <w:tcW w:w="1320" w:type="dxa"/>
            <w:vAlign w:val="bottom"/>
            <w:gridSpan w:val="2"/>
            <w:vMerge w:val="restart"/>
          </w:tcPr>
          <w:p>
            <w:pPr>
              <w:jc w:val="right"/>
              <w:ind w:right="124"/>
              <w:spacing w:after="0"/>
              <w:rPr>
                <w:sz w:val="20"/>
                <w:szCs w:val="20"/>
                <w:color w:val="auto"/>
              </w:rPr>
            </w:pPr>
            <w:r>
              <w:rPr>
                <w:rFonts w:ascii="Courier New" w:cs="Courier New" w:eastAsia="Courier New" w:hAnsi="Courier New"/>
                <w:sz w:val="15"/>
                <w:szCs w:val="15"/>
                <w:color w:val="auto"/>
              </w:rPr>
              <w:t>Percentage</w:t>
            </w: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Balance</w:t>
            </w:r>
          </w:p>
        </w:tc>
        <w:tc>
          <w:tcPr>
            <w:tcW w:w="28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080" w:type="dxa"/>
            <w:vAlign w:val="bottom"/>
          </w:tcPr>
          <w:p>
            <w:pPr>
              <w:spacing w:after="0"/>
              <w:rPr>
                <w:sz w:val="20"/>
                <w:szCs w:val="20"/>
                <w:color w:val="auto"/>
              </w:rPr>
            </w:pPr>
            <w:r>
              <w:rPr>
                <w:rFonts w:ascii="Courier New" w:cs="Courier New" w:eastAsia="Courier New" w:hAnsi="Courier New"/>
                <w:sz w:val="15"/>
                <w:szCs w:val="15"/>
                <w:color w:val="auto"/>
              </w:rPr>
              <w:t>Funding Uses:</w:t>
            </w: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408,291</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23,793</w:t>
            </w:r>
          </w:p>
        </w:tc>
        <w:tc>
          <w:tcPr>
            <w:tcW w:w="440" w:type="dxa"/>
            <w:vAlign w:val="bottom"/>
          </w:tcPr>
          <w:p>
            <w:pPr>
              <w:spacing w:after="0"/>
              <w:rPr>
                <w:sz w:val="23"/>
                <w:szCs w:val="23"/>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6.19%</w:t>
            </w: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Loans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Taxable investment securities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75,880</w:t>
            </w:r>
          </w:p>
        </w:tc>
        <w:tc>
          <w:tcPr>
            <w:tcW w:w="280" w:type="dxa"/>
            <w:vAlign w:val="bottom"/>
          </w:tcPr>
          <w:p>
            <w:pPr>
              <w:spacing w:after="0"/>
              <w:rPr>
                <w:sz w:val="15"/>
                <w:szCs w:val="15"/>
                <w:color w:val="auto"/>
              </w:rPr>
            </w:pP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3,722</w:t>
            </w:r>
          </w:p>
        </w:tc>
        <w:tc>
          <w:tcPr>
            <w:tcW w:w="440" w:type="dxa"/>
            <w:vAlign w:val="bottom"/>
          </w:tcPr>
          <w:p>
            <w:pPr>
              <w:spacing w:after="0"/>
              <w:rPr>
                <w:sz w:val="15"/>
                <w:szCs w:val="15"/>
                <w:color w:val="auto"/>
              </w:rPr>
            </w:pP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5.16</w:t>
            </w: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Tax-exempt investment securities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25,654</w:t>
            </w:r>
          </w:p>
        </w:tc>
        <w:tc>
          <w:tcPr>
            <w:tcW w:w="280" w:type="dxa"/>
            <w:vAlign w:val="bottom"/>
          </w:tcPr>
          <w:p>
            <w:pPr>
              <w:spacing w:after="0"/>
              <w:rPr>
                <w:sz w:val="15"/>
                <w:szCs w:val="15"/>
                <w:color w:val="auto"/>
              </w:rPr>
            </w:pP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3,585</w:t>
            </w:r>
          </w:p>
        </w:tc>
        <w:tc>
          <w:tcPr>
            <w:tcW w:w="440" w:type="dxa"/>
            <w:vAlign w:val="bottom"/>
          </w:tcPr>
          <w:p>
            <w:pPr>
              <w:spacing w:after="0"/>
              <w:rPr>
                <w:sz w:val="15"/>
                <w:szCs w:val="15"/>
                <w:color w:val="auto"/>
              </w:rPr>
            </w:pP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16.24</w:t>
            </w: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Interest bearing deposits with other banks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w:t>
            </w:r>
          </w:p>
        </w:tc>
        <w:tc>
          <w:tcPr>
            <w:tcW w:w="280" w:type="dxa"/>
            <w:vAlign w:val="bottom"/>
          </w:tcPr>
          <w:p>
            <w:pPr>
              <w:spacing w:after="0"/>
              <w:rPr>
                <w:sz w:val="15"/>
                <w:szCs w:val="15"/>
                <w:color w:val="auto"/>
              </w:rPr>
            </w:pP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5"/>
                <w:szCs w:val="15"/>
                <w:color w:val="auto"/>
              </w:rPr>
            </w:pP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.00</w:t>
            </w: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Federal funds sold and securities purchased under</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12,123</w:t>
            </w:r>
          </w:p>
        </w:tc>
        <w:tc>
          <w:tcPr>
            <w:tcW w:w="280" w:type="dxa"/>
            <w:vAlign w:val="bottom"/>
          </w:tcPr>
          <w:p>
            <w:pPr>
              <w:spacing w:after="0"/>
              <w:rPr>
                <w:sz w:val="15"/>
                <w:szCs w:val="15"/>
                <w:color w:val="auto"/>
              </w:rPr>
            </w:pPr>
          </w:p>
        </w:tc>
        <w:tc>
          <w:tcPr>
            <w:tcW w:w="13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8,318</w:t>
            </w:r>
          </w:p>
        </w:tc>
        <w:tc>
          <w:tcPr>
            <w:tcW w:w="440" w:type="dxa"/>
            <w:vAlign w:val="bottom"/>
          </w:tcPr>
          <w:p>
            <w:pPr>
              <w:spacing w:after="0"/>
              <w:rPr>
                <w:sz w:val="15"/>
                <w:szCs w:val="15"/>
                <w:color w:val="auto"/>
              </w:rPr>
            </w:pPr>
          </w:p>
        </w:tc>
        <w:tc>
          <w:tcPr>
            <w:tcW w:w="8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218.61</w:t>
            </w:r>
          </w:p>
        </w:tc>
        <w:tc>
          <w:tcPr>
            <w:tcW w:w="0" w:type="dxa"/>
            <w:vAlign w:val="bottom"/>
          </w:tcPr>
          <w:p>
            <w:pPr>
              <w:spacing w:after="0"/>
              <w:rPr>
                <w:sz w:val="1"/>
                <w:szCs w:val="1"/>
                <w:color w:val="auto"/>
              </w:rPr>
            </w:pPr>
          </w:p>
        </w:tc>
      </w:tr>
      <w:tr>
        <w:trPr>
          <w:trHeight w:val="175"/>
        </w:trPr>
        <w:tc>
          <w:tcPr>
            <w:tcW w:w="5080" w:type="dxa"/>
            <w:vAlign w:val="bottom"/>
          </w:tcPr>
          <w:p>
            <w:pPr>
              <w:ind w:left="620"/>
              <w:spacing w:after="0"/>
              <w:rPr>
                <w:sz w:val="20"/>
                <w:szCs w:val="20"/>
                <w:color w:val="auto"/>
              </w:rPr>
            </w:pPr>
            <w:r>
              <w:rPr>
                <w:rFonts w:ascii="Courier New" w:cs="Courier New" w:eastAsia="Courier New" w:hAnsi="Courier New"/>
                <w:sz w:val="15"/>
                <w:szCs w:val="15"/>
                <w:color w:val="auto"/>
              </w:rPr>
              <w:t>agreement to resell</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6"/>
                <w:vertAlign w:val="subscript"/>
              </w:rPr>
              <w:t>$</w:t>
            </w:r>
            <w:r>
              <w:rPr>
                <w:rFonts w:ascii="Courier New" w:cs="Courier New" w:eastAsia="Courier New" w:hAnsi="Courier New"/>
                <w:sz w:val="4"/>
                <w:szCs w:val="4"/>
                <w:color w:val="auto"/>
                <w:w w:val="76"/>
              </w:rPr>
              <w:t>-------------</w:t>
            </w:r>
          </w:p>
        </w:tc>
        <w:tc>
          <w:tcPr>
            <w:tcW w:w="13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522,048</w:t>
            </w:r>
          </w:p>
        </w:tc>
        <w:tc>
          <w:tcPr>
            <w:tcW w:w="16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8.17%</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39,418</w:t>
            </w:r>
          </w:p>
        </w:tc>
        <w:tc>
          <w:tcPr>
            <w:tcW w:w="4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080" w:type="dxa"/>
            <w:vAlign w:val="bottom"/>
            <w:vMerge w:val="restart"/>
          </w:tcPr>
          <w:p>
            <w:pPr>
              <w:spacing w:after="0"/>
              <w:rPr>
                <w:sz w:val="20"/>
                <w:szCs w:val="20"/>
                <w:color w:val="auto"/>
              </w:rPr>
            </w:pPr>
            <w:r>
              <w:rPr>
                <w:rFonts w:ascii="Courier New" w:cs="Courier New" w:eastAsia="Courier New" w:hAnsi="Courier New"/>
                <w:sz w:val="15"/>
                <w:szCs w:val="15"/>
                <w:color w:val="auto"/>
              </w:rPr>
              <w:t>Funding Sources:</w:t>
            </w: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0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Deposits: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100,420</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13,407</w:t>
            </w:r>
          </w:p>
        </w:tc>
        <w:tc>
          <w:tcPr>
            <w:tcW w:w="440" w:type="dxa"/>
            <w:vAlign w:val="bottom"/>
          </w:tcPr>
          <w:p>
            <w:pPr>
              <w:spacing w:after="0"/>
              <w:rPr>
                <w:sz w:val="15"/>
                <w:szCs w:val="15"/>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15.41%</w:t>
            </w:r>
          </w:p>
        </w:tc>
        <w:tc>
          <w:tcPr>
            <w:tcW w:w="0" w:type="dxa"/>
            <w:vAlign w:val="bottom"/>
          </w:tcPr>
          <w:p>
            <w:pPr>
              <w:spacing w:after="0"/>
              <w:rPr>
                <w:sz w:val="1"/>
                <w:szCs w:val="1"/>
                <w:color w:val="auto"/>
              </w:rPr>
            </w:pPr>
          </w:p>
        </w:tc>
      </w:tr>
      <w:tr>
        <w:trPr>
          <w:trHeight w:val="175"/>
        </w:trPr>
        <w:tc>
          <w:tcPr>
            <w:tcW w:w="5080" w:type="dxa"/>
            <w:vAlign w:val="bottom"/>
          </w:tcPr>
          <w:p>
            <w:pPr>
              <w:ind w:left="820"/>
              <w:spacing w:after="0"/>
              <w:rPr>
                <w:sz w:val="20"/>
                <w:szCs w:val="20"/>
                <w:color w:val="auto"/>
              </w:rPr>
            </w:pPr>
            <w:r>
              <w:rPr>
                <w:rFonts w:ascii="Courier New" w:cs="Courier New" w:eastAsia="Courier New" w:hAnsi="Courier New"/>
                <w:sz w:val="15"/>
                <w:szCs w:val="15"/>
                <w:color w:val="auto"/>
              </w:rPr>
              <w:t>Non-interest bearing deposits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820"/>
              <w:spacing w:after="0"/>
              <w:rPr>
                <w:sz w:val="20"/>
                <w:szCs w:val="20"/>
                <w:color w:val="auto"/>
              </w:rPr>
            </w:pPr>
            <w:r>
              <w:rPr>
                <w:rFonts w:ascii="Courier New" w:cs="Courier New" w:eastAsia="Courier New" w:hAnsi="Courier New"/>
                <w:sz w:val="15"/>
                <w:szCs w:val="15"/>
                <w:color w:val="auto"/>
              </w:rPr>
              <w:t>Savings deposits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89,643</w:t>
            </w:r>
          </w:p>
        </w:tc>
        <w:tc>
          <w:tcPr>
            <w:tcW w:w="280" w:type="dxa"/>
            <w:vAlign w:val="bottom"/>
          </w:tcPr>
          <w:p>
            <w:pPr>
              <w:spacing w:after="0"/>
              <w:rPr>
                <w:sz w:val="15"/>
                <w:szCs w:val="15"/>
                <w:color w:val="auto"/>
              </w:rPr>
            </w:pP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2,204</w:t>
            </w:r>
          </w:p>
        </w:tc>
        <w:tc>
          <w:tcPr>
            <w:tcW w:w="440" w:type="dxa"/>
            <w:vAlign w:val="bottom"/>
          </w:tcPr>
          <w:p>
            <w:pPr>
              <w:spacing w:after="0"/>
              <w:rPr>
                <w:sz w:val="15"/>
                <w:szCs w:val="15"/>
                <w:color w:val="auto"/>
              </w:rPr>
            </w:pP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2.52</w:t>
            </w:r>
          </w:p>
        </w:tc>
        <w:tc>
          <w:tcPr>
            <w:tcW w:w="0" w:type="dxa"/>
            <w:vAlign w:val="bottom"/>
          </w:tcPr>
          <w:p>
            <w:pPr>
              <w:spacing w:after="0"/>
              <w:rPr>
                <w:sz w:val="1"/>
                <w:szCs w:val="1"/>
                <w:color w:val="auto"/>
              </w:rPr>
            </w:pPr>
          </w:p>
        </w:tc>
      </w:tr>
      <w:tr>
        <w:trPr>
          <w:trHeight w:val="175"/>
        </w:trPr>
        <w:tc>
          <w:tcPr>
            <w:tcW w:w="5080" w:type="dxa"/>
            <w:vAlign w:val="bottom"/>
          </w:tcPr>
          <w:p>
            <w:pPr>
              <w:ind w:left="820"/>
              <w:spacing w:after="0"/>
              <w:rPr>
                <w:sz w:val="20"/>
                <w:szCs w:val="20"/>
                <w:color w:val="auto"/>
              </w:rPr>
            </w:pPr>
            <w:r>
              <w:rPr>
                <w:rFonts w:ascii="Courier New" w:cs="Courier New" w:eastAsia="Courier New" w:hAnsi="Courier New"/>
                <w:sz w:val="15"/>
                <w:szCs w:val="15"/>
                <w:color w:val="auto"/>
              </w:rPr>
              <w:t>Other time deposits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290,141</w:t>
            </w:r>
          </w:p>
        </w:tc>
        <w:tc>
          <w:tcPr>
            <w:tcW w:w="280" w:type="dxa"/>
            <w:vAlign w:val="bottom"/>
          </w:tcPr>
          <w:p>
            <w:pPr>
              <w:spacing w:after="0"/>
              <w:rPr>
                <w:sz w:val="15"/>
                <w:szCs w:val="15"/>
                <w:color w:val="auto"/>
              </w:rPr>
            </w:pP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19,390</w:t>
            </w:r>
          </w:p>
        </w:tc>
        <w:tc>
          <w:tcPr>
            <w:tcW w:w="440" w:type="dxa"/>
            <w:vAlign w:val="bottom"/>
          </w:tcPr>
          <w:p>
            <w:pPr>
              <w:spacing w:after="0"/>
              <w:rPr>
                <w:sz w:val="15"/>
                <w:szCs w:val="15"/>
                <w:color w:val="auto"/>
              </w:rPr>
            </w:pP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7.16</w:t>
            </w: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Other borrowed money</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11,051</w:t>
            </w:r>
          </w:p>
        </w:tc>
        <w:tc>
          <w:tcPr>
            <w:tcW w:w="280" w:type="dxa"/>
            <w:vAlign w:val="bottom"/>
          </w:tcPr>
          <w:p>
            <w:pPr>
              <w:spacing w:after="0"/>
              <w:rPr>
                <w:sz w:val="15"/>
                <w:szCs w:val="15"/>
                <w:color w:val="auto"/>
              </w:rPr>
            </w:pP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1,637</w:t>
            </w:r>
          </w:p>
        </w:tc>
        <w:tc>
          <w:tcPr>
            <w:tcW w:w="440" w:type="dxa"/>
            <w:vAlign w:val="bottom"/>
          </w:tcPr>
          <w:p>
            <w:pPr>
              <w:spacing w:after="0"/>
              <w:rPr>
                <w:sz w:val="15"/>
                <w:szCs w:val="15"/>
                <w:color w:val="auto"/>
              </w:rPr>
            </w:pP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17.39</w:t>
            </w: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Federal funds purchased and securities sold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3,276</w:t>
            </w:r>
          </w:p>
        </w:tc>
        <w:tc>
          <w:tcPr>
            <w:tcW w:w="280" w:type="dxa"/>
            <w:vAlign w:val="bottom"/>
          </w:tcPr>
          <w:p>
            <w:pPr>
              <w:spacing w:after="0"/>
              <w:rPr>
                <w:sz w:val="15"/>
                <w:szCs w:val="15"/>
                <w:color w:val="auto"/>
              </w:rPr>
            </w:pPr>
          </w:p>
        </w:tc>
        <w:tc>
          <w:tcPr>
            <w:tcW w:w="13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(1,167)</w:t>
            </w:r>
          </w:p>
        </w:tc>
        <w:tc>
          <w:tcPr>
            <w:tcW w:w="440" w:type="dxa"/>
            <w:vAlign w:val="bottom"/>
          </w:tcPr>
          <w:p>
            <w:pPr>
              <w:spacing w:after="0"/>
              <w:rPr>
                <w:sz w:val="15"/>
                <w:szCs w:val="15"/>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(26.27)</w:t>
            </w:r>
          </w:p>
        </w:tc>
        <w:tc>
          <w:tcPr>
            <w:tcW w:w="0" w:type="dxa"/>
            <w:vAlign w:val="bottom"/>
          </w:tcPr>
          <w:p>
            <w:pPr>
              <w:spacing w:after="0"/>
              <w:rPr>
                <w:sz w:val="1"/>
                <w:szCs w:val="1"/>
                <w:color w:val="auto"/>
              </w:rPr>
            </w:pPr>
          </w:p>
        </w:tc>
      </w:tr>
      <w:tr>
        <w:trPr>
          <w:trHeight w:val="175"/>
        </w:trPr>
        <w:tc>
          <w:tcPr>
            <w:tcW w:w="5080" w:type="dxa"/>
            <w:vAlign w:val="bottom"/>
          </w:tcPr>
          <w:p>
            <w:pPr>
              <w:ind w:left="620"/>
              <w:spacing w:after="0"/>
              <w:rPr>
                <w:sz w:val="20"/>
                <w:szCs w:val="20"/>
                <w:color w:val="auto"/>
              </w:rPr>
            </w:pPr>
            <w:r>
              <w:rPr>
                <w:rFonts w:ascii="Courier New" w:cs="Courier New" w:eastAsia="Courier New" w:hAnsi="Courier New"/>
                <w:sz w:val="15"/>
                <w:szCs w:val="15"/>
                <w:color w:val="auto"/>
              </w:rPr>
              <w:t>under agreement to repurchase</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6"/>
                <w:vertAlign w:val="subscript"/>
              </w:rPr>
              <w:t>$</w:t>
            </w:r>
            <w:r>
              <w:rPr>
                <w:rFonts w:ascii="Courier New" w:cs="Courier New" w:eastAsia="Courier New" w:hAnsi="Courier New"/>
                <w:sz w:val="4"/>
                <w:szCs w:val="4"/>
                <w:color w:val="auto"/>
                <w:w w:val="76"/>
              </w:rPr>
              <w:t>-------------</w:t>
            </w:r>
          </w:p>
        </w:tc>
        <w:tc>
          <w:tcPr>
            <w:tcW w:w="13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494,531</w:t>
            </w:r>
          </w:p>
        </w:tc>
        <w:tc>
          <w:tcPr>
            <w:tcW w:w="16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7.73%</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35,471</w:t>
            </w:r>
          </w:p>
        </w:tc>
        <w:tc>
          <w:tcPr>
            <w:tcW w:w="4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5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2"/>
                <w:szCs w:val="22"/>
                <w:color w:val="auto"/>
              </w:rPr>
            </w:pPr>
          </w:p>
        </w:tc>
        <w:tc>
          <w:tcPr>
            <w:tcW w:w="154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7"/>
              </w:rPr>
              <w:t>------------------------------------------------</w:t>
            </w:r>
          </w:p>
        </w:tc>
        <w:tc>
          <w:tcPr>
            <w:tcW w:w="280" w:type="dxa"/>
            <w:vAlign w:val="bottom"/>
          </w:tcPr>
          <w:p>
            <w:pPr>
              <w:spacing w:after="0"/>
              <w:rPr>
                <w:sz w:val="22"/>
                <w:szCs w:val="22"/>
                <w:color w:val="auto"/>
              </w:rPr>
            </w:pPr>
          </w:p>
        </w:tc>
        <w:tc>
          <w:tcPr>
            <w:tcW w:w="2960" w:type="dxa"/>
            <w:vAlign w:val="bottom"/>
            <w:gridSpan w:val="3"/>
            <w:vMerge w:val="restart"/>
          </w:tcPr>
          <w:p>
            <w:pPr>
              <w:ind w:left="460"/>
              <w:spacing w:after="0"/>
              <w:rPr>
                <w:sz w:val="20"/>
                <w:szCs w:val="20"/>
                <w:color w:val="auto"/>
              </w:rPr>
            </w:pPr>
            <w:r>
              <w:rPr>
                <w:rFonts w:ascii="Courier New" w:cs="Courier New" w:eastAsia="Courier New" w:hAnsi="Courier New"/>
                <w:sz w:val="15"/>
                <w:szCs w:val="15"/>
                <w:color w:val="auto"/>
              </w:rPr>
              <w:t>Increase (Decrease)</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6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w w:val="98"/>
              </w:rPr>
              <w:t>Average</w:t>
            </w:r>
          </w:p>
        </w:tc>
        <w:tc>
          <w:tcPr>
            <w:tcW w:w="280" w:type="dxa"/>
            <w:vAlign w:val="bottom"/>
          </w:tcPr>
          <w:p>
            <w:pPr>
              <w:spacing w:after="0"/>
              <w:rPr>
                <w:sz w:val="22"/>
                <w:szCs w:val="22"/>
                <w:color w:val="auto"/>
              </w:rPr>
            </w:pPr>
          </w:p>
        </w:tc>
        <w:tc>
          <w:tcPr>
            <w:tcW w:w="2960" w:type="dxa"/>
            <w:vAlign w:val="bottom"/>
            <w:gridSpan w:val="3"/>
          </w:tcPr>
          <w:p>
            <w:pPr>
              <w:jc w:val="right"/>
              <w:ind w:right="164"/>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gridSpan w:val="2"/>
            <w:vMerge w:val="restart"/>
          </w:tcPr>
          <w:p>
            <w:pPr>
              <w:jc w:val="right"/>
              <w:ind w:right="384"/>
              <w:spacing w:after="0"/>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93"/>
        </w:trPr>
        <w:tc>
          <w:tcPr>
            <w:tcW w:w="5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vMerge w:val="restart"/>
          </w:tcPr>
          <w:p>
            <w:pPr>
              <w:jc w:val="right"/>
              <w:ind w:right="744"/>
              <w:spacing w:after="0"/>
              <w:rPr>
                <w:sz w:val="20"/>
                <w:szCs w:val="20"/>
                <w:color w:val="auto"/>
              </w:rPr>
            </w:pPr>
            <w:r>
              <w:rPr>
                <w:rFonts w:ascii="Courier New" w:cs="Courier New" w:eastAsia="Courier New" w:hAnsi="Courier New"/>
                <w:sz w:val="15"/>
                <w:szCs w:val="15"/>
                <w:color w:val="auto"/>
                <w:w w:val="96"/>
              </w:rPr>
              <w:t>Amount</w:t>
            </w:r>
          </w:p>
        </w:tc>
        <w:tc>
          <w:tcPr>
            <w:tcW w:w="280" w:type="dxa"/>
            <w:vAlign w:val="bottom"/>
          </w:tcPr>
          <w:p>
            <w:pPr>
              <w:spacing w:after="0"/>
              <w:rPr>
                <w:sz w:val="8"/>
                <w:szCs w:val="8"/>
                <w:color w:val="auto"/>
              </w:rPr>
            </w:pPr>
          </w:p>
        </w:tc>
        <w:tc>
          <w:tcPr>
            <w:tcW w:w="132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w w:val="97"/>
              </w:rPr>
              <w:t>Percentage</w:t>
            </w:r>
          </w:p>
        </w:tc>
        <w:tc>
          <w:tcPr>
            <w:tcW w:w="1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Balance</w:t>
            </w:r>
          </w:p>
        </w:tc>
        <w:tc>
          <w:tcPr>
            <w:tcW w:w="2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3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Balance</w:t>
            </w: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2"/>
                <w:szCs w:val="22"/>
                <w:color w:val="auto"/>
              </w:rPr>
            </w:pPr>
          </w:p>
        </w:tc>
        <w:tc>
          <w:tcPr>
            <w:tcW w:w="1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2"/>
                <w:szCs w:val="22"/>
                <w:color w:val="auto"/>
              </w:rPr>
            </w:pP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080" w:type="dxa"/>
            <w:vAlign w:val="bottom"/>
          </w:tcPr>
          <w:p>
            <w:pPr>
              <w:spacing w:after="0"/>
              <w:rPr>
                <w:sz w:val="20"/>
                <w:szCs w:val="20"/>
                <w:color w:val="auto"/>
              </w:rPr>
            </w:pPr>
            <w:r>
              <w:rPr>
                <w:rFonts w:ascii="Courier New" w:cs="Courier New" w:eastAsia="Courier New" w:hAnsi="Courier New"/>
                <w:sz w:val="15"/>
                <w:szCs w:val="15"/>
                <w:color w:val="auto"/>
              </w:rPr>
              <w:t>Funding Uses:</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384,498</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26,237</w:t>
            </w:r>
          </w:p>
        </w:tc>
        <w:tc>
          <w:tcPr>
            <w:tcW w:w="280" w:type="dxa"/>
            <w:vAlign w:val="bottom"/>
          </w:tcPr>
          <w:p>
            <w:pPr>
              <w:spacing w:after="0"/>
              <w:rPr>
                <w:sz w:val="23"/>
                <w:szCs w:val="23"/>
                <w:color w:val="auto"/>
              </w:rPr>
            </w:pPr>
          </w:p>
        </w:tc>
        <w:tc>
          <w:tcPr>
            <w:tcW w:w="13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7.32%</w:t>
            </w:r>
          </w:p>
        </w:tc>
        <w:tc>
          <w:tcPr>
            <w:tcW w:w="4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358,261</w:t>
            </w: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Loans</w:t>
            </w:r>
          </w:p>
        </w:tc>
        <w:tc>
          <w:tcPr>
            <w:tcW w:w="3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Taxable investment securities</w:t>
            </w:r>
          </w:p>
        </w:tc>
        <w:tc>
          <w:tcPr>
            <w:tcW w:w="36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72,158</w:t>
            </w:r>
          </w:p>
        </w:tc>
        <w:tc>
          <w:tcPr>
            <w:tcW w:w="28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(2,893)</w:t>
            </w:r>
          </w:p>
        </w:tc>
        <w:tc>
          <w:tcPr>
            <w:tcW w:w="28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(3.85)</w:t>
            </w: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75,051</w:t>
            </w: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Tax-exempt investment securities</w:t>
            </w:r>
          </w:p>
        </w:tc>
        <w:tc>
          <w:tcPr>
            <w:tcW w:w="36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22,069</w:t>
            </w:r>
          </w:p>
        </w:tc>
        <w:tc>
          <w:tcPr>
            <w:tcW w:w="28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846</w:t>
            </w:r>
          </w:p>
        </w:tc>
        <w:tc>
          <w:tcPr>
            <w:tcW w:w="280" w:type="dxa"/>
            <w:vAlign w:val="bottom"/>
          </w:tcPr>
          <w:p>
            <w:pPr>
              <w:spacing w:after="0"/>
              <w:rPr>
                <w:sz w:val="15"/>
                <w:szCs w:val="15"/>
                <w:color w:val="auto"/>
              </w:rPr>
            </w:pP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3.99</w:t>
            </w: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21,223</w:t>
            </w: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Interest bearing deposits with other banks</w:t>
            </w:r>
          </w:p>
        </w:tc>
        <w:tc>
          <w:tcPr>
            <w:tcW w:w="36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28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w:t>
            </w:r>
          </w:p>
        </w:tc>
        <w:tc>
          <w:tcPr>
            <w:tcW w:w="280" w:type="dxa"/>
            <w:vAlign w:val="bottom"/>
          </w:tcPr>
          <w:p>
            <w:pPr>
              <w:spacing w:after="0"/>
              <w:rPr>
                <w:sz w:val="15"/>
                <w:szCs w:val="15"/>
                <w:color w:val="auto"/>
              </w:rPr>
            </w:pP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.00</w:t>
            </w: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Federal funds sold and securities purchased</w:t>
            </w:r>
          </w:p>
        </w:tc>
        <w:tc>
          <w:tcPr>
            <w:tcW w:w="360" w:type="dxa"/>
            <w:vAlign w:val="bottom"/>
          </w:tcPr>
          <w:p>
            <w:pPr>
              <w:spacing w:after="0"/>
              <w:rPr>
                <w:sz w:val="15"/>
                <w:szCs w:val="15"/>
                <w:color w:val="auto"/>
              </w:rPr>
            </w:pP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3,805</w:t>
            </w:r>
          </w:p>
        </w:tc>
        <w:tc>
          <w:tcPr>
            <w:tcW w:w="280" w:type="dxa"/>
            <w:vAlign w:val="bottom"/>
          </w:tcPr>
          <w:p>
            <w:pPr>
              <w:spacing w:after="0"/>
              <w:rPr>
                <w:sz w:val="15"/>
                <w:szCs w:val="15"/>
                <w:color w:val="auto"/>
              </w:rPr>
            </w:pPr>
          </w:p>
        </w:tc>
        <w:tc>
          <w:tcPr>
            <w:tcW w:w="1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(2,808)</w:t>
            </w:r>
          </w:p>
        </w:tc>
        <w:tc>
          <w:tcPr>
            <w:tcW w:w="280" w:type="dxa"/>
            <w:vAlign w:val="bottom"/>
          </w:tcPr>
          <w:p>
            <w:pPr>
              <w:spacing w:after="0"/>
              <w:rPr>
                <w:sz w:val="15"/>
                <w:szCs w:val="15"/>
                <w:color w:val="auto"/>
              </w:rPr>
            </w:pPr>
          </w:p>
        </w:tc>
        <w:tc>
          <w:tcPr>
            <w:tcW w:w="13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(42.46)</w:t>
            </w:r>
          </w:p>
        </w:tc>
        <w:tc>
          <w:tcPr>
            <w:tcW w:w="4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6,613</w:t>
            </w:r>
          </w:p>
        </w:tc>
        <w:tc>
          <w:tcPr>
            <w:tcW w:w="0" w:type="dxa"/>
            <w:vAlign w:val="bottom"/>
          </w:tcPr>
          <w:p>
            <w:pPr>
              <w:spacing w:after="0"/>
              <w:rPr>
                <w:sz w:val="1"/>
                <w:szCs w:val="1"/>
                <w:color w:val="auto"/>
              </w:rPr>
            </w:pPr>
          </w:p>
        </w:tc>
      </w:tr>
      <w:tr>
        <w:trPr>
          <w:trHeight w:val="175"/>
        </w:trPr>
        <w:tc>
          <w:tcPr>
            <w:tcW w:w="5080" w:type="dxa"/>
            <w:vAlign w:val="bottom"/>
          </w:tcPr>
          <w:p>
            <w:pPr>
              <w:ind w:left="620"/>
              <w:spacing w:after="0"/>
              <w:rPr>
                <w:sz w:val="20"/>
                <w:szCs w:val="20"/>
                <w:color w:val="auto"/>
              </w:rPr>
            </w:pPr>
            <w:r>
              <w:rPr>
                <w:rFonts w:ascii="Courier New" w:cs="Courier New" w:eastAsia="Courier New" w:hAnsi="Courier New"/>
                <w:sz w:val="15"/>
                <w:szCs w:val="15"/>
                <w:color w:val="auto"/>
              </w:rPr>
              <w:t>under agreement to resell</w:t>
            </w: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360" w:type="dxa"/>
            <w:vAlign w:val="bottom"/>
            <w:vMerge w:val="restart"/>
          </w:tcPr>
          <w:p>
            <w:pPr>
              <w:ind w:left="180"/>
              <w:spacing w:after="0"/>
              <w:rPr>
                <w:sz w:val="20"/>
                <w:szCs w:val="20"/>
                <w:color w:val="auto"/>
              </w:rPr>
            </w:pPr>
            <w:r>
              <w:rPr>
                <w:rFonts w:ascii="Courier New" w:cs="Courier New" w:eastAsia="Courier New" w:hAnsi="Courier New"/>
                <w:sz w:val="4"/>
                <w:szCs w:val="4"/>
                <w:color w:val="auto"/>
                <w:w w:val="92"/>
                <w:vertAlign w:val="subscript"/>
              </w:rPr>
              <w:t>$</w:t>
            </w:r>
            <w:r>
              <w:rPr>
                <w:rFonts w:ascii="Courier New" w:cs="Courier New" w:eastAsia="Courier New" w:hAnsi="Courier New"/>
                <w:sz w:val="2"/>
                <w:szCs w:val="2"/>
                <w:color w:val="auto"/>
                <w:w w:val="92"/>
              </w:rPr>
              <w:t>-------------</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482,630</w:t>
            </w:r>
          </w:p>
        </w:tc>
        <w:tc>
          <w:tcPr>
            <w:tcW w:w="16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3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4.64%</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21,382</w:t>
            </w:r>
          </w:p>
        </w:tc>
        <w:tc>
          <w:tcPr>
            <w:tcW w:w="2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461,248</w:t>
            </w:r>
          </w:p>
        </w:tc>
        <w:tc>
          <w:tcPr>
            <w:tcW w:w="0" w:type="dxa"/>
            <w:vAlign w:val="bottom"/>
          </w:tcPr>
          <w:p>
            <w:pPr>
              <w:spacing w:after="0"/>
              <w:rPr>
                <w:sz w:val="1"/>
                <w:szCs w:val="1"/>
                <w:color w:val="auto"/>
              </w:rPr>
            </w:pPr>
          </w:p>
        </w:tc>
      </w:tr>
      <w:tr>
        <w:trPr>
          <w:trHeight w:val="256"/>
        </w:trPr>
        <w:tc>
          <w:tcPr>
            <w:tcW w:w="5080" w:type="dxa"/>
            <w:vAlign w:val="bottom"/>
            <w:vMerge w:val="restart"/>
          </w:tcPr>
          <w:p>
            <w:pPr>
              <w:spacing w:after="0"/>
              <w:rPr>
                <w:sz w:val="20"/>
                <w:szCs w:val="20"/>
                <w:color w:val="auto"/>
              </w:rPr>
            </w:pPr>
            <w:r>
              <w:rPr>
                <w:rFonts w:ascii="Courier New" w:cs="Courier New" w:eastAsia="Courier New" w:hAnsi="Courier New"/>
                <w:sz w:val="15"/>
                <w:szCs w:val="15"/>
                <w:color w:val="auto"/>
              </w:rPr>
              <w:t>Funding Sources:</w:t>
            </w:r>
          </w:p>
        </w:tc>
        <w:tc>
          <w:tcPr>
            <w:tcW w:w="1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0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Deposits:</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87,013</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36,433</w:t>
            </w:r>
          </w:p>
        </w:tc>
        <w:tc>
          <w:tcPr>
            <w:tcW w:w="280" w:type="dxa"/>
            <w:vAlign w:val="bottom"/>
          </w:tcPr>
          <w:p>
            <w:pPr>
              <w:spacing w:after="0"/>
              <w:rPr>
                <w:sz w:val="15"/>
                <w:szCs w:val="15"/>
                <w:color w:val="auto"/>
              </w:rPr>
            </w:pPr>
          </w:p>
        </w:tc>
        <w:tc>
          <w:tcPr>
            <w:tcW w:w="13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72.03%</w:t>
            </w:r>
          </w:p>
        </w:tc>
        <w:tc>
          <w:tcPr>
            <w:tcW w:w="4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50,580</w:t>
            </w:r>
          </w:p>
        </w:tc>
        <w:tc>
          <w:tcPr>
            <w:tcW w:w="0" w:type="dxa"/>
            <w:vAlign w:val="bottom"/>
          </w:tcPr>
          <w:p>
            <w:pPr>
              <w:spacing w:after="0"/>
              <w:rPr>
                <w:sz w:val="1"/>
                <w:szCs w:val="1"/>
                <w:color w:val="auto"/>
              </w:rPr>
            </w:pPr>
          </w:p>
        </w:tc>
      </w:tr>
      <w:tr>
        <w:trPr>
          <w:trHeight w:val="175"/>
        </w:trPr>
        <w:tc>
          <w:tcPr>
            <w:tcW w:w="5080" w:type="dxa"/>
            <w:vAlign w:val="bottom"/>
          </w:tcPr>
          <w:p>
            <w:pPr>
              <w:ind w:left="820"/>
              <w:spacing w:after="0"/>
              <w:rPr>
                <w:sz w:val="20"/>
                <w:szCs w:val="20"/>
                <w:color w:val="auto"/>
              </w:rPr>
            </w:pPr>
            <w:r>
              <w:rPr>
                <w:rFonts w:ascii="Courier New" w:cs="Courier New" w:eastAsia="Courier New" w:hAnsi="Courier New"/>
                <w:sz w:val="15"/>
                <w:szCs w:val="15"/>
                <w:color w:val="auto"/>
              </w:rPr>
              <w:t>Non-interest bearing deposits</w:t>
            </w:r>
          </w:p>
        </w:tc>
        <w:tc>
          <w:tcPr>
            <w:tcW w:w="3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820"/>
              <w:spacing w:after="0"/>
              <w:rPr>
                <w:sz w:val="20"/>
                <w:szCs w:val="20"/>
                <w:color w:val="auto"/>
              </w:rPr>
            </w:pPr>
            <w:r>
              <w:rPr>
                <w:rFonts w:ascii="Courier New" w:cs="Courier New" w:eastAsia="Courier New" w:hAnsi="Courier New"/>
                <w:sz w:val="15"/>
                <w:szCs w:val="15"/>
                <w:color w:val="auto"/>
              </w:rPr>
              <w:t>Savings deposits</w:t>
            </w:r>
          </w:p>
        </w:tc>
        <w:tc>
          <w:tcPr>
            <w:tcW w:w="36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87,439</w:t>
            </w:r>
          </w:p>
        </w:tc>
        <w:tc>
          <w:tcPr>
            <w:tcW w:w="28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(30,295)</w:t>
            </w:r>
          </w:p>
        </w:tc>
        <w:tc>
          <w:tcPr>
            <w:tcW w:w="28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(25.73)</w:t>
            </w: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117,734</w:t>
            </w:r>
          </w:p>
        </w:tc>
        <w:tc>
          <w:tcPr>
            <w:tcW w:w="0" w:type="dxa"/>
            <w:vAlign w:val="bottom"/>
          </w:tcPr>
          <w:p>
            <w:pPr>
              <w:spacing w:after="0"/>
              <w:rPr>
                <w:sz w:val="1"/>
                <w:szCs w:val="1"/>
                <w:color w:val="auto"/>
              </w:rPr>
            </w:pPr>
          </w:p>
        </w:tc>
      </w:tr>
      <w:tr>
        <w:trPr>
          <w:trHeight w:val="175"/>
        </w:trPr>
        <w:tc>
          <w:tcPr>
            <w:tcW w:w="5080" w:type="dxa"/>
            <w:vAlign w:val="bottom"/>
          </w:tcPr>
          <w:p>
            <w:pPr>
              <w:ind w:left="820"/>
              <w:spacing w:after="0"/>
              <w:rPr>
                <w:sz w:val="20"/>
                <w:szCs w:val="20"/>
                <w:color w:val="auto"/>
              </w:rPr>
            </w:pPr>
            <w:r>
              <w:rPr>
                <w:rFonts w:ascii="Courier New" w:cs="Courier New" w:eastAsia="Courier New" w:hAnsi="Courier New"/>
                <w:sz w:val="15"/>
                <w:szCs w:val="15"/>
                <w:color w:val="auto"/>
              </w:rPr>
              <w:t>Other time deposits</w:t>
            </w:r>
          </w:p>
        </w:tc>
        <w:tc>
          <w:tcPr>
            <w:tcW w:w="36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270,751</w:t>
            </w:r>
          </w:p>
        </w:tc>
        <w:tc>
          <w:tcPr>
            <w:tcW w:w="28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12,305</w:t>
            </w:r>
          </w:p>
        </w:tc>
        <w:tc>
          <w:tcPr>
            <w:tcW w:w="280" w:type="dxa"/>
            <w:vAlign w:val="bottom"/>
          </w:tcPr>
          <w:p>
            <w:pPr>
              <w:spacing w:after="0"/>
              <w:rPr>
                <w:sz w:val="15"/>
                <w:szCs w:val="15"/>
                <w:color w:val="auto"/>
              </w:rPr>
            </w:pP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4.76</w:t>
            </w: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258,446</w:t>
            </w: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Other borrowed money</w:t>
            </w:r>
          </w:p>
        </w:tc>
        <w:tc>
          <w:tcPr>
            <w:tcW w:w="36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9,414</w:t>
            </w:r>
          </w:p>
        </w:tc>
        <w:tc>
          <w:tcPr>
            <w:tcW w:w="28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spacing w:after="0"/>
              <w:rPr>
                <w:sz w:val="15"/>
                <w:szCs w:val="15"/>
                <w:color w:val="auto"/>
              </w:rPr>
            </w:pP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9,411</w:t>
            </w: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Federal funds purchased and securities sold</w:t>
            </w:r>
          </w:p>
        </w:tc>
        <w:tc>
          <w:tcPr>
            <w:tcW w:w="360" w:type="dxa"/>
            <w:vAlign w:val="bottom"/>
          </w:tcPr>
          <w:p>
            <w:pPr>
              <w:spacing w:after="0"/>
              <w:rPr>
                <w:sz w:val="15"/>
                <w:szCs w:val="15"/>
                <w:color w:val="auto"/>
              </w:rPr>
            </w:pP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4,443</w:t>
            </w:r>
          </w:p>
        </w:tc>
        <w:tc>
          <w:tcPr>
            <w:tcW w:w="280" w:type="dxa"/>
            <w:vAlign w:val="bottom"/>
          </w:tcPr>
          <w:p>
            <w:pPr>
              <w:spacing w:after="0"/>
              <w:rPr>
                <w:sz w:val="15"/>
                <w:szCs w:val="15"/>
                <w:color w:val="auto"/>
              </w:rPr>
            </w:pPr>
          </w:p>
        </w:tc>
        <w:tc>
          <w:tcPr>
            <w:tcW w:w="1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(2,079)</w:t>
            </w:r>
          </w:p>
        </w:tc>
        <w:tc>
          <w:tcPr>
            <w:tcW w:w="280" w:type="dxa"/>
            <w:vAlign w:val="bottom"/>
          </w:tcPr>
          <w:p>
            <w:pPr>
              <w:spacing w:after="0"/>
              <w:rPr>
                <w:sz w:val="15"/>
                <w:szCs w:val="15"/>
                <w:color w:val="auto"/>
              </w:rPr>
            </w:pPr>
          </w:p>
        </w:tc>
        <w:tc>
          <w:tcPr>
            <w:tcW w:w="13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(31.88)</w:t>
            </w:r>
          </w:p>
        </w:tc>
        <w:tc>
          <w:tcPr>
            <w:tcW w:w="4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6,522</w:t>
            </w:r>
          </w:p>
        </w:tc>
        <w:tc>
          <w:tcPr>
            <w:tcW w:w="0" w:type="dxa"/>
            <w:vAlign w:val="bottom"/>
          </w:tcPr>
          <w:p>
            <w:pPr>
              <w:spacing w:after="0"/>
              <w:rPr>
                <w:sz w:val="1"/>
                <w:szCs w:val="1"/>
                <w:color w:val="auto"/>
              </w:rPr>
            </w:pPr>
          </w:p>
        </w:tc>
      </w:tr>
      <w:tr>
        <w:trPr>
          <w:trHeight w:val="175"/>
        </w:trPr>
        <w:tc>
          <w:tcPr>
            <w:tcW w:w="5080" w:type="dxa"/>
            <w:vAlign w:val="bottom"/>
          </w:tcPr>
          <w:p>
            <w:pPr>
              <w:ind w:left="620"/>
              <w:spacing w:after="0"/>
              <w:rPr>
                <w:sz w:val="20"/>
                <w:szCs w:val="20"/>
                <w:color w:val="auto"/>
              </w:rPr>
            </w:pPr>
            <w:r>
              <w:rPr>
                <w:rFonts w:ascii="Courier New" w:cs="Courier New" w:eastAsia="Courier New" w:hAnsi="Courier New"/>
                <w:sz w:val="15"/>
                <w:szCs w:val="15"/>
                <w:color w:val="auto"/>
              </w:rPr>
              <w:t>under agreement to repurchase</w:t>
            </w: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360" w:type="dxa"/>
            <w:vAlign w:val="bottom"/>
            <w:vMerge w:val="restart"/>
          </w:tcPr>
          <w:p>
            <w:pPr>
              <w:ind w:left="180"/>
              <w:spacing w:after="0"/>
              <w:rPr>
                <w:sz w:val="20"/>
                <w:szCs w:val="20"/>
                <w:color w:val="auto"/>
              </w:rPr>
            </w:pPr>
            <w:r>
              <w:rPr>
                <w:rFonts w:ascii="Courier New" w:cs="Courier New" w:eastAsia="Courier New" w:hAnsi="Courier New"/>
                <w:sz w:val="4"/>
                <w:szCs w:val="4"/>
                <w:color w:val="auto"/>
                <w:w w:val="92"/>
                <w:vertAlign w:val="subscript"/>
              </w:rPr>
              <w:t>$</w:t>
            </w:r>
            <w:r>
              <w:rPr>
                <w:rFonts w:ascii="Courier New" w:cs="Courier New" w:eastAsia="Courier New" w:hAnsi="Courier New"/>
                <w:sz w:val="2"/>
                <w:szCs w:val="2"/>
                <w:color w:val="auto"/>
                <w:w w:val="92"/>
              </w:rPr>
              <w:t>-------------</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459,060</w:t>
            </w:r>
          </w:p>
        </w:tc>
        <w:tc>
          <w:tcPr>
            <w:tcW w:w="16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3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3.70%</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16,367</w:t>
            </w:r>
          </w:p>
        </w:tc>
        <w:tc>
          <w:tcPr>
            <w:tcW w:w="2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442,693</w:t>
            </w: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2"/>
                <w:szCs w:val="22"/>
                <w:color w:val="auto"/>
              </w:rPr>
            </w:pPr>
          </w:p>
        </w:tc>
        <w:tc>
          <w:tcPr>
            <w:tcW w:w="1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240" w:top="265" w:right="47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180"/>
          </w:cols>
          <w:pgMar w:left="240" w:top="265" w:right="479"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354" w:lineRule="exact"/>
        <w:rPr>
          <w:sz w:val="20"/>
          <w:szCs w:val="20"/>
          <w:color w:val="auto"/>
        </w:rPr>
      </w:pPr>
    </w:p>
    <w:p>
      <w:pPr>
        <w:ind w:right="2959" w:firstLine="909"/>
        <w:spacing w:after="0" w:line="267" w:lineRule="auto"/>
        <w:rPr>
          <w:sz w:val="20"/>
          <w:szCs w:val="20"/>
          <w:color w:val="auto"/>
        </w:rPr>
      </w:pPr>
      <w:r>
        <w:rPr>
          <w:rFonts w:ascii="Courier New" w:cs="Courier New" w:eastAsia="Courier New" w:hAnsi="Courier New"/>
          <w:sz w:val="15"/>
          <w:szCs w:val="15"/>
          <w:color w:val="auto"/>
        </w:rPr>
        <w:t>Total assets for Farmers &amp; Merchants Bancorp, Inc. have increased from $501.4 million in 1996 to $528.3 million in 1997 and to $585.9 million in 1998, a 10.9% and 8.1% increase, respectively. The increase in assets of $57.6 million has occurred primarily in the loan portfolio, federal funds sold, and investments. The net loan portfolio has grown $9 million, federal funds sold has increased $12.6 million, and the investment portfolio has increased by $31.8 million.</w:t>
      </w:r>
    </w:p>
    <w:p>
      <w:pPr>
        <w:spacing w:after="0" w:line="75" w:lineRule="exact"/>
        <w:rPr>
          <w:sz w:val="20"/>
          <w:szCs w:val="20"/>
          <w:color w:val="auto"/>
        </w:rPr>
      </w:pPr>
    </w:p>
    <w:p>
      <w:pPr>
        <w:ind w:right="3139" w:firstLine="818"/>
        <w:spacing w:after="0" w:line="368" w:lineRule="auto"/>
        <w:rPr>
          <w:sz w:val="20"/>
          <w:szCs w:val="20"/>
          <w:color w:val="auto"/>
        </w:rPr>
      </w:pPr>
      <w:r>
        <w:rPr>
          <w:rFonts w:ascii="Courier New" w:cs="Courier New" w:eastAsia="Courier New" w:hAnsi="Courier New"/>
          <w:sz w:val="15"/>
          <w:szCs w:val="15"/>
          <w:color w:val="auto"/>
        </w:rPr>
        <w:t>The increase in the loan portfolio came primarily from an increase in commercial paper of $5.8 million and loans held for sale of $5 million.</w:t>
      </w:r>
    </w:p>
    <w:p>
      <w:pPr>
        <w:spacing w:after="0" w:line="3" w:lineRule="exact"/>
        <w:rPr>
          <w:sz w:val="20"/>
          <w:szCs w:val="20"/>
          <w:color w:val="auto"/>
        </w:rPr>
      </w:pPr>
    </w:p>
    <w:p>
      <w:pPr>
        <w:ind w:right="3219" w:firstLine="818"/>
        <w:spacing w:after="0" w:line="271" w:lineRule="auto"/>
        <w:rPr>
          <w:sz w:val="20"/>
          <w:szCs w:val="20"/>
          <w:color w:val="auto"/>
        </w:rPr>
      </w:pPr>
      <w:r>
        <w:rPr>
          <w:rFonts w:ascii="Courier New" w:cs="Courier New" w:eastAsia="Courier New" w:hAnsi="Courier New"/>
          <w:sz w:val="15"/>
          <w:szCs w:val="15"/>
          <w:color w:val="auto"/>
        </w:rPr>
        <w:t>While the loan portfolio has increased significantly, the net charge-offs have remained fairly level. Net charge-offs were $1.1 million for 1996, $761 thousand for 1997 and $892 thousand for 1998. Even though the loan portfolio has grown to a record $407 million, management believes that as a result of more aggressive collection policies and procedures, the reserve of $5.85 million is still adequate.</w:t>
      </w:r>
    </w:p>
    <w:p>
      <w:pPr>
        <w:spacing w:after="0" w:line="72" w:lineRule="exact"/>
        <w:rPr>
          <w:sz w:val="20"/>
          <w:szCs w:val="20"/>
          <w:color w:val="auto"/>
        </w:rPr>
      </w:pPr>
    </w:p>
    <w:p>
      <w:pPr>
        <w:ind w:right="2959" w:firstLine="818"/>
        <w:spacing w:after="0" w:line="277" w:lineRule="auto"/>
        <w:rPr>
          <w:sz w:val="20"/>
          <w:szCs w:val="20"/>
          <w:color w:val="auto"/>
        </w:rPr>
      </w:pPr>
      <w:r>
        <w:rPr>
          <w:rFonts w:ascii="Courier New" w:cs="Courier New" w:eastAsia="Courier New" w:hAnsi="Courier New"/>
          <w:sz w:val="15"/>
          <w:szCs w:val="15"/>
          <w:color w:val="auto"/>
        </w:rPr>
        <w:t>The major funding source for the increase in the assets discussed above came from an increase in deposits. Regular savings deposits showed an increase of almost $29.5 million from 1997 levels of $87.9 million, while time deposits grew $24.3 million to $298.3 million for 1998. Total deposits for 1998 demonstrated an 11 percent increase over 1997 levels.</w:t>
      </w:r>
    </w:p>
    <w:p>
      <w:pPr>
        <w:spacing w:after="0" w:line="68" w:lineRule="exact"/>
        <w:rPr>
          <w:sz w:val="20"/>
          <w:szCs w:val="20"/>
          <w:color w:val="auto"/>
        </w:rPr>
      </w:pPr>
    </w:p>
    <w:p>
      <w:pPr>
        <w:ind w:right="2959" w:firstLine="818"/>
        <w:spacing w:after="0" w:line="267" w:lineRule="auto"/>
        <w:rPr>
          <w:sz w:val="20"/>
          <w:szCs w:val="20"/>
          <w:color w:val="auto"/>
        </w:rPr>
      </w:pPr>
      <w:r>
        <w:rPr>
          <w:rFonts w:ascii="Courier New" w:cs="Courier New" w:eastAsia="Courier New" w:hAnsi="Courier New"/>
          <w:sz w:val="15"/>
          <w:szCs w:val="15"/>
          <w:color w:val="auto"/>
        </w:rPr>
        <w:t>The Farmers &amp; Merchants State Bank continues to use borrowed funds from the Federal Home Loan Bank of Cincinnati to fund its fixed rate loan portfolio. The loans reduce the Bank's exposure to interest rate risk as the Bank matches a fixed rate liability with the loan made. The Bank also receives a better servicing margin on these loans than were experienced with loans sold on the secondary market. New borrowings for 1998 amounted to $1 million compared to net borrowings for 1997 of $3 million.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RESOURCES</w:t>
      </w:r>
    </w:p>
    <w:p>
      <w:pPr>
        <w:spacing w:after="0" w:line="180" w:lineRule="exact"/>
        <w:rPr>
          <w:sz w:val="20"/>
          <w:szCs w:val="20"/>
          <w:color w:val="auto"/>
        </w:rPr>
      </w:pPr>
    </w:p>
    <w:p>
      <w:pPr>
        <w:ind w:right="2959" w:firstLine="818"/>
        <w:spacing w:after="0" w:line="267" w:lineRule="auto"/>
        <w:rPr>
          <w:sz w:val="20"/>
          <w:szCs w:val="20"/>
          <w:color w:val="auto"/>
        </w:rPr>
      </w:pPr>
      <w:r>
        <w:rPr>
          <w:rFonts w:ascii="Courier New" w:cs="Courier New" w:eastAsia="Courier New" w:hAnsi="Courier New"/>
          <w:sz w:val="15"/>
          <w:szCs w:val="15"/>
          <w:color w:val="auto"/>
        </w:rPr>
        <w:t>Total capital increased $6.5 million or 13.3% for 1998 compared to $5.5 million or 12.6% for 1997. These increases came from profits and changes in market values of the securities portfolio. Profits amounted to $7.6 million for 1998, $6.7 million for 1997 and $5.5 million for 1996, while net after tax effect changes in market values of the investment portfolio contributed $669 thousand for 1998 and $311 million for 1997, but negatively impacted capital for 1996 in the amount of $228 thousand.</w:t>
      </w:r>
    </w:p>
    <w:p>
      <w:pPr>
        <w:spacing w:after="0" w:line="75" w:lineRule="exact"/>
        <w:rPr>
          <w:sz w:val="20"/>
          <w:szCs w:val="20"/>
          <w:color w:val="auto"/>
        </w:rPr>
      </w:pPr>
    </w:p>
    <w:p>
      <w:pPr>
        <w:ind w:right="2959" w:firstLine="818"/>
        <w:spacing w:after="0" w:line="267" w:lineRule="auto"/>
        <w:rPr>
          <w:sz w:val="20"/>
          <w:szCs w:val="20"/>
          <w:color w:val="auto"/>
        </w:rPr>
      </w:pPr>
      <w:r>
        <w:rPr>
          <w:rFonts w:ascii="Courier New" w:cs="Courier New" w:eastAsia="Courier New" w:hAnsi="Courier New"/>
          <w:sz w:val="15"/>
          <w:szCs w:val="15"/>
          <w:color w:val="auto"/>
        </w:rPr>
        <w:t>As a result of the continued increasing profitable operations, the per share dividends have been steadily increasing also. For 1998 dividends of $1.40 per share or $1.82 million were declared compared to 1997 dividends of $1.25 per share or $1.625 million, and $1.15 or $1.495 million for 1996. The per share amounts for 1996 have been restated to reflect a 5 for 1 stock split in 1996. The amount of dividends which can be paid are subject to regulatory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65"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ASSET/LIABILITY MANAGEMENT</w:t>
      </w:r>
    </w:p>
    <w:p>
      <w:pPr>
        <w:spacing w:after="0" w:line="180" w:lineRule="exact"/>
        <w:rPr>
          <w:sz w:val="20"/>
          <w:szCs w:val="20"/>
          <w:color w:val="auto"/>
        </w:rPr>
      </w:pPr>
    </w:p>
    <w:p>
      <w:pPr>
        <w:ind w:right="3540" w:firstLine="818"/>
        <w:spacing w:after="0" w:line="264" w:lineRule="auto"/>
        <w:rPr>
          <w:sz w:val="20"/>
          <w:szCs w:val="20"/>
          <w:color w:val="auto"/>
        </w:rPr>
      </w:pPr>
      <w:r>
        <w:rPr>
          <w:rFonts w:ascii="Courier New" w:cs="Courier New" w:eastAsia="Courier New" w:hAnsi="Courier New"/>
          <w:sz w:val="15"/>
          <w:szCs w:val="15"/>
          <w:color w:val="auto"/>
        </w:rPr>
        <w:t>The primary functions of asset/liability management are to assure adequate liquidity and maintain an appropriate balance between interest earning assets and interest bearing liabilities. It involves the management of the balance sheet mix, maturities, repricing characteristics and pricing components to provide an adequate and stable net interest margin with an acceptable level of risk. Interest rate sensitivity management seeks to avoid fluctuating net interest margins and to enhance consistent growth of net interest income through periods of changing interest rates.</w:t>
      </w:r>
    </w:p>
    <w:p>
      <w:pPr>
        <w:spacing w:after="0" w:line="78" w:lineRule="exact"/>
        <w:rPr>
          <w:sz w:val="20"/>
          <w:szCs w:val="20"/>
          <w:color w:val="auto"/>
        </w:rPr>
      </w:pPr>
    </w:p>
    <w:p>
      <w:pPr>
        <w:ind w:right="3720" w:firstLine="818"/>
        <w:spacing w:after="0" w:line="277" w:lineRule="auto"/>
        <w:rPr>
          <w:sz w:val="20"/>
          <w:szCs w:val="20"/>
          <w:color w:val="auto"/>
        </w:rPr>
      </w:pPr>
      <w:r>
        <w:rPr>
          <w:rFonts w:ascii="Courier New" w:cs="Courier New" w:eastAsia="Courier New" w:hAnsi="Courier New"/>
          <w:sz w:val="15"/>
          <w:szCs w:val="15"/>
          <w:color w:val="auto"/>
        </w:rPr>
        <w:t>Changes in net income, other than volume related, arise when interest rates on assets reprice in a time frame or interest rate environment that is different from that of the repricing period for liabilities. Changes in net interest income also arise from changes in the mix of interest-earning assets and interest-bearing liabilities.</w:t>
      </w:r>
    </w:p>
    <w:p>
      <w:pPr>
        <w:spacing w:after="0" w:line="68" w:lineRule="exact"/>
        <w:rPr>
          <w:sz w:val="20"/>
          <w:szCs w:val="20"/>
          <w:color w:val="auto"/>
        </w:rPr>
      </w:pPr>
    </w:p>
    <w:p>
      <w:pPr>
        <w:ind w:right="3620" w:firstLine="818"/>
        <w:spacing w:after="0" w:line="271" w:lineRule="auto"/>
        <w:rPr>
          <w:sz w:val="20"/>
          <w:szCs w:val="20"/>
          <w:color w:val="auto"/>
        </w:rPr>
      </w:pPr>
      <w:r>
        <w:rPr>
          <w:rFonts w:ascii="Courier New" w:cs="Courier New" w:eastAsia="Courier New" w:hAnsi="Courier New"/>
          <w:sz w:val="15"/>
          <w:szCs w:val="15"/>
          <w:color w:val="auto"/>
        </w:rPr>
        <w:t>Historically, The Farmers &amp; Merchants State Bank has maintained liquidity through cash flows generated in the normal course of business, loan repayments, maturing earning assets, the acquisition of new deposits, and borrowings. The Bank's asset and liability management program is designed to maximize net interest income over the long term while taking into consideration both credit and interest rate risk.</w:t>
      </w:r>
    </w:p>
    <w:p>
      <w:pPr>
        <w:spacing w:after="0" w:line="72" w:lineRule="exact"/>
        <w:rPr>
          <w:sz w:val="20"/>
          <w:szCs w:val="20"/>
          <w:color w:val="auto"/>
        </w:rPr>
      </w:pPr>
    </w:p>
    <w:p>
      <w:pPr>
        <w:ind w:right="3720" w:firstLine="818"/>
        <w:spacing w:after="0" w:line="262" w:lineRule="auto"/>
        <w:rPr>
          <w:sz w:val="20"/>
          <w:szCs w:val="20"/>
          <w:color w:val="auto"/>
        </w:rPr>
      </w:pPr>
      <w:r>
        <w:rPr>
          <w:rFonts w:ascii="Courier New" w:cs="Courier New" w:eastAsia="Courier New" w:hAnsi="Courier New"/>
          <w:sz w:val="15"/>
          <w:szCs w:val="15"/>
          <w:color w:val="auto"/>
        </w:rPr>
        <w:t>Interest rate sensitivity varies with different types of interest-earning assets and interest bearing liabilities. Overnight federal funds on which rates change daily and loans which are tied to the market rate differ considerably from long-term investment securities and fixed rate loans. Similarly, time deposits over $100,000 and money market certificates are much more interest rate sensitive than passbook savings accounts. The shorter term interest rate sensitivities are the key to measurement of the interest sensitivity gap, or excess interest sensitive earnings assets over interest-bearing liabilities.</w:t>
      </w:r>
    </w:p>
    <w:p>
      <w:pPr>
        <w:spacing w:after="0" w:line="78" w:lineRule="exact"/>
        <w:rPr>
          <w:sz w:val="20"/>
          <w:szCs w:val="20"/>
          <w:color w:val="auto"/>
        </w:rPr>
      </w:pPr>
    </w:p>
    <w:p>
      <w:pPr>
        <w:jc w:val="both"/>
        <w:ind w:right="4180" w:firstLine="818"/>
        <w:spacing w:after="0" w:line="307" w:lineRule="auto"/>
        <w:rPr>
          <w:sz w:val="20"/>
          <w:szCs w:val="20"/>
          <w:color w:val="auto"/>
        </w:rPr>
      </w:pPr>
      <w:r>
        <w:rPr>
          <w:rFonts w:ascii="Courier New" w:cs="Courier New" w:eastAsia="Courier New" w:hAnsi="Courier New"/>
          <w:sz w:val="15"/>
          <w:szCs w:val="15"/>
          <w:color w:val="auto"/>
        </w:rPr>
        <w:t>The following table summarizes the repricing opportunities as of December 31, 1998 for each major category of interest-earning assets (at amortized cost) and interest-bearing liabilities: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0 - 90</w:t>
            </w:r>
          </w:p>
        </w:tc>
        <w:tc>
          <w:tcPr>
            <w:tcW w:w="500" w:type="dxa"/>
            <w:vAlign w:val="bottom"/>
          </w:tcPr>
          <w:p>
            <w:pPr>
              <w:spacing w:after="0"/>
              <w:rPr>
                <w:sz w:val="15"/>
                <w:szCs w:val="15"/>
                <w:color w:val="auto"/>
              </w:rPr>
            </w:pPr>
          </w:p>
        </w:tc>
        <w:tc>
          <w:tcPr>
            <w:tcW w:w="94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90 - 365</w:t>
            </w:r>
          </w:p>
        </w:tc>
        <w:tc>
          <w:tcPr>
            <w:tcW w:w="2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(Dollars in Thousands)</w:t>
            </w:r>
          </w:p>
        </w:tc>
        <w:tc>
          <w:tcPr>
            <w:tcW w:w="180" w:type="dxa"/>
            <w:vAlign w:val="bottom"/>
          </w:tcPr>
          <w:p>
            <w:pPr>
              <w:spacing w:after="0"/>
              <w:rPr>
                <w:sz w:val="15"/>
                <w:szCs w:val="15"/>
                <w:color w:val="auto"/>
              </w:rPr>
            </w:pPr>
          </w:p>
        </w:tc>
        <w:tc>
          <w:tcPr>
            <w:tcW w:w="106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w w:val="99"/>
              </w:rPr>
              <w:t>Over 5</w:t>
            </w: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1 - 5</w:t>
            </w: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Days</w:t>
            </w:r>
          </w:p>
        </w:tc>
        <w:tc>
          <w:tcPr>
            <w:tcW w:w="50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Days</w:t>
            </w:r>
          </w:p>
        </w:tc>
        <w:tc>
          <w:tcPr>
            <w:tcW w:w="680" w:type="dxa"/>
            <w:vAlign w:val="bottom"/>
          </w:tcPr>
          <w:p>
            <w:pPr>
              <w:spacing w:after="0"/>
              <w:rPr>
                <w:sz w:val="15"/>
                <w:szCs w:val="15"/>
                <w:color w:val="auto"/>
              </w:rPr>
            </w:pPr>
          </w:p>
        </w:tc>
        <w:tc>
          <w:tcPr>
            <w:tcW w:w="14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Years</w:t>
            </w:r>
          </w:p>
        </w:tc>
        <w:tc>
          <w:tcPr>
            <w:tcW w:w="18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Years</w:t>
            </w:r>
          </w:p>
        </w:tc>
        <w:tc>
          <w:tcPr>
            <w:tcW w:w="4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940" w:type="dxa"/>
            <w:vAlign w:val="bottom"/>
          </w:tcPr>
          <w:p>
            <w:pPr>
              <w:spacing w:after="0"/>
              <w:rPr>
                <w:sz w:val="22"/>
                <w:szCs w:val="22"/>
                <w:color w:val="auto"/>
              </w:rPr>
            </w:pPr>
          </w:p>
        </w:tc>
        <w:tc>
          <w:tcPr>
            <w:tcW w:w="17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Interest bearing deposits</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100</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Federal funds sold</w:t>
            </w:r>
          </w:p>
        </w:tc>
        <w:tc>
          <w:tcPr>
            <w:tcW w:w="68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19,045</w:t>
            </w:r>
          </w:p>
        </w:tc>
        <w:tc>
          <w:tcPr>
            <w:tcW w:w="50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w:t>
            </w:r>
          </w:p>
        </w:tc>
        <w:tc>
          <w:tcPr>
            <w:tcW w:w="68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19,045</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68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11,928</w:t>
            </w:r>
          </w:p>
        </w:tc>
        <w:tc>
          <w:tcPr>
            <w:tcW w:w="50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26,116</w:t>
            </w:r>
          </w:p>
        </w:tc>
        <w:tc>
          <w:tcPr>
            <w:tcW w:w="68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42,443</w:t>
            </w:r>
          </w:p>
        </w:tc>
        <w:tc>
          <w:tcPr>
            <w:tcW w:w="18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43,424</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123,911</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68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154,375</w:t>
            </w:r>
          </w:p>
        </w:tc>
        <w:tc>
          <w:tcPr>
            <w:tcW w:w="50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103,051</w:t>
            </w:r>
          </w:p>
        </w:tc>
        <w:tc>
          <w:tcPr>
            <w:tcW w:w="68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99,965</w:t>
            </w:r>
          </w:p>
        </w:tc>
        <w:tc>
          <w:tcPr>
            <w:tcW w:w="18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56,052</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413,443</w:t>
            </w:r>
          </w:p>
        </w:tc>
        <w:tc>
          <w:tcPr>
            <w:tcW w:w="0" w:type="dxa"/>
            <w:vAlign w:val="bottom"/>
          </w:tcPr>
          <w:p>
            <w:pPr>
              <w:spacing w:after="0"/>
              <w:rPr>
                <w:sz w:val="1"/>
                <w:szCs w:val="1"/>
                <w:color w:val="auto"/>
              </w:rPr>
            </w:pPr>
          </w:p>
        </w:tc>
      </w:tr>
      <w:tr>
        <w:trPr>
          <w:trHeight w:val="175"/>
        </w:trPr>
        <w:tc>
          <w:tcPr>
            <w:tcW w:w="2940" w:type="dxa"/>
            <w:vAlign w:val="bottom"/>
            <w:vMerge w:val="restart"/>
          </w:tcPr>
          <w:p>
            <w:pPr>
              <w:spacing w:after="0"/>
              <w:rPr>
                <w:sz w:val="20"/>
                <w:szCs w:val="20"/>
                <w:color w:val="auto"/>
              </w:rPr>
            </w:pPr>
            <w:r>
              <w:rPr>
                <w:rFonts w:ascii="Courier New" w:cs="Courier New" w:eastAsia="Courier New" w:hAnsi="Courier New"/>
                <w:sz w:val="15"/>
                <w:szCs w:val="15"/>
                <w:color w:val="auto"/>
              </w:rPr>
              <w:t>Total Rate Sensitive Assets</w:t>
            </w:r>
          </w:p>
        </w:tc>
        <w:tc>
          <w:tcPr>
            <w:tcW w:w="17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9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185,348</w:t>
            </w:r>
          </w:p>
        </w:tc>
        <w:tc>
          <w:tcPr>
            <w:tcW w:w="50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129,267</w:t>
            </w:r>
          </w:p>
        </w:tc>
        <w:tc>
          <w:tcPr>
            <w:tcW w:w="68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142,408</w:t>
            </w:r>
          </w:p>
        </w:tc>
        <w:tc>
          <w:tcPr>
            <w:tcW w:w="18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99,476</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556,499</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68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164,569</w:t>
            </w:r>
          </w:p>
        </w:tc>
        <w:tc>
          <w:tcPr>
            <w:tcW w:w="50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179,040</w:t>
            </w:r>
          </w:p>
        </w:tc>
        <w:tc>
          <w:tcPr>
            <w:tcW w:w="68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115,943</w:t>
            </w:r>
          </w:p>
        </w:tc>
        <w:tc>
          <w:tcPr>
            <w:tcW w:w="18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459,552</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Repurchase agreement</w:t>
            </w:r>
          </w:p>
        </w:tc>
        <w:tc>
          <w:tcPr>
            <w:tcW w:w="68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2,916</w:t>
            </w:r>
          </w:p>
        </w:tc>
        <w:tc>
          <w:tcPr>
            <w:tcW w:w="50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w:t>
            </w:r>
          </w:p>
        </w:tc>
        <w:tc>
          <w:tcPr>
            <w:tcW w:w="68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2,916</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68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w:t>
            </w:r>
          </w:p>
        </w:tc>
        <w:tc>
          <w:tcPr>
            <w:tcW w:w="68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11,240</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11,240</w:t>
            </w:r>
          </w:p>
        </w:tc>
        <w:tc>
          <w:tcPr>
            <w:tcW w:w="0" w:type="dxa"/>
            <w:vAlign w:val="bottom"/>
          </w:tcPr>
          <w:p>
            <w:pPr>
              <w:spacing w:after="0"/>
              <w:rPr>
                <w:sz w:val="1"/>
                <w:szCs w:val="1"/>
                <w:color w:val="auto"/>
              </w:rPr>
            </w:pPr>
          </w:p>
        </w:tc>
      </w:tr>
      <w:tr>
        <w:trPr>
          <w:trHeight w:val="256"/>
        </w:trPr>
        <w:tc>
          <w:tcPr>
            <w:tcW w:w="2940" w:type="dxa"/>
            <w:vAlign w:val="bottom"/>
          </w:tcPr>
          <w:p>
            <w:pPr>
              <w:spacing w:after="0"/>
              <w:rPr>
                <w:sz w:val="22"/>
                <w:szCs w:val="22"/>
                <w:color w:val="auto"/>
              </w:rPr>
            </w:pPr>
          </w:p>
        </w:tc>
        <w:tc>
          <w:tcPr>
            <w:tcW w:w="17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940" w:type="dxa"/>
            <w:vAlign w:val="bottom"/>
          </w:tcPr>
          <w:p>
            <w:pPr>
              <w:spacing w:after="0"/>
              <w:rPr>
                <w:sz w:val="20"/>
                <w:szCs w:val="20"/>
                <w:color w:val="auto"/>
              </w:rPr>
            </w:pPr>
            <w:r>
              <w:rPr>
                <w:rFonts w:ascii="Courier New" w:cs="Courier New" w:eastAsia="Courier New" w:hAnsi="Courier New"/>
                <w:sz w:val="15"/>
                <w:szCs w:val="15"/>
                <w:color w:val="auto"/>
              </w:rPr>
              <w:t>Rate Sensitive Liabilities</w:t>
            </w:r>
          </w:p>
        </w:tc>
        <w:tc>
          <w:tcPr>
            <w:tcW w:w="680" w:type="dxa"/>
            <w:vAlign w:val="bottom"/>
          </w:tcPr>
          <w:p>
            <w:pPr>
              <w:spacing w:after="0"/>
              <w:rPr>
                <w:sz w:val="23"/>
                <w:szCs w:val="23"/>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167,485</w:t>
            </w:r>
          </w:p>
        </w:tc>
        <w:tc>
          <w:tcPr>
            <w:tcW w:w="500" w:type="dxa"/>
            <w:vAlign w:val="bottom"/>
          </w:tcPr>
          <w:p>
            <w:pPr>
              <w:spacing w:after="0"/>
              <w:rPr>
                <w:sz w:val="23"/>
                <w:szCs w:val="23"/>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179,040</w:t>
            </w:r>
          </w:p>
        </w:tc>
        <w:tc>
          <w:tcPr>
            <w:tcW w:w="680" w:type="dxa"/>
            <w:vAlign w:val="bottom"/>
          </w:tcPr>
          <w:p>
            <w:pPr>
              <w:spacing w:after="0"/>
              <w:rPr>
                <w:sz w:val="23"/>
                <w:szCs w:val="23"/>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115,943</w:t>
            </w:r>
          </w:p>
        </w:tc>
        <w:tc>
          <w:tcPr>
            <w:tcW w:w="180" w:type="dxa"/>
            <w:vAlign w:val="bottom"/>
          </w:tcPr>
          <w:p>
            <w:pPr>
              <w:spacing w:after="0"/>
              <w:rPr>
                <w:sz w:val="23"/>
                <w:szCs w:val="23"/>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11,240</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473,708</w:t>
            </w:r>
          </w:p>
        </w:tc>
        <w:tc>
          <w:tcPr>
            <w:tcW w:w="0" w:type="dxa"/>
            <w:vAlign w:val="bottom"/>
          </w:tcPr>
          <w:p>
            <w:pPr>
              <w:spacing w:after="0"/>
              <w:rPr>
                <w:sz w:val="1"/>
                <w:szCs w:val="1"/>
                <w:color w:val="auto"/>
              </w:rPr>
            </w:pPr>
          </w:p>
        </w:tc>
      </w:tr>
      <w:tr>
        <w:trPr>
          <w:trHeight w:val="256"/>
        </w:trPr>
        <w:tc>
          <w:tcPr>
            <w:tcW w:w="2940" w:type="dxa"/>
            <w:vAlign w:val="bottom"/>
          </w:tcPr>
          <w:p>
            <w:pPr>
              <w:spacing w:after="0"/>
              <w:rPr>
                <w:sz w:val="22"/>
                <w:szCs w:val="22"/>
                <w:color w:val="auto"/>
              </w:rPr>
            </w:pPr>
          </w:p>
        </w:tc>
        <w:tc>
          <w:tcPr>
            <w:tcW w:w="17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940" w:type="dxa"/>
            <w:vAlign w:val="bottom"/>
          </w:tcPr>
          <w:p>
            <w:pPr>
              <w:spacing w:after="0"/>
              <w:rPr>
                <w:sz w:val="20"/>
                <w:szCs w:val="20"/>
                <w:color w:val="auto"/>
              </w:rPr>
            </w:pPr>
            <w:r>
              <w:rPr>
                <w:rFonts w:ascii="Courier New" w:cs="Courier New" w:eastAsia="Courier New" w:hAnsi="Courier New"/>
                <w:sz w:val="15"/>
                <w:szCs w:val="15"/>
                <w:color w:val="auto"/>
              </w:rPr>
              <w:t>Gap</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17,863</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(49,773)</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26,465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88,236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82,791</w:t>
            </w:r>
          </w:p>
        </w:tc>
        <w:tc>
          <w:tcPr>
            <w:tcW w:w="0" w:type="dxa"/>
            <w:vAlign w:val="bottom"/>
          </w:tcPr>
          <w:p>
            <w:pPr>
              <w:spacing w:after="0"/>
              <w:rPr>
                <w:sz w:val="1"/>
                <w:szCs w:val="1"/>
                <w:color w:val="auto"/>
              </w:rPr>
            </w:pPr>
          </w:p>
        </w:tc>
      </w:tr>
      <w:tr>
        <w:trPr>
          <w:trHeight w:val="256"/>
        </w:trPr>
        <w:tc>
          <w:tcPr>
            <w:tcW w:w="2940" w:type="dxa"/>
            <w:vAlign w:val="bottom"/>
          </w:tcPr>
          <w:p>
            <w:pPr>
              <w:spacing w:after="0"/>
              <w:rPr>
                <w:sz w:val="22"/>
                <w:szCs w:val="22"/>
                <w:color w:val="auto"/>
              </w:rPr>
            </w:pPr>
          </w:p>
        </w:tc>
        <w:tc>
          <w:tcPr>
            <w:tcW w:w="17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720" w:firstLine="818"/>
        <w:spacing w:after="0" w:line="307" w:lineRule="auto"/>
        <w:rPr>
          <w:sz w:val="20"/>
          <w:szCs w:val="20"/>
          <w:color w:val="auto"/>
        </w:rPr>
      </w:pPr>
      <w:r>
        <w:rPr>
          <w:rFonts w:ascii="Courier New" w:cs="Courier New" w:eastAsia="Courier New" w:hAnsi="Courier New"/>
          <w:sz w:val="15"/>
          <w:szCs w:val="15"/>
          <w:color w:val="auto"/>
        </w:rPr>
        <w:t>Management with the assistance of outside advisors is continually looking for opportunities that can minimize market price risk or interest rate risk, and thus improve the quality of the portfolio.</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w:t>
      </w:r>
    </w:p>
    <w:p>
      <w:pPr>
        <w:spacing w:after="0" w:line="180" w:lineRule="exact"/>
        <w:rPr>
          <w:sz w:val="20"/>
          <w:szCs w:val="20"/>
          <w:color w:val="auto"/>
        </w:rPr>
      </w:pPr>
    </w:p>
    <w:p>
      <w:pPr>
        <w:ind w:right="3620" w:firstLine="818"/>
        <w:spacing w:after="0" w:line="307" w:lineRule="auto"/>
        <w:rPr>
          <w:sz w:val="20"/>
          <w:szCs w:val="20"/>
          <w:color w:val="auto"/>
        </w:rPr>
      </w:pPr>
      <w:r>
        <w:rPr>
          <w:rFonts w:ascii="Courier New" w:cs="Courier New" w:eastAsia="Courier New" w:hAnsi="Courier New"/>
          <w:sz w:val="15"/>
          <w:szCs w:val="15"/>
          <w:color w:val="auto"/>
        </w:rPr>
        <w:t>Historically, the primary source of liquidity for the Company has been core deposits. This is true for 1997 as well. Deposits increased $50.1 million for 1998 compared to $2.9 million for 1997 and $34.3 million for 1996.</w:t>
      </w:r>
    </w:p>
    <w:p>
      <w:pPr>
        <w:sectPr>
          <w:pgSz w:w="11900" w:h="16838" w:orient="portrait"/>
          <w:cols w:equalWidth="0" w:num="1">
            <w:col w:w="10800"/>
          </w:cols>
          <w:pgMar w:left="240" w:top="265"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800"/>
          </w:cols>
          <w:pgMar w:left="240" w:top="265" w:right="859"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354" w:lineRule="exact"/>
        <w:rPr>
          <w:sz w:val="20"/>
          <w:szCs w:val="20"/>
          <w:color w:val="auto"/>
        </w:rPr>
      </w:pPr>
    </w:p>
    <w:p>
      <w:pPr>
        <w:ind w:right="3139" w:firstLine="818"/>
        <w:spacing w:after="0" w:line="368" w:lineRule="auto"/>
        <w:rPr>
          <w:sz w:val="20"/>
          <w:szCs w:val="20"/>
          <w:color w:val="auto"/>
        </w:rPr>
      </w:pPr>
      <w:r>
        <w:rPr>
          <w:rFonts w:ascii="Courier New" w:cs="Courier New" w:eastAsia="Courier New" w:hAnsi="Courier New"/>
          <w:sz w:val="15"/>
          <w:szCs w:val="15"/>
          <w:color w:val="auto"/>
        </w:rPr>
        <w:t>The loan to deposit ratio decreased for 1998 to 79.6 percent compared to 86.3 percent for 1997 and 84.1 percent for 1996.</w:t>
      </w:r>
    </w:p>
    <w:p>
      <w:pPr>
        <w:spacing w:after="0" w:line="3" w:lineRule="exact"/>
        <w:rPr>
          <w:sz w:val="20"/>
          <w:szCs w:val="20"/>
          <w:color w:val="auto"/>
        </w:rPr>
      </w:pPr>
    </w:p>
    <w:p>
      <w:pPr>
        <w:ind w:right="3039" w:firstLine="818"/>
        <w:spacing w:after="0" w:line="271" w:lineRule="auto"/>
        <w:rPr>
          <w:sz w:val="20"/>
          <w:szCs w:val="20"/>
          <w:color w:val="auto"/>
        </w:rPr>
      </w:pPr>
      <w:r>
        <w:rPr>
          <w:rFonts w:ascii="Courier New" w:cs="Courier New" w:eastAsia="Courier New" w:hAnsi="Courier New"/>
          <w:sz w:val="15"/>
          <w:szCs w:val="15"/>
          <w:color w:val="auto"/>
        </w:rPr>
        <w:t>Short-term marketable debt securities has also provided the Company with liquidity. Securities maturing in one year or less amounted to a market value of $22.1 million as of December 31, 1998 compared to $18.8 million as of December 31, 1997 and $20 million as of December 31, 1996. This is 18.2 percent of total marketable debt securities for 1998 compared to 17.6 percent for 1997, and 20.4 percent for 1996.</w:t>
      </w:r>
    </w:p>
    <w:p>
      <w:pPr>
        <w:spacing w:after="0" w:line="72" w:lineRule="exact"/>
        <w:rPr>
          <w:sz w:val="20"/>
          <w:szCs w:val="20"/>
          <w:color w:val="auto"/>
        </w:rPr>
      </w:pPr>
    </w:p>
    <w:p>
      <w:pPr>
        <w:ind w:right="2959" w:firstLine="818"/>
        <w:spacing w:after="0" w:line="307" w:lineRule="auto"/>
        <w:rPr>
          <w:sz w:val="20"/>
          <w:szCs w:val="20"/>
          <w:color w:val="auto"/>
        </w:rPr>
      </w:pPr>
      <w:r>
        <w:rPr>
          <w:rFonts w:ascii="Courier New" w:cs="Courier New" w:eastAsia="Courier New" w:hAnsi="Courier New"/>
          <w:sz w:val="15"/>
          <w:szCs w:val="15"/>
          <w:color w:val="auto"/>
        </w:rPr>
        <w:t>Still another source of liquidity are Federal Funds Sold. Federal Funds Sold which are for very short durations of time increased $12.6 million to $19 million.</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Net operating income for 1998 was $7.6 million, a 12.9 percent increase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 1997's net income of $6.8 million. Net income for 1996 was $5.5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interest margin before provision for loan losses increased 9.4 percent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$20.1 million from $19 million for 1997. Net interest margin for 1997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 percent to $19 million over the $17.5 million for 1996.</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w:t>
      </w:r>
    </w:p>
    <w:p>
      <w:pPr>
        <w:spacing w:after="0" w:line="180" w:lineRule="exact"/>
        <w:rPr>
          <w:sz w:val="20"/>
          <w:szCs w:val="20"/>
          <w:color w:val="auto"/>
        </w:rPr>
      </w:pPr>
    </w:p>
    <w:p>
      <w:pPr>
        <w:ind w:right="2959" w:firstLine="818"/>
        <w:spacing w:after="0" w:line="287" w:lineRule="auto"/>
        <w:rPr>
          <w:sz w:val="20"/>
          <w:szCs w:val="20"/>
          <w:color w:val="auto"/>
        </w:rPr>
      </w:pPr>
      <w:r>
        <w:rPr>
          <w:rFonts w:ascii="Courier New" w:cs="Courier New" w:eastAsia="Courier New" w:hAnsi="Courier New"/>
          <w:sz w:val="15"/>
          <w:szCs w:val="15"/>
          <w:color w:val="auto"/>
        </w:rPr>
        <w:t>Interest income and fees on loans and leases increased 6 percent for 1998 to $36.3 million over 1997 levels of $34.2 million. This compares to interest and fee income of $32.4 million for 1996. All of the increase in interest income for 1998 can be attributed to an increase in lending activities.</w:t>
      </w:r>
    </w:p>
    <w:p>
      <w:pPr>
        <w:spacing w:after="0" w:line="61" w:lineRule="exact"/>
        <w:rPr>
          <w:sz w:val="20"/>
          <w:szCs w:val="20"/>
          <w:color w:val="auto"/>
        </w:rPr>
      </w:pPr>
    </w:p>
    <w:p>
      <w:pPr>
        <w:ind w:right="3139" w:firstLine="818"/>
        <w:spacing w:after="0" w:line="368" w:lineRule="auto"/>
        <w:rPr>
          <w:sz w:val="20"/>
          <w:szCs w:val="20"/>
          <w:color w:val="auto"/>
        </w:rPr>
      </w:pPr>
      <w:r>
        <w:rPr>
          <w:rFonts w:ascii="Courier New" w:cs="Courier New" w:eastAsia="Courier New" w:hAnsi="Courier New"/>
          <w:sz w:val="15"/>
          <w:szCs w:val="15"/>
          <w:color w:val="auto"/>
        </w:rPr>
        <w:t>Interest income on the investment portfolio for 1998 was $5.7 million compared to 1997 and 1996 which was $5.5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80" w:lineRule="exact"/>
        <w:rPr>
          <w:sz w:val="20"/>
          <w:szCs w:val="20"/>
          <w:color w:val="auto"/>
        </w:rPr>
      </w:pPr>
    </w:p>
    <w:p>
      <w:pPr>
        <w:ind w:right="3039" w:firstLine="818"/>
        <w:spacing w:after="0" w:line="307" w:lineRule="auto"/>
        <w:rPr>
          <w:sz w:val="20"/>
          <w:szCs w:val="20"/>
          <w:color w:val="auto"/>
        </w:rPr>
      </w:pPr>
      <w:r>
        <w:rPr>
          <w:rFonts w:ascii="Courier New" w:cs="Courier New" w:eastAsia="Courier New" w:hAnsi="Courier New"/>
          <w:sz w:val="15"/>
          <w:szCs w:val="15"/>
          <w:color w:val="auto"/>
        </w:rPr>
        <w:t>Interest expense on deposits increased to $21.1 million for 1998 compared to $20.3 million for 1997 and $19.9 million for 1996. This increase is due to an increase in deposits.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65"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LOAN LOSSES</w:t>
      </w:r>
    </w:p>
    <w:p>
      <w:pPr>
        <w:spacing w:after="0" w:line="180" w:lineRule="exact"/>
        <w:rPr>
          <w:sz w:val="20"/>
          <w:szCs w:val="20"/>
          <w:color w:val="auto"/>
        </w:rPr>
      </w:pPr>
    </w:p>
    <w:p>
      <w:pPr>
        <w:ind w:right="2959" w:firstLine="818"/>
        <w:spacing w:after="0" w:line="259" w:lineRule="auto"/>
        <w:rPr>
          <w:sz w:val="20"/>
          <w:szCs w:val="20"/>
          <w:color w:val="auto"/>
        </w:rPr>
      </w:pPr>
      <w:r>
        <w:rPr>
          <w:rFonts w:ascii="Courier New" w:cs="Courier New" w:eastAsia="Courier New" w:hAnsi="Courier New"/>
          <w:sz w:val="15"/>
          <w:szCs w:val="15"/>
          <w:color w:val="auto"/>
        </w:rPr>
        <w:t>In extending credit to families, businesses and governments, banks accept a measure of risk against which an allowance or reserve for loan losses is established by way of expense charges to income. The Bank evaluates the adequacy of the allowance for loan losses based on an analysis of specific problem loans, as well as, on an aggregate basis. Factors considered by management in determining the proper reserve include review of general economic conditions, changes in the portfolio mix, past loan-loss experience, the financial condition of the borrowers and reports of examinations furnished by State and Federal banking authorities. Management reviews the calculation of the allowance for loan losses on a quarterly basis, and feels that the allowance is adequate.</w:t>
      </w:r>
    </w:p>
    <w:p>
      <w:pPr>
        <w:spacing w:after="0" w:line="80" w:lineRule="exact"/>
        <w:rPr>
          <w:sz w:val="20"/>
          <w:szCs w:val="20"/>
          <w:color w:val="auto"/>
        </w:rPr>
      </w:pPr>
    </w:p>
    <w:p>
      <w:pPr>
        <w:ind w:right="2959" w:firstLine="818"/>
        <w:spacing w:after="0" w:line="267" w:lineRule="auto"/>
        <w:rPr>
          <w:sz w:val="20"/>
          <w:szCs w:val="20"/>
          <w:color w:val="auto"/>
        </w:rPr>
      </w:pPr>
      <w:r>
        <w:rPr>
          <w:rFonts w:ascii="Courier New" w:cs="Courier New" w:eastAsia="Courier New" w:hAnsi="Courier New"/>
          <w:sz w:val="15"/>
          <w:szCs w:val="15"/>
          <w:color w:val="auto"/>
        </w:rPr>
        <w:t>The Bank has established the allowance for loan losses to reduce the gross level of loans outstanding by an estimate of uncollectible loans. As loans are deemed uncollectible, they are charged against the allowance. A provision for loan losses is expensed against current income on a monthly basis. This provision serves to replenish the allowance for loan losses to accommodate charge-offs and growth in the loan portfolio, thereby maintaining the allowance at an adequate level.</w:t>
      </w:r>
    </w:p>
    <w:p>
      <w:pPr>
        <w:spacing w:after="0" w:line="75" w:lineRule="exact"/>
        <w:rPr>
          <w:sz w:val="20"/>
          <w:szCs w:val="20"/>
          <w:color w:val="auto"/>
        </w:rPr>
      </w:pPr>
    </w:p>
    <w:p>
      <w:pPr>
        <w:ind w:right="3039" w:firstLine="818"/>
        <w:spacing w:after="0" w:line="368" w:lineRule="auto"/>
        <w:rPr>
          <w:sz w:val="20"/>
          <w:szCs w:val="20"/>
          <w:color w:val="auto"/>
        </w:rPr>
      </w:pPr>
      <w:r>
        <w:rPr>
          <w:rFonts w:ascii="Courier New" w:cs="Courier New" w:eastAsia="Courier New" w:hAnsi="Courier New"/>
          <w:sz w:val="15"/>
          <w:szCs w:val="15"/>
          <w:color w:val="auto"/>
        </w:rPr>
        <w:t>The provision for loan losses charged against income for 1998 was $892 thousand compared to $1.1 million for 1997 and 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Other operating income increased by $1.1 million for 1998 to $4</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This compares to an increase of $558 thousand for 1997 over 1996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 million, up from $2.4 million for 1996. Increases in miscellaneous customer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fees, MasterCard fees, and loan servicing fees accounts for the bulk of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OPERATING EXPENSES</w:t>
      </w:r>
    </w:p>
    <w:p>
      <w:pPr>
        <w:spacing w:after="0" w:line="180" w:lineRule="exact"/>
        <w:rPr>
          <w:sz w:val="20"/>
          <w:szCs w:val="20"/>
          <w:color w:val="auto"/>
        </w:rPr>
      </w:pPr>
    </w:p>
    <w:p>
      <w:pPr>
        <w:ind w:right="3039" w:firstLine="818"/>
        <w:spacing w:after="0" w:line="277" w:lineRule="auto"/>
        <w:rPr>
          <w:sz w:val="20"/>
          <w:szCs w:val="20"/>
          <w:color w:val="auto"/>
        </w:rPr>
      </w:pPr>
      <w:r>
        <w:rPr>
          <w:rFonts w:ascii="Courier New" w:cs="Courier New" w:eastAsia="Courier New" w:hAnsi="Courier New"/>
          <w:sz w:val="15"/>
          <w:szCs w:val="15"/>
          <w:color w:val="auto"/>
        </w:rPr>
        <w:t>Operating expenses increased $1.8 million to $12.9 million over 1997 operating expenses of $11 million. Most of this increase was due to payroll costs in terms of increases in both number of employees and salary increases. Operating expenses for 1997 had increased slightly over 1996 operating expenses of $10.9 million.</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ACCOUNTING ISSUES</w:t>
      </w:r>
    </w:p>
    <w:p>
      <w:pPr>
        <w:spacing w:after="0" w:line="180" w:lineRule="exact"/>
        <w:rPr>
          <w:sz w:val="20"/>
          <w:szCs w:val="20"/>
          <w:color w:val="auto"/>
        </w:rPr>
      </w:pPr>
    </w:p>
    <w:p>
      <w:pPr>
        <w:ind w:right="2959" w:firstLine="818"/>
        <w:spacing w:after="0" w:line="267" w:lineRule="auto"/>
        <w:rPr>
          <w:sz w:val="20"/>
          <w:szCs w:val="20"/>
          <w:color w:val="auto"/>
        </w:rPr>
      </w:pPr>
      <w:r>
        <w:rPr>
          <w:rFonts w:ascii="Courier New" w:cs="Courier New" w:eastAsia="Courier New" w:hAnsi="Courier New"/>
          <w:sz w:val="15"/>
          <w:szCs w:val="15"/>
          <w:color w:val="auto"/>
        </w:rPr>
        <w:t>Management is currently reviewing the Year 2000 situation in order to address potential problems that may occur in time to take corrective action. The service center which the Bank uses to process its transactions have assured the Bank that the software used has already been or will be updated to accept Year 2000 dates and transactions. The Bank's internal management information systems personnel are also working diligently to address Year 2000 problems that may exist with the Bank's hardware.</w:t>
      </w:r>
    </w:p>
    <w:p>
      <w:pPr>
        <w:spacing w:after="0" w:line="75" w:lineRule="exact"/>
        <w:rPr>
          <w:sz w:val="20"/>
          <w:szCs w:val="20"/>
          <w:color w:val="auto"/>
        </w:rPr>
      </w:pPr>
    </w:p>
    <w:p>
      <w:pPr>
        <w:ind w:right="3319" w:firstLine="818"/>
        <w:spacing w:after="0" w:line="368" w:lineRule="auto"/>
        <w:rPr>
          <w:sz w:val="20"/>
          <w:szCs w:val="20"/>
          <w:color w:val="auto"/>
        </w:rPr>
      </w:pPr>
      <w:r>
        <w:rPr>
          <w:rFonts w:ascii="Courier New" w:cs="Courier New" w:eastAsia="Courier New" w:hAnsi="Courier New"/>
          <w:sz w:val="15"/>
          <w:szCs w:val="15"/>
          <w:color w:val="auto"/>
        </w:rPr>
        <w:t>At this time, management believes that the transition into the next century can be conducted smoothly and with minimum additional costs.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65"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354" w:lineRule="exact"/>
        <w:rPr>
          <w:sz w:val="20"/>
          <w:szCs w:val="20"/>
          <w:color w:val="auto"/>
        </w:rPr>
      </w:pPr>
    </w:p>
    <w:p>
      <w:pPr>
        <w:jc w:val="center"/>
        <w:ind w:right="5499"/>
        <w:spacing w:after="0"/>
        <w:tabs>
          <w:tab w:leader="none" w:pos="180" w:val="left"/>
        </w:tabs>
        <w:rPr>
          <w:sz w:val="20"/>
          <w:szCs w:val="20"/>
          <w:color w:val="auto"/>
        </w:rPr>
      </w:pPr>
      <w:r>
        <w:rPr>
          <w:rFonts w:ascii="Courier New" w:cs="Courier New" w:eastAsia="Courier New" w:hAnsi="Courier New"/>
          <w:sz w:val="15"/>
          <w:szCs w:val="15"/>
          <w:color w:val="auto"/>
        </w:rPr>
        <w:t>ITEM 8.</w:t>
        <w:tab/>
        <w:t>FINANCIAL STATEMENTS AND SUPPLEMENTARY DATA</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6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MESSAGE FROM MANAGEMENT:</w:t>
      </w:r>
    </w:p>
    <w:p>
      <w:pPr>
        <w:spacing w:after="0" w:line="180"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It is with great pride that we can report 1998 was another year of increased earnings. It was one of the best years in our history in terms of finanical performance. Capital accounts have increased to $55,350,000 with net income of $7,657,000 or $5.89 per share as compared to $5.22 in 1997. This resulted in an impressive 14.46 percent Return on Average Equity and 1.38 percent Return on Average Assets and a new high in assets of $585,869,000. Farmers &amp; Merchants Bancorp, Inc. was highlighted by strong revenue growth along with excellent asset quality, proper management of interest rate and control of overhead expenses.</w:t>
      </w:r>
    </w:p>
    <w:p>
      <w:pPr>
        <w:spacing w:after="0" w:line="78" w:lineRule="exact"/>
        <w:rPr>
          <w:sz w:val="20"/>
          <w:szCs w:val="20"/>
          <w:color w:val="auto"/>
        </w:rPr>
      </w:pPr>
    </w:p>
    <w:p>
      <w:pPr>
        <w:ind w:right="2959"/>
        <w:spacing w:after="0" w:line="262" w:lineRule="auto"/>
        <w:rPr>
          <w:sz w:val="20"/>
          <w:szCs w:val="20"/>
          <w:color w:val="auto"/>
        </w:rPr>
      </w:pPr>
      <w:r>
        <w:rPr>
          <w:rFonts w:ascii="Courier New" w:cs="Courier New" w:eastAsia="Courier New" w:hAnsi="Courier New"/>
          <w:sz w:val="15"/>
          <w:szCs w:val="15"/>
          <w:color w:val="auto"/>
        </w:rPr>
        <w:t>We are most proud of the effort and performance of our 223 employees. They accomplished a great deal this year, producing strong sales performance while upgrading systems and preparing for Year 2000. This was all delivered without sacrificing the finanical performance with you have come to expect. These accomplishments along with the opportunities created by changes in the competitive environment of several key markets, certainly make us optimistic about our prospects for the future. We must, however, always remain aware of the challenges that growth creates and stay dedicated to delivering top-notch service and high quality shareholder returns.</w:t>
      </w:r>
    </w:p>
    <w:p>
      <w:pPr>
        <w:spacing w:after="0" w:line="78"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1998 financial performance was also highlighted by improving our net interest margin. Our balance sheet is solid and provides considerable financial flexibility. The net interest margin continues to improve from a focus on better earning-asset and deposit mix.</w:t>
      </w:r>
    </w:p>
    <w:p>
      <w:pPr>
        <w:spacing w:after="0" w:line="61"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Among the events of 1998, the completion of the new Montpelier Office is the most noteworthy. With the addition of the new Eastside Office, giving us drive-up service along with an Automated Teller Machine (ATM), we are able to better serve our customers in the Montpelier area. ATMs were also placed in R &amp; H Restaurant in Fayette, Ohio, and Beck's Country Store in Ridgeville Corners, Ohio. This brings the total ATMs in our banking system to seventeen. With more and more companies going to Direct Deposit for their payrolls, this is a service we must expand.</w:t>
      </w:r>
    </w:p>
    <w:p>
      <w:pPr>
        <w:spacing w:after="0" w:line="78" w:lineRule="exact"/>
        <w:rPr>
          <w:sz w:val="20"/>
          <w:szCs w:val="20"/>
          <w:color w:val="auto"/>
        </w:rPr>
      </w:pPr>
    </w:p>
    <w:p>
      <w:pPr>
        <w:ind w:right="2959"/>
        <w:spacing w:after="0" w:line="271" w:lineRule="auto"/>
        <w:rPr>
          <w:sz w:val="20"/>
          <w:szCs w:val="20"/>
          <w:color w:val="auto"/>
        </w:rPr>
      </w:pPr>
      <w:r>
        <w:rPr>
          <w:rFonts w:ascii="Courier New" w:cs="Courier New" w:eastAsia="Courier New" w:hAnsi="Courier New"/>
          <w:sz w:val="15"/>
          <w:szCs w:val="15"/>
          <w:color w:val="auto"/>
        </w:rPr>
        <w:t>This past year, there has been a lot written concerning the Year 2000 Issue and the effect it could have on the economy. The banking industry has been among the most aggressive in readiness for Year 2000. We have taken this issue very seriously and are following the necessary steps to make certain that January 3, 2000, is just another business day. We are also working closely with our business partners to ensure they will be ready.</w:t>
      </w:r>
    </w:p>
    <w:p>
      <w:pPr>
        <w:spacing w:after="0" w:line="72"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We expect 1999 to be another successful year but not without its challenges. Even though our net interest margin has improved, it will still take sharp pricing and control of overhead expenses to maintain this improvement. 1999 will also see the introduction of a new service for the Farmers &amp; Merchants Bancorp, Inc., that being a full service Brokerage Department headed by Mr. Brett Kahrs. This is another step your bank is taking to make sure that we can provide our customers a full range of financial services.</w:t>
      </w:r>
    </w:p>
    <w:p>
      <w:pPr>
        <w:spacing w:after="0" w:line="75"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We sincerely thank all of our employees, customers, Board of Directors, Advisory Boards, and the continued confidence of our shareholders. We look forward to capitalizing on the opportunities and meeting the challenges that await us in 1999.</w:t>
      </w:r>
    </w:p>
    <w:p>
      <w:pPr>
        <w:sectPr>
          <w:pgSz w:w="11900" w:h="16838" w:orient="portrait"/>
          <w:cols w:equalWidth="0" w:num="1">
            <w:col w:w="10219"/>
          </w:cols>
          <w:pgMar w:left="240" w:top="265"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Joe E. Crossgrove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E. Lugbill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200" w:lineRule="exact"/>
        <w:rPr>
          <w:sz w:val="20"/>
          <w:szCs w:val="20"/>
          <w:color w:val="auto"/>
        </w:rPr>
      </w:pPr>
    </w:p>
    <w:p>
      <w:pPr>
        <w:sectPr>
          <w:pgSz w:w="11900" w:h="16838" w:orient="portrait"/>
          <w:cols w:equalWidth="0" w:num="2">
            <w:col w:w="4540" w:space="720"/>
            <w:col w:w="4959"/>
          </w:cols>
          <w:pgMar w:left="24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65"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E. LUGBILL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Farmers &amp; Merchants State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EUGENE D. BERNATH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Farmer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JERRY L. BOYERS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Edifice Construction Management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JOE E. CROSSGROVE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Farmers &amp; Merchants State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G. FREY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H. Frey &amp; Sons, Inc.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LEE E. GRAFFICE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Graffice Motor Sales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JACK C. JOHNSON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Hawk's Clothing,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REJO Partnership</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DEAN E. MILLER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MBC Holdings, Inc.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DALE L. NAFZIGER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Retired</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HAROLD H. PLASSMAN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Attorney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Plassman, Rupp, Hensal &amp; Short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L. PROVOST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Dyer &amp; McDermott, Inc.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C. SANEHOLTZ</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Saneholtz-McKarns, Inc.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MAYNARD SAUDER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Sauder Woodworking Co.</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MERLE J. SHORT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Farmer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Promow, Inc.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J. WYSE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Granite Industries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EMERITUS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ELIAS H. FREY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KENNETH E. STAMM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H. STOTZER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V. WHITMER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ARCHBOLD MAIN OFFICE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E. LUGBILL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JOE E. CROSSGROVE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MAYNARD SAUDER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EUGENE D. BERNATH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EDWARD A. LEININGER</w:t>
      </w:r>
    </w:p>
    <w:p>
      <w:pPr>
        <w:sectPr>
          <w:pgSz w:w="11900" w:h="16838" w:orient="portrait"/>
          <w:cols w:equalWidth="0" w:num="1">
            <w:col w:w="10219"/>
          </w:cols>
          <w:pgMar w:left="240" w:top="265"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Executive Vice President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Loan Officer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REX D. RICE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Lending Officer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JELEN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Secondary Market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Underwriter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RANDAL H. SCHROEDER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Operations Officer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D. CULLER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Agri Finance Officer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BARBARA J. BRITENRIKER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Comptroller &amp; Chief Financial Officer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DIANN K. MEYER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Human Resource Officer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KENT E. ROTH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Officer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MARILYN K. JOHNSON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Cashier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and CRA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JUDITH A. WARNCKE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Cashier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Officer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SCOTT MILLER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Cashier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Agri Finance Officer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DEBRA J. KAUFFMAN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Cashier &amp; Consumer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Lending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JANE C. BRUNER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Cashier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Supervisor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JOYCE G. KINSMAN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Cashier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Review Officer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BRETT J. KAHRS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Investment Executive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ARCHBOLD WOODLAND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DEBORAH L. STONER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Branch Manager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DIANE J. SWISHER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Cashier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Branch Manager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ARCHBOLD ADVISORY BOARD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DEXTER L. BENECKE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Benecke Trucking,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Alex Products, Inc.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C. LAUBER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Lauber Manufacturing Co.</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 ELLEN HORNISH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Hornish Brothers, Inc.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ANTHONY J. RUPP</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Rupp Furniture Co.</w:t>
      </w:r>
    </w:p>
    <w:p>
      <w:pPr>
        <w:sectPr>
          <w:pgSz w:w="11900" w:h="16838" w:orient="portrait"/>
          <w:cols w:equalWidth="0" w:num="1">
            <w:col w:w="10219"/>
          </w:cols>
          <w:pgMar w:left="240" w:top="113" w:right="1440" w:bottom="0" w:gutter="0" w:footer="0" w:header="0"/>
        </w:sectPr>
      </w:pPr>
    </w:p>
    <w:bookmarkStart w:id="28" w:name="page29"/>
    <w:bookmarkEnd w:id="28"/>
    <w:p>
      <w:pPr>
        <w:ind w:left="22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81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 SCHAFFNER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Farmer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F. STOTZER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Stotzer Do-It Center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WAUSEON SHOOP OFFICE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ALLEN G. LANTZ</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Branch Manager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GLORIA GUNN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Branch Manager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JERRY A. BORTON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Cashier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Agri Finance Officer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WAUSEON DOWNTOWN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CAROL J. ENGLAND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Branch Manager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JEAN E. HORWATH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Cashier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Branch Manager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WAUSEON ADVISORY BOARD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L. ELROD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Mustang Corporation</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WARREN A. KAHRS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Kahrs Tractor Sales, Inc.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H. KOLB</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Kolb &amp; Son</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JULIAN GIOVARELLI</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Gio Sales, Inc.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SANDRA K. BARBER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Fulton County Recorder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Ohio Lottery Commission</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 KENNETH H. KLING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Fulton County Vision Services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STRYKER OFFICE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RONALD D. SHORT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Branch Manager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PATTI L. ROSEBROCK</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Cashier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Branch Manager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STRYKER ADVISORY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W. GRISIER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Grisier Funeral Home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E. RAKER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Raker Oil Company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PLANSON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Farmer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J. BRENNER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Attorney</w:t>
      </w:r>
    </w:p>
    <w:p>
      <w:pPr>
        <w:sectPr>
          <w:pgSz w:w="11900" w:h="16838" w:orient="portrait"/>
          <w:cols w:equalWidth="0" w:num="1">
            <w:col w:w="10219"/>
          </w:cols>
          <w:pgMar w:left="240" w:top="265" w:right="1440" w:bottom="81"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WEST UNITY OFFICE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LEWIS D. HILKERT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Branch Manager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PATRICIA R. BURKHOLDER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Cashier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Branch Manager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UNITY ADVISORY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ALVIN E. CAROTHERS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Farmer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 G. WESTFALL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Westfall Realty, Inc.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TED W. MANEVAL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Farmer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 BURDELL COLON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Rup-Col., Inc.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W. KLINGER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Pharmacist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Klinger Pharmacy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DELTA OFFICE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CYNTHIA K. KNAUER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Branch Manager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BARRY N. GRAY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Cashier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Branch Manager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DELTA ADVISORY BOARD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TERRY J. KAPER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Attorney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Barber, Kaper, Stamm &amp; Robinson</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C. EICHER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Retired Grocer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E. GILDERS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GB Manufacturing</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EUGENE BURKHOLDER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Falor Farm Center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 KREUZ</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Retired Fulton County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BRYAN EAST HIGH OFFICE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C. FRAZER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Branch Manager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CAROL L. CHURCH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Cashier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Branch Manager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SOUTHTOWNE OFFICE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T. SMITH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Cashier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Branch Manager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RUTH M. FORD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Branch Manager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C. BRUCE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Loan Officer</w:t>
      </w:r>
    </w:p>
    <w:p>
      <w:pPr>
        <w:sectPr>
          <w:pgSz w:w="11900" w:h="16838" w:orient="portrait"/>
          <w:cols w:equalWidth="0" w:num="1">
            <w:col w:w="10219"/>
          </w:cols>
          <w:pgMar w:left="240" w:top="114" w:right="1440" w:bottom="757" w:gutter="0" w:footer="0" w:header="0"/>
        </w:sectPr>
      </w:pPr>
    </w:p>
    <w:bookmarkStart w:id="31" w:name="page32"/>
    <w:bookmarkEnd w:id="31"/>
    <w:p>
      <w:pPr>
        <w:ind w:left="22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019"/>
          </w:cols>
          <w:pgMar w:left="1440" w:top="288"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29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BRYAN ADVISORY BOARD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 PAUL TRODER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Allied Moulded Products, Inc.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RUSTY BRUNICARDI</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Community Hospital of Williams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Inc.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ROBERT SHAFFER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Farmer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 C. NICHOLAS WALZ</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Williams County Family Medical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R. MANLEY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Manufacturing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 Art Co.</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MONTPELIER WEST MAIN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LANCE D. NOFZIGER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Branch Manager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MONTPELIER EASTSIDE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S. FEE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Branch Manager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MONTPELIER ADVISORY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GREGORY D. SHOUP</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Peltcs Lumber Co., Inc.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S. DYE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Minister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Munson United Brethern Church</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D. MERCER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Bob Mercer Realty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Auctions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B. RINGS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Pharmacist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Rings Pharmacy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NAPOLEON OFFICE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STEPHEN E. JACKSON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Asst.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Branch Manager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DIANA J. DENNIE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Cashier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Branch Manager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F. SCHNITKEY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Cashier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Agri Finance Officer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D. ERNEST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Cashier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Commerical Loan Officer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NAPOLEON ADVISORY BOARD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BARBARA C. SCHIE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 Manager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Fulton Anesthesia Associates,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M. DAMMAN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Farm Drainage Contractor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Farmer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T. VAN POPPEL</w:t>
      </w:r>
    </w:p>
    <w:p>
      <w:pPr>
        <w:sectPr>
          <w:pgSz w:w="11900" w:h="16838" w:orient="portrait"/>
          <w:cols w:equalWidth="0" w:num="1">
            <w:col w:w="10219"/>
          </w:cols>
          <w:pgMar w:left="240" w:top="265" w:right="1440" w:bottom="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President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Van Poppel Corp.</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DENNIS L. MEYER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 Rohrs Realty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CHAIRMAN CHARLES LUGBILL WITH MANAGERS AT ANNUAL MEETING</w:t>
      </w:r>
    </w:p>
    <w:p>
      <w:pPr>
        <w:spacing w:after="0" w:line="180" w:lineRule="exact"/>
        <w:rPr>
          <w:sz w:val="20"/>
          <w:szCs w:val="20"/>
          <w:color w:val="auto"/>
        </w:rPr>
      </w:pPr>
    </w:p>
    <w:p>
      <w:pPr>
        <w:ind w:right="2959" w:firstLine="818"/>
        <w:spacing w:after="0" w:line="267" w:lineRule="auto"/>
        <w:rPr>
          <w:sz w:val="20"/>
          <w:szCs w:val="20"/>
          <w:color w:val="auto"/>
        </w:rPr>
      </w:pPr>
      <w:r>
        <w:rPr>
          <w:rFonts w:ascii="Courier New" w:cs="Courier New" w:eastAsia="Courier New" w:hAnsi="Courier New"/>
          <w:sz w:val="15"/>
          <w:szCs w:val="15"/>
          <w:color w:val="auto"/>
        </w:rPr>
        <w:t>Seated from left: Cynthia Knauer, AVP/Delta Manager; Deborah Stoner, AVP/Archbold Woodland Manager; Carol England, AVP/Wauseon Downtown Manager. Second row from left: Charles Lugbill, Chairman of the Board; Steve Jackson, AVP/Napoleon Manager; Ronald Short, AVP/Stryker Manager. Back row from left: Joe Crossgrove, President and CEO; Michael Smith, AC/Bryan SouthTowne Manager; John Fee, AVP/Montpelier Eastside Manager; David Frazer, AVP/Bryan E. High Manager; Allen Lantz, VP/Wauseon Shoop Manager; Lewis Hilkert, VP/West Unity Manager.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11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MESSAGE TO OUR SHAREHOLDERS:</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UPDATE ON YEAR 2000 (Y2K) READINESS PROGRAM</w:t>
      </w:r>
    </w:p>
    <w:p>
      <w:pPr>
        <w:spacing w:after="0" w:line="180" w:lineRule="exact"/>
        <w:rPr>
          <w:sz w:val="20"/>
          <w:szCs w:val="20"/>
          <w:color w:val="auto"/>
        </w:rPr>
      </w:pPr>
    </w:p>
    <w:p>
      <w:pPr>
        <w:ind w:right="2959"/>
        <w:spacing w:after="0" w:line="271" w:lineRule="auto"/>
        <w:rPr>
          <w:sz w:val="20"/>
          <w:szCs w:val="20"/>
          <w:color w:val="auto"/>
        </w:rPr>
      </w:pPr>
      <w:r>
        <w:rPr>
          <w:rFonts w:ascii="Courier New" w:cs="Courier New" w:eastAsia="Courier New" w:hAnsi="Courier New"/>
          <w:sz w:val="15"/>
          <w:szCs w:val="15"/>
          <w:color w:val="auto"/>
        </w:rPr>
        <w:t>With the Year 2000 rapidly approaching, our twelve member Project Team continues to actively address and manage preparations for complete readiness. Members of the team were drawn from different areas of the bank to ensure all potential issues could be addressed. A detailed Work Plan directs all activities required to implement the five phases of Y2K readiness - AWARENESS, ASSESSMENT, RENOVATION, VALIDATION and IMPLEMENTATION.</w:t>
      </w:r>
    </w:p>
    <w:p>
      <w:pPr>
        <w:spacing w:after="0" w:line="72"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Since the Year 2000 poses great concerns and complex challenges, a comprehensive approach has been developed to identify, modify and test all systems and components which require changes in order to accurately handle and process information in the Year 2000 and thereafter. Our efforts focus on six key areas of exposure: 1) Computer technology and operating systems, 2) Software applications, 3) Automated processing functions, 4) Infrastructure, 5) Customer risk and 6) Legal risk.</w:t>
      </w:r>
    </w:p>
    <w:p>
      <w:pPr>
        <w:spacing w:after="0" w:line="75"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Key customer concerns are ACCESS TO THEIR MONEY and ACCURACY OF THEIR ACCOUNT RECORDS. An essential part of our Year 2000 initiative is communication and customer awareness. Efforts focus on providing information on the bank and Year 2000, as well as educating our employees to effectively address customer questions and concerns.</w:t>
      </w:r>
    </w:p>
    <w:p>
      <w:pPr>
        <w:spacing w:after="0" w:line="68"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A high priority status has been assigned to systems, applications and equipment vital to maintaining ongoing business functions and critical operations. Several key systems were awaiting upgrades at year end 1998. By maintaining close contact with our vendors and suppliers, we are confident those remaining changes will be timely and successful. Systems deemed Y2K compliant by vendors, as well as systems that have been replaced or upgraded, will require complete and thorough internal testing to ensure Year 2000 readiness.</w:t>
      </w:r>
    </w:p>
    <w:p>
      <w:pPr>
        <w:spacing w:after="0" w:line="75" w:lineRule="exact"/>
        <w:rPr>
          <w:sz w:val="20"/>
          <w:szCs w:val="20"/>
          <w:color w:val="auto"/>
        </w:rPr>
      </w:pPr>
    </w:p>
    <w:p>
      <w:pPr>
        <w:ind w:right="3219"/>
        <w:spacing w:after="0" w:line="277" w:lineRule="auto"/>
        <w:rPr>
          <w:sz w:val="20"/>
          <w:szCs w:val="20"/>
          <w:color w:val="auto"/>
        </w:rPr>
      </w:pPr>
      <w:r>
        <w:rPr>
          <w:rFonts w:ascii="Courier New" w:cs="Courier New" w:eastAsia="Courier New" w:hAnsi="Courier New"/>
          <w:sz w:val="15"/>
          <w:szCs w:val="15"/>
          <w:color w:val="auto"/>
        </w:rPr>
        <w:t>Extensive testing and validation efforts focus on verification of critical information and calculations to ensure that computer interfaces accurately handle various dates and information. All critical systems must be thoroughly tested and retested, if needed, to ensure Year 2000 readiness. Testing and validation procedures will consume a major portion of our time in 1999.</w:t>
      </w:r>
    </w:p>
    <w:p>
      <w:pPr>
        <w:spacing w:after="0" w:line="68"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Progress on the development of contingency plans for all mission critical systems continues. The plans will address potential Year 2000 problems and provide a detailed, well-planned methodology to quickly resolve a problem should one occur. An independent third party will be retained in 1999 to evaluate both our contingency planning process and testing procedures.</w:t>
      </w:r>
    </w:p>
    <w:p>
      <w:pPr>
        <w:spacing w:after="0" w:line="68"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Risk assessments were developed for material customers, business partners and third parties who pose potential risks to the bank. Part of our Y2K compliance efforts will be continued monitoring in regard to their progress toward Year 2000 readiness.</w:t>
      </w:r>
    </w:p>
    <w:p>
      <w:pPr>
        <w:spacing w:after="0" w:line="61"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With adequate preparations, the appropriate resources, and the involvement of senior management, our board of directors and employees, we anticipate minimal impact on our ability to deliver uninterrupted financial services to our customers. We will be prepared for "business as usual" on January 3, 2000.</w:t>
      </w:r>
    </w:p>
    <w:p>
      <w:pPr>
        <w:sectPr>
          <w:pgSz w:w="11900" w:h="16838" w:orient="portrait"/>
          <w:cols w:equalWidth="0" w:num="1">
            <w:col w:w="10219"/>
          </w:cols>
          <w:pgMar w:left="240" w:top="265"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Joe E. Crossgrove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&amp; Chief Executive Officer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Marilyn K. Johnson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Cashier/Y2K Project Manager</w:t>
      </w:r>
    </w:p>
    <w:p>
      <w:pPr>
        <w:spacing w:after="0" w:line="152" w:lineRule="exact"/>
        <w:rPr>
          <w:sz w:val="20"/>
          <w:szCs w:val="20"/>
          <w:color w:val="auto"/>
        </w:rPr>
      </w:pPr>
    </w:p>
    <w:p>
      <w:pPr>
        <w:sectPr>
          <w:pgSz w:w="11900" w:h="16838" w:orient="portrait"/>
          <w:cols w:equalWidth="0" w:num="2">
            <w:col w:w="3180" w:space="640"/>
            <w:col w:w="6399"/>
          </w:cols>
          <w:pgMar w:left="240" w:top="265" w:right="1440" w:bottom="1440" w:gutter="0" w:footer="0" w:header="0"/>
          <w:type w:val="continuous"/>
        </w:sectPr>
      </w:pPr>
    </w:p>
    <w:p>
      <w:pPr>
        <w:ind w:right="3139"/>
        <w:spacing w:after="0" w:line="307" w:lineRule="auto"/>
        <w:rPr>
          <w:sz w:val="20"/>
          <w:szCs w:val="20"/>
          <w:color w:val="auto"/>
        </w:rPr>
      </w:pPr>
      <w:r>
        <w:rPr>
          <w:rFonts w:ascii="Courier New" w:cs="Courier New" w:eastAsia="Courier New" w:hAnsi="Courier New"/>
          <w:sz w:val="15"/>
          <w:szCs w:val="15"/>
          <w:color w:val="auto"/>
        </w:rPr>
        <w:t>THE STATEMENTS CONTAINED HEREIN ARE YEAR 2000 READINESS DISCLOSURES AS DEFINED IN THE YEAR 2000 INFORMATION AND READINESS DISCLOSURE ACT (S.2392: ENACTED 10/19/98)</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5" w:right="1440" w:bottom="1440" w:gutter="0" w:footer="0" w:header="0"/>
          <w:type w:val="continuous"/>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329"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TABLE OF CONTENTS</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December 31,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44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350"/>
        </w:trPr>
        <w:tc>
          <w:tcPr>
            <w:tcW w:w="6800" w:type="dxa"/>
            <w:vAlign w:val="bottom"/>
            <w:gridSpan w:val="2"/>
          </w:tcPr>
          <w:p>
            <w:pPr>
              <w:spacing w:after="0"/>
              <w:rPr>
                <w:sz w:val="20"/>
                <w:szCs w:val="20"/>
                <w:color w:val="auto"/>
              </w:rPr>
            </w:pPr>
            <w:r>
              <w:rPr>
                <w:rFonts w:ascii="Courier New" w:cs="Courier New" w:eastAsia="Courier New" w:hAnsi="Courier New"/>
                <w:sz w:val="15"/>
                <w:szCs w:val="15"/>
                <w:color w:val="auto"/>
              </w:rPr>
              <w:t>Independent Auditors' Report</w:t>
            </w: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350"/>
        </w:trPr>
        <w:tc>
          <w:tcPr>
            <w:tcW w:w="2440" w:type="dxa"/>
            <w:vAlign w:val="bottom"/>
          </w:tcPr>
          <w:p>
            <w:pPr>
              <w:spacing w:after="0"/>
              <w:rPr>
                <w:sz w:val="20"/>
                <w:szCs w:val="20"/>
                <w:color w:val="auto"/>
              </w:rPr>
            </w:pPr>
            <w:r>
              <w:rPr>
                <w:rFonts w:ascii="Courier New" w:cs="Courier New" w:eastAsia="Courier New" w:hAnsi="Courier New"/>
                <w:sz w:val="15"/>
                <w:szCs w:val="15"/>
                <w:color w:val="auto"/>
                <w:w w:val="99"/>
              </w:rPr>
              <w:t>Consolidated Balance Sheets</w:t>
            </w:r>
          </w:p>
        </w:tc>
        <w:tc>
          <w:tcPr>
            <w:tcW w:w="4360" w:type="dxa"/>
            <w:vAlign w:val="bottom"/>
          </w:tcPr>
          <w:p>
            <w:pPr>
              <w:spacing w:after="0"/>
              <w:rPr>
                <w:sz w:val="24"/>
                <w:szCs w:val="24"/>
                <w:color w:val="auto"/>
              </w:rPr>
            </w:pP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350"/>
        </w:trPr>
        <w:tc>
          <w:tcPr>
            <w:tcW w:w="2440" w:type="dxa"/>
            <w:vAlign w:val="bottom"/>
          </w:tcPr>
          <w:p>
            <w:pPr>
              <w:spacing w:after="0"/>
              <w:rPr>
                <w:sz w:val="20"/>
                <w:szCs w:val="20"/>
                <w:color w:val="auto"/>
              </w:rPr>
            </w:pPr>
            <w:r>
              <w:rPr>
                <w:rFonts w:ascii="Courier New" w:cs="Courier New" w:eastAsia="Courier New" w:hAnsi="Courier New"/>
                <w:sz w:val="15"/>
                <w:szCs w:val="15"/>
                <w:color w:val="auto"/>
              </w:rPr>
              <w:t>Consolidated Statements of</w:t>
            </w:r>
          </w:p>
        </w:tc>
        <w:tc>
          <w:tcPr>
            <w:tcW w:w="436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268"/>
        </w:trPr>
        <w:tc>
          <w:tcPr>
            <w:tcW w:w="2440" w:type="dxa"/>
            <w:vAlign w:val="bottom"/>
          </w:tcPr>
          <w:p>
            <w:pPr>
              <w:spacing w:after="0"/>
              <w:rPr>
                <w:sz w:val="20"/>
                <w:szCs w:val="20"/>
                <w:color w:val="auto"/>
              </w:rPr>
            </w:pPr>
            <w:r>
              <w:rPr>
                <w:rFonts w:ascii="Courier New" w:cs="Courier New" w:eastAsia="Courier New" w:hAnsi="Courier New"/>
                <w:sz w:val="15"/>
                <w:szCs w:val="15"/>
                <w:color w:val="auto"/>
              </w:rPr>
              <w:t>Consolidated Statements of</w:t>
            </w:r>
          </w:p>
        </w:tc>
        <w:tc>
          <w:tcPr>
            <w:tcW w:w="4360" w:type="dxa"/>
            <w:vAlign w:val="bottom"/>
          </w:tcPr>
          <w:p>
            <w:pPr>
              <w:spacing w:after="0"/>
              <w:rPr>
                <w:sz w:val="20"/>
                <w:szCs w:val="20"/>
                <w:color w:val="auto"/>
              </w:rPr>
            </w:pPr>
            <w:r>
              <w:rPr>
                <w:rFonts w:ascii="Courier New" w:cs="Courier New" w:eastAsia="Courier New" w:hAnsi="Courier New"/>
                <w:sz w:val="15"/>
                <w:szCs w:val="15"/>
                <w:color w:val="auto"/>
              </w:rPr>
              <w:t>Changes in</w:t>
            </w:r>
          </w:p>
        </w:tc>
        <w:tc>
          <w:tcPr>
            <w:tcW w:w="3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256"/>
        </w:trPr>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Shareholders' Equity</w:t>
            </w:r>
          </w:p>
        </w:tc>
        <w:tc>
          <w:tcPr>
            <w:tcW w:w="4360" w:type="dxa"/>
            <w:vAlign w:val="bottom"/>
          </w:tcPr>
          <w:p>
            <w:pPr>
              <w:spacing w:after="0"/>
              <w:rPr>
                <w:sz w:val="22"/>
                <w:szCs w:val="22"/>
                <w:color w:val="auto"/>
              </w:rPr>
            </w:pPr>
          </w:p>
        </w:tc>
        <w:tc>
          <w:tcPr>
            <w:tcW w:w="3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440" w:type="dxa"/>
            <w:vAlign w:val="bottom"/>
          </w:tcPr>
          <w:p>
            <w:pPr>
              <w:spacing w:after="0"/>
              <w:rPr>
                <w:sz w:val="20"/>
                <w:szCs w:val="20"/>
                <w:color w:val="auto"/>
              </w:rPr>
            </w:pPr>
            <w:r>
              <w:rPr>
                <w:rFonts w:ascii="Courier New" w:cs="Courier New" w:eastAsia="Courier New" w:hAnsi="Courier New"/>
                <w:sz w:val="15"/>
                <w:szCs w:val="15"/>
                <w:color w:val="auto"/>
              </w:rPr>
              <w:t>Consolidated Statements of</w:t>
            </w:r>
          </w:p>
        </w:tc>
        <w:tc>
          <w:tcPr>
            <w:tcW w:w="4360" w:type="dxa"/>
            <w:vAlign w:val="bottom"/>
          </w:tcPr>
          <w:p>
            <w:pPr>
              <w:spacing w:after="0"/>
              <w:rPr>
                <w:sz w:val="20"/>
                <w:szCs w:val="20"/>
                <w:color w:val="auto"/>
              </w:rPr>
            </w:pPr>
            <w:r>
              <w:rPr>
                <w:rFonts w:ascii="Courier New" w:cs="Courier New" w:eastAsia="Courier New" w:hAnsi="Courier New"/>
                <w:sz w:val="15"/>
                <w:szCs w:val="15"/>
                <w:color w:val="auto"/>
              </w:rPr>
              <w:t>Cash Flows</w:t>
            </w: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350"/>
        </w:trPr>
        <w:tc>
          <w:tcPr>
            <w:tcW w:w="680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11 - 31</w:t>
            </w:r>
          </w:p>
        </w:tc>
        <w:tc>
          <w:tcPr>
            <w:tcW w:w="0" w:type="dxa"/>
            <w:vAlign w:val="bottom"/>
          </w:tcPr>
          <w:p>
            <w:pPr>
              <w:spacing w:after="0"/>
              <w:rPr>
                <w:sz w:val="1"/>
                <w:szCs w:val="1"/>
                <w:color w:val="auto"/>
              </w:rPr>
            </w:pPr>
          </w:p>
        </w:tc>
      </w:tr>
      <w:tr>
        <w:trPr>
          <w:trHeight w:val="350"/>
        </w:trPr>
        <w:tc>
          <w:tcPr>
            <w:tcW w:w="2440" w:type="dxa"/>
            <w:vAlign w:val="bottom"/>
          </w:tcPr>
          <w:p>
            <w:pPr>
              <w:spacing w:after="0"/>
              <w:rPr>
                <w:sz w:val="20"/>
                <w:szCs w:val="20"/>
                <w:color w:val="auto"/>
              </w:rPr>
            </w:pPr>
            <w:r>
              <w:rPr>
                <w:rFonts w:ascii="Courier New" w:cs="Courier New" w:eastAsia="Courier New" w:hAnsi="Courier New"/>
                <w:sz w:val="15"/>
                <w:szCs w:val="15"/>
                <w:color w:val="auto"/>
              </w:rPr>
              <w:t>Supplementary Information:</w:t>
            </w:r>
          </w:p>
        </w:tc>
        <w:tc>
          <w:tcPr>
            <w:tcW w:w="43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440" w:type="dxa"/>
            <w:vAlign w:val="bottom"/>
          </w:tcPr>
          <w:p>
            <w:pPr>
              <w:ind w:left="440"/>
              <w:spacing w:after="0"/>
              <w:rPr>
                <w:sz w:val="20"/>
                <w:szCs w:val="20"/>
                <w:color w:val="auto"/>
              </w:rPr>
            </w:pPr>
            <w:r>
              <w:rPr>
                <w:rFonts w:ascii="Courier New" w:cs="Courier New" w:eastAsia="Courier New" w:hAnsi="Courier New"/>
                <w:sz w:val="15"/>
                <w:szCs w:val="15"/>
                <w:color w:val="auto"/>
              </w:rPr>
              <w:t>Independent Auditors'</w:t>
            </w:r>
          </w:p>
        </w:tc>
        <w:tc>
          <w:tcPr>
            <w:tcW w:w="4360" w:type="dxa"/>
            <w:vAlign w:val="bottom"/>
          </w:tcPr>
          <w:p>
            <w:pPr>
              <w:spacing w:after="0"/>
              <w:rPr>
                <w:sz w:val="20"/>
                <w:szCs w:val="20"/>
                <w:color w:val="auto"/>
              </w:rPr>
            </w:pPr>
            <w:r>
              <w:rPr>
                <w:rFonts w:ascii="Courier New" w:cs="Courier New" w:eastAsia="Courier New" w:hAnsi="Courier New"/>
                <w:sz w:val="15"/>
                <w:szCs w:val="15"/>
                <w:color w:val="auto"/>
              </w:rPr>
              <w:t>Report on</w:t>
            </w:r>
          </w:p>
        </w:tc>
        <w:tc>
          <w:tcPr>
            <w:tcW w:w="3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256"/>
        </w:trPr>
        <w:tc>
          <w:tcPr>
            <w:tcW w:w="68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Supplementary Information</w:t>
            </w:r>
          </w:p>
        </w:tc>
        <w:tc>
          <w:tcPr>
            <w:tcW w:w="3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8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Five Year Summary of Consolidated</w:t>
            </w:r>
          </w:p>
        </w:tc>
        <w:tc>
          <w:tcPr>
            <w:tcW w:w="3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256"/>
        </w:trPr>
        <w:tc>
          <w:tcPr>
            <w:tcW w:w="2440" w:type="dxa"/>
            <w:vAlign w:val="bottom"/>
          </w:tcPr>
          <w:p>
            <w:pPr>
              <w:ind w:left="440"/>
              <w:spacing w:after="0"/>
              <w:rPr>
                <w:sz w:val="20"/>
                <w:szCs w:val="20"/>
                <w:color w:val="auto"/>
              </w:rPr>
            </w:pPr>
            <w:r>
              <w:rPr>
                <w:rFonts w:ascii="Courier New" w:cs="Courier New" w:eastAsia="Courier New" w:hAnsi="Courier New"/>
                <w:sz w:val="15"/>
                <w:szCs w:val="15"/>
                <w:color w:val="auto"/>
              </w:rPr>
              <w:t>Operations</w:t>
            </w:r>
          </w:p>
        </w:tc>
        <w:tc>
          <w:tcPr>
            <w:tcW w:w="4360" w:type="dxa"/>
            <w:vAlign w:val="bottom"/>
          </w:tcPr>
          <w:p>
            <w:pPr>
              <w:spacing w:after="0"/>
              <w:rPr>
                <w:sz w:val="22"/>
                <w:szCs w:val="22"/>
                <w:color w:val="auto"/>
              </w:rPr>
            </w:pPr>
          </w:p>
        </w:tc>
        <w:tc>
          <w:tcPr>
            <w:tcW w:w="3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240" w:top="265" w:right="1219" w:bottom="1440" w:gutter="0" w:footer="0" w:header="0"/>
        </w:sectPr>
      </w:pPr>
    </w:p>
    <w:bookmarkStart w:id="36" w:name="page37"/>
    <w:bookmarkEnd w:id="36"/>
    <w:p>
      <w:pPr>
        <w:ind w:left="267"/>
        <w:spacing w:after="0"/>
        <w:rPr>
          <w:sz w:val="20"/>
          <w:szCs w:val="20"/>
          <w:color w:val="auto"/>
        </w:rPr>
      </w:pPr>
      <w:r>
        <w:rPr>
          <w:rFonts w:ascii="Courier New" w:cs="Courier New" w:eastAsia="Courier New" w:hAnsi="Courier New"/>
          <w:sz w:val="15"/>
          <w:szCs w:val="15"/>
          <w:color w:val="auto"/>
        </w:rPr>
        <w:t>32</w:t>
      </w:r>
    </w:p>
    <w:p>
      <w:pPr>
        <w:spacing w:after="0" w:line="180"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[KROUSE, KERN &amp; CO., INC. LETTERHEAD]</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January 13, 1999</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Board of Directors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Archbold, Ohio</w:t>
      </w:r>
    </w:p>
    <w:p>
      <w:pPr>
        <w:spacing w:after="0" w:line="152"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INDEPENDENT AUDITORS' REPORT</w:t>
      </w:r>
    </w:p>
    <w:p>
      <w:pPr>
        <w:spacing w:after="0" w:line="180" w:lineRule="exact"/>
        <w:rPr>
          <w:sz w:val="20"/>
          <w:szCs w:val="20"/>
          <w:color w:val="auto"/>
        </w:rPr>
      </w:pPr>
    </w:p>
    <w:p>
      <w:pPr>
        <w:ind w:left="7" w:right="2959"/>
        <w:spacing w:after="0" w:line="267" w:lineRule="auto"/>
        <w:rPr>
          <w:sz w:val="20"/>
          <w:szCs w:val="20"/>
          <w:color w:val="auto"/>
        </w:rPr>
      </w:pPr>
      <w:r>
        <w:rPr>
          <w:rFonts w:ascii="Courier New" w:cs="Courier New" w:eastAsia="Courier New" w:hAnsi="Courier New"/>
          <w:sz w:val="15"/>
          <w:szCs w:val="15"/>
          <w:color w:val="auto"/>
        </w:rPr>
        <w:t>We have audited the consolidated balance sheets of Farmers &amp; Merchants Bancorp, Inc., Archbold, Ohio, and subsidiaries as of December 31, 1998 and 1997 and the related consolidated statements of income, changes in shareholders' equity, and cash flows for the years ended December 31, 1998, 1997 and 1996. These financial statements are the responsibility of the Company's management. Our responsibility is to express an opinion on these financial statements based on our audits.</w:t>
      </w:r>
    </w:p>
    <w:p>
      <w:pPr>
        <w:spacing w:after="0" w:line="75" w:lineRule="exact"/>
        <w:rPr>
          <w:sz w:val="20"/>
          <w:szCs w:val="20"/>
          <w:color w:val="auto"/>
        </w:rPr>
      </w:pPr>
    </w:p>
    <w:p>
      <w:pPr>
        <w:ind w:left="7" w:right="2959"/>
        <w:spacing w:after="0" w:line="262"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These standards require that we plan and perform the audit to obtain reasonable assurance about whether the financial statements are free from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8" w:lineRule="exact"/>
        <w:rPr>
          <w:sz w:val="20"/>
          <w:szCs w:val="20"/>
          <w:color w:val="auto"/>
        </w:rPr>
      </w:pPr>
    </w:p>
    <w:p>
      <w:pPr>
        <w:ind w:left="7" w:right="2959"/>
        <w:spacing w:after="0" w:line="26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consolidated financial position of Farmers</w:t>
      </w:r>
    </w:p>
    <w:p>
      <w:pPr>
        <w:spacing w:after="0" w:line="1" w:lineRule="exact"/>
        <w:rPr>
          <w:sz w:val="20"/>
          <w:szCs w:val="20"/>
          <w:color w:val="auto"/>
        </w:rPr>
      </w:pPr>
    </w:p>
    <w:p>
      <w:pPr>
        <w:ind w:left="7" w:right="3219" w:hanging="7"/>
        <w:spacing w:after="0" w:line="274" w:lineRule="auto"/>
        <w:tabs>
          <w:tab w:leader="none" w:pos="18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Merchants Bancorp, Inc. and subsidiaries, as of December 31, 1998 and 1997, and the results of its consolidated operations and cash flows for the years ended December 31, 1998, 1997 and 1996 in conformity with generally accepted accounting principles.</w:t>
      </w:r>
    </w:p>
    <w:p>
      <w:pPr>
        <w:spacing w:after="0" w:line="200" w:lineRule="exact"/>
        <w:rPr>
          <w:sz w:val="20"/>
          <w:szCs w:val="20"/>
          <w:color w:val="auto"/>
        </w:rPr>
      </w:pPr>
    </w:p>
    <w:p>
      <w:pPr>
        <w:spacing w:after="0" w:line="219" w:lineRule="exact"/>
        <w:rPr>
          <w:sz w:val="20"/>
          <w:szCs w:val="20"/>
          <w:color w:val="auto"/>
        </w:rPr>
      </w:pPr>
    </w:p>
    <w:p>
      <w:pPr>
        <w:ind w:left="4627"/>
        <w:spacing w:after="0"/>
        <w:rPr>
          <w:sz w:val="20"/>
          <w:szCs w:val="20"/>
          <w:color w:val="auto"/>
        </w:rPr>
      </w:pPr>
      <w:r>
        <w:rPr>
          <w:rFonts w:ascii="Courier New" w:cs="Courier New" w:eastAsia="Courier New" w:hAnsi="Courier New"/>
          <w:sz w:val="15"/>
          <w:szCs w:val="15"/>
          <w:color w:val="auto"/>
        </w:rPr>
        <w:t>/s/ KROUSE, KERN &amp; CO., INC.</w:t>
      </w:r>
    </w:p>
    <w:p>
      <w:pPr>
        <w:spacing w:after="0" w:line="180" w:lineRule="exact"/>
        <w:rPr>
          <w:sz w:val="20"/>
          <w:szCs w:val="20"/>
          <w:color w:val="auto"/>
        </w:rPr>
      </w:pPr>
    </w:p>
    <w:p>
      <w:pPr>
        <w:ind w:left="5007"/>
        <w:spacing w:after="0"/>
        <w:rPr>
          <w:sz w:val="20"/>
          <w:szCs w:val="20"/>
          <w:color w:val="auto"/>
        </w:rPr>
      </w:pPr>
      <w:r>
        <w:rPr>
          <w:rFonts w:ascii="Courier New" w:cs="Courier New" w:eastAsia="Courier New" w:hAnsi="Courier New"/>
          <w:sz w:val="15"/>
          <w:szCs w:val="15"/>
          <w:color w:val="auto"/>
        </w:rPr>
        <w:t>KROUSE, KERN &amp; CO., INC.</w:t>
      </w:r>
    </w:p>
    <w:p>
      <w:pPr>
        <w:spacing w:after="0" w:line="200" w:lineRule="exact"/>
        <w:rPr>
          <w:sz w:val="20"/>
          <w:szCs w:val="20"/>
          <w:color w:val="auto"/>
        </w:rPr>
      </w:pPr>
    </w:p>
    <w:p>
      <w:pPr>
        <w:spacing w:after="0" w:line="32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265"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56"/>
        </w:trPr>
        <w:tc>
          <w:tcPr>
            <w:tcW w:w="7940" w:type="dxa"/>
            <w:vAlign w:val="bottom"/>
          </w:tcPr>
          <w:p>
            <w:pPr>
              <w:ind w:left="260"/>
              <w:spacing w:after="0"/>
              <w:rPr>
                <w:sz w:val="20"/>
                <w:szCs w:val="20"/>
                <w:color w:val="auto"/>
              </w:rPr>
            </w:pPr>
            <w:r>
              <w:rPr>
                <w:rFonts w:ascii="Courier New" w:cs="Courier New" w:eastAsia="Courier New" w:hAnsi="Courier New"/>
                <w:sz w:val="15"/>
                <w:szCs w:val="15"/>
                <w:color w:val="auto"/>
              </w:rPr>
              <w:t>33</w:t>
            </w:r>
          </w:p>
        </w:tc>
        <w:tc>
          <w:tcPr>
            <w:tcW w:w="10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9"/>
        </w:trPr>
        <w:tc>
          <w:tcPr>
            <w:tcW w:w="7940" w:type="dxa"/>
            <w:vAlign w:val="bottom"/>
          </w:tcPr>
          <w:p>
            <w:pPr>
              <w:ind w:left="2440"/>
              <w:spacing w:after="0"/>
              <w:rPr>
                <w:sz w:val="20"/>
                <w:szCs w:val="20"/>
                <w:color w:val="auto"/>
              </w:rPr>
            </w:pPr>
            <w:r>
              <w:rPr>
                <w:rFonts w:ascii="Courier New" w:cs="Courier New" w:eastAsia="Courier New" w:hAnsi="Courier New"/>
                <w:sz w:val="15"/>
                <w:szCs w:val="15"/>
                <w:color w:val="auto"/>
              </w:rPr>
              <w:t>FARMERS &amp; MERCHANTS, INC.</w:t>
            </w: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940" w:type="dxa"/>
            <w:vAlign w:val="bottom"/>
          </w:tcPr>
          <w:p>
            <w:pPr>
              <w:ind w:left="2360"/>
              <w:spacing w:after="0"/>
              <w:rPr>
                <w:sz w:val="20"/>
                <w:szCs w:val="20"/>
                <w:color w:val="auto"/>
              </w:rPr>
            </w:pPr>
            <w:r>
              <w:rPr>
                <w:rFonts w:ascii="Courier New" w:cs="Courier New" w:eastAsia="Courier New" w:hAnsi="Courier New"/>
                <w:sz w:val="15"/>
                <w:szCs w:val="15"/>
                <w:color w:val="auto"/>
              </w:rPr>
              <w:t>Consolidated Balance Sheets</w:t>
            </w:r>
          </w:p>
        </w:tc>
        <w:tc>
          <w:tcPr>
            <w:tcW w:w="10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940" w:type="dxa"/>
            <w:vAlign w:val="bottom"/>
          </w:tcPr>
          <w:p>
            <w:pPr>
              <w:ind w:left="2440"/>
              <w:spacing w:after="0"/>
              <w:rPr>
                <w:sz w:val="20"/>
                <w:szCs w:val="20"/>
                <w:color w:val="auto"/>
              </w:rPr>
            </w:pPr>
            <w:r>
              <w:rPr>
                <w:rFonts w:ascii="Courier New" w:cs="Courier New" w:eastAsia="Courier New" w:hAnsi="Courier New"/>
                <w:sz w:val="15"/>
                <w:szCs w:val="15"/>
                <w:color w:val="auto"/>
              </w:rPr>
              <w:t>December 31, 1998 and 1997</w:t>
            </w:r>
          </w:p>
        </w:tc>
        <w:tc>
          <w:tcPr>
            <w:tcW w:w="10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7940" w:type="dxa"/>
            <w:vAlign w:val="bottom"/>
          </w:tcPr>
          <w:p>
            <w:pPr>
              <w:ind w:left="3360"/>
              <w:spacing w:after="0"/>
              <w:rPr>
                <w:sz w:val="20"/>
                <w:szCs w:val="20"/>
                <w:color w:val="auto"/>
              </w:rPr>
            </w:pPr>
            <w:r>
              <w:rPr>
                <w:rFonts w:ascii="Courier New" w:cs="Courier New" w:eastAsia="Courier New" w:hAnsi="Courier New"/>
                <w:sz w:val="15"/>
                <w:szCs w:val="15"/>
                <w:color w:val="auto"/>
              </w:rPr>
              <w:t>ASSETS</w:t>
            </w: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2"/>
        </w:trPr>
        <w:tc>
          <w:tcPr>
            <w:tcW w:w="79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500" w:type="dxa"/>
            <w:vAlign w:val="bottom"/>
          </w:tcPr>
          <w:p>
            <w:pPr>
              <w:spacing w:after="0"/>
              <w:rPr>
                <w:sz w:val="24"/>
                <w:szCs w:val="24"/>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7940" w:type="dxa"/>
            <w:vAlign w:val="bottom"/>
          </w:tcPr>
          <w:p>
            <w:pPr>
              <w:spacing w:after="0"/>
              <w:rPr>
                <w:sz w:val="22"/>
                <w:szCs w:val="22"/>
                <w:color w:val="auto"/>
              </w:rPr>
            </w:pPr>
          </w:p>
        </w:tc>
        <w:tc>
          <w:tcPr>
            <w:tcW w:w="1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7940" w:type="dxa"/>
            <w:vAlign w:val="bottom"/>
          </w:tcPr>
          <w:p>
            <w:pPr>
              <w:spacing w:after="0"/>
              <w:rPr>
                <w:sz w:val="20"/>
                <w:szCs w:val="20"/>
                <w:color w:val="auto"/>
              </w:rPr>
            </w:pPr>
            <w:r>
              <w:rPr>
                <w:rFonts w:ascii="Courier New" w:cs="Courier New" w:eastAsia="Courier New" w:hAnsi="Courier New"/>
                <w:sz w:val="15"/>
                <w:szCs w:val="15"/>
                <w:color w:val="auto"/>
              </w:rPr>
              <w:t>Cash and due from banks.........................................................</w:t>
            </w: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18,549</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16,213</w:t>
            </w:r>
          </w:p>
        </w:tc>
        <w:tc>
          <w:tcPr>
            <w:tcW w:w="0" w:type="dxa"/>
            <w:vAlign w:val="bottom"/>
          </w:tcPr>
          <w:p>
            <w:pPr>
              <w:spacing w:after="0"/>
              <w:rPr>
                <w:sz w:val="1"/>
                <w:szCs w:val="1"/>
                <w:color w:val="auto"/>
              </w:rPr>
            </w:pP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Interest bearing deposits with banks............................................</w:t>
            </w:r>
          </w:p>
        </w:tc>
        <w:tc>
          <w:tcPr>
            <w:tcW w:w="10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Federal funds sold..............................................................</w:t>
            </w:r>
          </w:p>
        </w:tc>
        <w:tc>
          <w:tcPr>
            <w:tcW w:w="10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19,045</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6,485</w:t>
            </w:r>
          </w:p>
        </w:tc>
        <w:tc>
          <w:tcPr>
            <w:tcW w:w="0" w:type="dxa"/>
            <w:vAlign w:val="bottom"/>
          </w:tcPr>
          <w:p>
            <w:pPr>
              <w:spacing w:after="0"/>
              <w:rPr>
                <w:sz w:val="1"/>
                <w:szCs w:val="1"/>
                <w:color w:val="auto"/>
              </w:rPr>
            </w:pP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Investment securities at market.................................................</w:t>
            </w:r>
          </w:p>
        </w:tc>
        <w:tc>
          <w:tcPr>
            <w:tcW w:w="10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5"/>
              </w:rPr>
              <w:t>123,911</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92,050</w:t>
            </w:r>
          </w:p>
        </w:tc>
        <w:tc>
          <w:tcPr>
            <w:tcW w:w="0" w:type="dxa"/>
            <w:vAlign w:val="bottom"/>
          </w:tcPr>
          <w:p>
            <w:pPr>
              <w:spacing w:after="0"/>
              <w:rPr>
                <w:sz w:val="1"/>
                <w:szCs w:val="1"/>
                <w:color w:val="auto"/>
              </w:rPr>
            </w:pP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Loans, less allowance for loan losses of $5,850 for 1998 and $5,850 for</w:t>
            </w:r>
          </w:p>
        </w:tc>
        <w:tc>
          <w:tcPr>
            <w:tcW w:w="1060" w:type="dxa"/>
            <w:vAlign w:val="bottom"/>
          </w:tcPr>
          <w:p>
            <w:pPr>
              <w:spacing w:after="0"/>
              <w:rPr>
                <w:sz w:val="15"/>
                <w:szCs w:val="15"/>
                <w:color w:val="auto"/>
              </w:rPr>
            </w:pPr>
          </w:p>
        </w:tc>
        <w:tc>
          <w:tcPr>
            <w:tcW w:w="8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5"/>
              </w:rPr>
              <w:t>401,192</w:t>
            </w:r>
          </w:p>
        </w:tc>
        <w:tc>
          <w:tcPr>
            <w:tcW w:w="5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397,295</w:t>
            </w:r>
          </w:p>
        </w:tc>
        <w:tc>
          <w:tcPr>
            <w:tcW w:w="0" w:type="dxa"/>
            <w:vAlign w:val="bottom"/>
          </w:tcPr>
          <w:p>
            <w:pPr>
              <w:spacing w:after="0"/>
              <w:rPr>
                <w:sz w:val="1"/>
                <w:szCs w:val="1"/>
                <w:color w:val="auto"/>
              </w:rPr>
            </w:pPr>
          </w:p>
        </w:tc>
      </w:tr>
      <w:tr>
        <w:trPr>
          <w:trHeight w:val="175"/>
        </w:trPr>
        <w:tc>
          <w:tcPr>
            <w:tcW w:w="794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Loans held for resale...........................................................</w:t>
            </w:r>
          </w:p>
        </w:tc>
        <w:tc>
          <w:tcPr>
            <w:tcW w:w="10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6,013</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856</w:t>
            </w:r>
          </w:p>
        </w:tc>
        <w:tc>
          <w:tcPr>
            <w:tcW w:w="0" w:type="dxa"/>
            <w:vAlign w:val="bottom"/>
          </w:tcPr>
          <w:p>
            <w:pPr>
              <w:spacing w:after="0"/>
              <w:rPr>
                <w:sz w:val="1"/>
                <w:szCs w:val="1"/>
                <w:color w:val="auto"/>
              </w:rPr>
            </w:pP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Finance lease receivable........................................................</w:t>
            </w:r>
          </w:p>
        </w:tc>
        <w:tc>
          <w:tcPr>
            <w:tcW w:w="10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516</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492</w:t>
            </w:r>
          </w:p>
        </w:tc>
        <w:tc>
          <w:tcPr>
            <w:tcW w:w="0" w:type="dxa"/>
            <w:vAlign w:val="bottom"/>
          </w:tcPr>
          <w:p>
            <w:pPr>
              <w:spacing w:after="0"/>
              <w:rPr>
                <w:sz w:val="1"/>
                <w:szCs w:val="1"/>
                <w:color w:val="auto"/>
              </w:rPr>
            </w:pP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Bank premises and equipment - net...............................................</w:t>
            </w:r>
          </w:p>
        </w:tc>
        <w:tc>
          <w:tcPr>
            <w:tcW w:w="10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9,430</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7,665</w:t>
            </w:r>
          </w:p>
        </w:tc>
        <w:tc>
          <w:tcPr>
            <w:tcW w:w="0" w:type="dxa"/>
            <w:vAlign w:val="bottom"/>
          </w:tcPr>
          <w:p>
            <w:pPr>
              <w:spacing w:after="0"/>
              <w:rPr>
                <w:sz w:val="1"/>
                <w:szCs w:val="1"/>
                <w:color w:val="auto"/>
              </w:rPr>
            </w:pP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Accrued interest and other assets...............................................</w:t>
            </w:r>
          </w:p>
        </w:tc>
        <w:tc>
          <w:tcPr>
            <w:tcW w:w="10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6,904</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6,503</w:t>
            </w:r>
          </w:p>
        </w:tc>
        <w:tc>
          <w:tcPr>
            <w:tcW w:w="0" w:type="dxa"/>
            <w:vAlign w:val="bottom"/>
          </w:tcPr>
          <w:p>
            <w:pPr>
              <w:spacing w:after="0"/>
              <w:rPr>
                <w:sz w:val="1"/>
                <w:szCs w:val="1"/>
                <w:color w:val="auto"/>
              </w:rPr>
            </w:pP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Deferred income tax asset.......................................................</w:t>
            </w:r>
          </w:p>
        </w:tc>
        <w:tc>
          <w:tcPr>
            <w:tcW w:w="10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209</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614</w:t>
            </w:r>
          </w:p>
        </w:tc>
        <w:tc>
          <w:tcPr>
            <w:tcW w:w="0" w:type="dxa"/>
            <w:vAlign w:val="bottom"/>
          </w:tcPr>
          <w:p>
            <w:pPr>
              <w:spacing w:after="0"/>
              <w:rPr>
                <w:sz w:val="1"/>
                <w:szCs w:val="1"/>
                <w:color w:val="auto"/>
              </w:rPr>
            </w:pPr>
          </w:p>
        </w:tc>
      </w:tr>
      <w:tr>
        <w:trPr>
          <w:trHeight w:val="175"/>
        </w:trPr>
        <w:tc>
          <w:tcPr>
            <w:tcW w:w="794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vMerge w:val="restart"/>
          </w:tcPr>
          <w:p>
            <w:pPr>
              <w:ind w:left="500"/>
              <w:spacing w:after="0"/>
              <w:rPr>
                <w:sz w:val="20"/>
                <w:szCs w:val="20"/>
                <w:color w:val="auto"/>
              </w:rPr>
            </w:pPr>
            <w:r>
              <w:rPr>
                <w:rFonts w:ascii="Courier New" w:cs="Courier New" w:eastAsia="Courier New" w:hAnsi="Courier New"/>
                <w:sz w:val="14"/>
                <w:szCs w:val="14"/>
                <w:color w:val="auto"/>
                <w:w w:val="71"/>
                <w:vertAlign w:val="subscript"/>
              </w:rPr>
              <w:t>$</w:t>
            </w:r>
            <w:r>
              <w:rPr>
                <w:rFonts w:ascii="Courier New" w:cs="Courier New" w:eastAsia="Courier New" w:hAnsi="Courier New"/>
                <w:sz w:val="9"/>
                <w:szCs w:val="9"/>
                <w:color w:val="auto"/>
                <w:w w:val="71"/>
              </w:rPr>
              <w:t>-------------</w:t>
            </w:r>
          </w:p>
        </w:tc>
        <w:tc>
          <w:tcPr>
            <w:tcW w:w="8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5"/>
              </w:rPr>
              <w:t>585,869</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9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528,273</w:t>
            </w:r>
          </w:p>
        </w:tc>
        <w:tc>
          <w:tcPr>
            <w:tcW w:w="0" w:type="dxa"/>
            <w:vAlign w:val="bottom"/>
          </w:tcPr>
          <w:p>
            <w:pPr>
              <w:spacing w:after="0"/>
              <w:rPr>
                <w:sz w:val="1"/>
                <w:szCs w:val="1"/>
                <w:color w:val="auto"/>
              </w:rPr>
            </w:pPr>
          </w:p>
        </w:tc>
      </w:tr>
      <w:tr>
        <w:trPr>
          <w:trHeight w:val="256"/>
        </w:trPr>
        <w:tc>
          <w:tcPr>
            <w:tcW w:w="7940" w:type="dxa"/>
            <w:vAlign w:val="bottom"/>
            <w:vMerge w:val="restart"/>
          </w:tcPr>
          <w:p>
            <w:pPr>
              <w:ind w:left="4180"/>
              <w:spacing w:after="0"/>
              <w:rPr>
                <w:sz w:val="20"/>
                <w:szCs w:val="20"/>
                <w:color w:val="auto"/>
              </w:rPr>
            </w:pPr>
            <w:r>
              <w:rPr>
                <w:rFonts w:ascii="Courier New" w:cs="Courier New" w:eastAsia="Courier New" w:hAnsi="Courier New"/>
                <w:sz w:val="15"/>
                <w:szCs w:val="15"/>
                <w:color w:val="auto"/>
              </w:rPr>
              <w:t>LIABILITIES AND SHAREHOLDERS' EQUITY</w:t>
            </w:r>
          </w:p>
        </w:tc>
        <w:tc>
          <w:tcPr>
            <w:tcW w:w="1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79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40" w:type="dxa"/>
            <w:vAlign w:val="bottom"/>
          </w:tcPr>
          <w:p>
            <w:pPr>
              <w:ind w:left="360"/>
              <w:spacing w:after="0"/>
              <w:rPr>
                <w:sz w:val="20"/>
                <w:szCs w:val="20"/>
                <w:color w:val="auto"/>
              </w:rPr>
            </w:pPr>
            <w:r>
              <w:rPr>
                <w:rFonts w:ascii="Courier New" w:cs="Courier New" w:eastAsia="Courier New" w:hAnsi="Courier New"/>
                <w:sz w:val="15"/>
                <w:szCs w:val="15"/>
                <w:color w:val="auto"/>
              </w:rPr>
              <w:t>Deposits:</w:t>
            </w:r>
          </w:p>
        </w:tc>
        <w:tc>
          <w:tcPr>
            <w:tcW w:w="1060" w:type="dxa"/>
            <w:vAlign w:val="bottom"/>
            <w:vMerge w:val="restart"/>
          </w:tcPr>
          <w:p>
            <w:pPr>
              <w:ind w:left="500"/>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52,631</w:t>
            </w:r>
          </w:p>
        </w:tc>
        <w:tc>
          <w:tcPr>
            <w:tcW w:w="5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51,163</w:t>
            </w:r>
          </w:p>
        </w:tc>
        <w:tc>
          <w:tcPr>
            <w:tcW w:w="0" w:type="dxa"/>
            <w:vAlign w:val="bottom"/>
          </w:tcPr>
          <w:p>
            <w:pPr>
              <w:spacing w:after="0"/>
              <w:rPr>
                <w:sz w:val="1"/>
                <w:szCs w:val="1"/>
                <w:color w:val="auto"/>
              </w:rPr>
            </w:pPr>
          </w:p>
        </w:tc>
      </w:tr>
      <w:tr>
        <w:trPr>
          <w:trHeight w:val="175"/>
        </w:trPr>
        <w:tc>
          <w:tcPr>
            <w:tcW w:w="79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Demand...................................................................</w:t>
            </w:r>
          </w:p>
        </w:tc>
        <w:tc>
          <w:tcPr>
            <w:tcW w:w="10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NOW accounts.............................................................</w:t>
            </w:r>
          </w:p>
        </w:tc>
        <w:tc>
          <w:tcPr>
            <w:tcW w:w="10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43,775</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48,264</w:t>
            </w:r>
          </w:p>
        </w:tc>
        <w:tc>
          <w:tcPr>
            <w:tcW w:w="0" w:type="dxa"/>
            <w:vAlign w:val="bottom"/>
          </w:tcPr>
          <w:p>
            <w:pPr>
              <w:spacing w:after="0"/>
              <w:rPr>
                <w:sz w:val="1"/>
                <w:szCs w:val="1"/>
                <w:color w:val="auto"/>
              </w:rPr>
            </w:pPr>
          </w:p>
        </w:tc>
      </w:tr>
      <w:tr>
        <w:trPr>
          <w:trHeight w:val="175"/>
        </w:trPr>
        <w:tc>
          <w:tcPr>
            <w:tcW w:w="79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Savings..................................................................</w:t>
            </w:r>
          </w:p>
        </w:tc>
        <w:tc>
          <w:tcPr>
            <w:tcW w:w="10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5"/>
              </w:rPr>
              <w:t>117,501</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87,923</w:t>
            </w:r>
          </w:p>
        </w:tc>
        <w:tc>
          <w:tcPr>
            <w:tcW w:w="0" w:type="dxa"/>
            <w:vAlign w:val="bottom"/>
          </w:tcPr>
          <w:p>
            <w:pPr>
              <w:spacing w:after="0"/>
              <w:rPr>
                <w:sz w:val="1"/>
                <w:szCs w:val="1"/>
                <w:color w:val="auto"/>
              </w:rPr>
            </w:pPr>
          </w:p>
        </w:tc>
      </w:tr>
      <w:tr>
        <w:trPr>
          <w:trHeight w:val="175"/>
        </w:trPr>
        <w:tc>
          <w:tcPr>
            <w:tcW w:w="7940" w:type="dxa"/>
            <w:vAlign w:val="bottom"/>
          </w:tcPr>
          <w:p>
            <w:pPr>
              <w:ind w:left="620"/>
              <w:spacing w:after="0"/>
              <w:rPr>
                <w:sz w:val="20"/>
                <w:szCs w:val="20"/>
                <w:color w:val="auto"/>
              </w:rPr>
            </w:pPr>
            <w:r>
              <w:rPr>
                <w:rFonts w:ascii="Courier New" w:cs="Courier New" w:eastAsia="Courier New" w:hAnsi="Courier New"/>
                <w:sz w:val="15"/>
                <w:szCs w:val="15"/>
                <w:color w:val="auto"/>
              </w:rPr>
              <w:t>Time....................................................................</w:t>
            </w:r>
          </w:p>
        </w:tc>
        <w:tc>
          <w:tcPr>
            <w:tcW w:w="10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5"/>
              </w:rPr>
              <w:t>298,276</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273,948</w:t>
            </w:r>
          </w:p>
        </w:tc>
        <w:tc>
          <w:tcPr>
            <w:tcW w:w="0" w:type="dxa"/>
            <w:vAlign w:val="bottom"/>
          </w:tcPr>
          <w:p>
            <w:pPr>
              <w:spacing w:after="0"/>
              <w:rPr>
                <w:sz w:val="1"/>
                <w:szCs w:val="1"/>
                <w:color w:val="auto"/>
              </w:rPr>
            </w:pPr>
          </w:p>
        </w:tc>
      </w:tr>
      <w:tr>
        <w:trPr>
          <w:trHeight w:val="175"/>
        </w:trPr>
        <w:tc>
          <w:tcPr>
            <w:tcW w:w="7940" w:type="dxa"/>
            <w:vAlign w:val="bottom"/>
            <w:vMerge w:val="restart"/>
          </w:tcPr>
          <w:p>
            <w:pPr>
              <w:ind w:left="1620"/>
              <w:spacing w:after="0"/>
              <w:rPr>
                <w:sz w:val="20"/>
                <w:szCs w:val="20"/>
                <w:color w:val="auto"/>
              </w:rPr>
            </w:pPr>
            <w:r>
              <w:rPr>
                <w:rFonts w:ascii="Courier New" w:cs="Courier New" w:eastAsia="Courier New" w:hAnsi="Courier New"/>
                <w:sz w:val="15"/>
                <w:szCs w:val="15"/>
                <w:color w:val="auto"/>
              </w:rPr>
              <w:t>Total Deposits</w:t>
            </w:r>
          </w:p>
        </w:tc>
        <w:tc>
          <w:tcPr>
            <w:tcW w:w="1060" w:type="dxa"/>
            <w:vAlign w:val="bottom"/>
          </w:tcPr>
          <w:p>
            <w:pPr>
              <w:ind w:left="500"/>
              <w:spacing w:after="0"/>
              <w:rPr>
                <w:sz w:val="20"/>
                <w:szCs w:val="20"/>
                <w:color w:val="auto"/>
              </w:rPr>
            </w:pPr>
            <w:r>
              <w:rPr>
                <w:rFonts w:ascii="Courier New" w:cs="Courier New" w:eastAsia="Courier New" w:hAnsi="Courier New"/>
                <w:sz w:val="9"/>
                <w:szCs w:val="9"/>
                <w:color w:val="auto"/>
                <w:w w:val="76"/>
              </w:rPr>
              <w:t>-------------</w:t>
            </w:r>
          </w:p>
        </w:tc>
        <w:tc>
          <w:tcPr>
            <w:tcW w:w="8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5"/>
              </w:rPr>
              <w:t>512,183</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94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461,298</w:t>
            </w:r>
          </w:p>
        </w:tc>
        <w:tc>
          <w:tcPr>
            <w:tcW w:w="0" w:type="dxa"/>
            <w:vAlign w:val="bottom"/>
          </w:tcPr>
          <w:p>
            <w:pPr>
              <w:spacing w:after="0"/>
              <w:rPr>
                <w:sz w:val="1"/>
                <w:szCs w:val="1"/>
                <w:color w:val="auto"/>
              </w:rPr>
            </w:pP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Securities sold under agreement to repurchase...................................</w:t>
            </w:r>
          </w:p>
        </w:tc>
        <w:tc>
          <w:tcPr>
            <w:tcW w:w="10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2,916</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2,598</w:t>
            </w:r>
          </w:p>
        </w:tc>
        <w:tc>
          <w:tcPr>
            <w:tcW w:w="0" w:type="dxa"/>
            <w:vAlign w:val="bottom"/>
          </w:tcPr>
          <w:p>
            <w:pPr>
              <w:spacing w:after="0"/>
              <w:rPr>
                <w:sz w:val="1"/>
                <w:szCs w:val="1"/>
                <w:color w:val="auto"/>
              </w:rPr>
            </w:pP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Other borrowings................................................................</w:t>
            </w:r>
          </w:p>
        </w:tc>
        <w:tc>
          <w:tcPr>
            <w:tcW w:w="10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11,240</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11,292</w:t>
            </w:r>
          </w:p>
        </w:tc>
        <w:tc>
          <w:tcPr>
            <w:tcW w:w="0" w:type="dxa"/>
            <w:vAlign w:val="bottom"/>
          </w:tcPr>
          <w:p>
            <w:pPr>
              <w:spacing w:after="0"/>
              <w:rPr>
                <w:sz w:val="1"/>
                <w:szCs w:val="1"/>
                <w:color w:val="auto"/>
              </w:rPr>
            </w:pP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Dividend payable................................................................</w:t>
            </w:r>
          </w:p>
        </w:tc>
        <w:tc>
          <w:tcPr>
            <w:tcW w:w="10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650</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650</w:t>
            </w:r>
          </w:p>
        </w:tc>
        <w:tc>
          <w:tcPr>
            <w:tcW w:w="0" w:type="dxa"/>
            <w:vAlign w:val="bottom"/>
          </w:tcPr>
          <w:p>
            <w:pPr>
              <w:spacing w:after="0"/>
              <w:rPr>
                <w:sz w:val="1"/>
                <w:szCs w:val="1"/>
                <w:color w:val="auto"/>
              </w:rPr>
            </w:pP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Accrued interest and other liabilities.........................................</w:t>
            </w:r>
          </w:p>
        </w:tc>
        <w:tc>
          <w:tcPr>
            <w:tcW w:w="10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3,530</w:t>
            </w:r>
          </w:p>
        </w:tc>
        <w:tc>
          <w:tcPr>
            <w:tcW w:w="50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3,591</w:t>
            </w:r>
          </w:p>
        </w:tc>
        <w:tc>
          <w:tcPr>
            <w:tcW w:w="0" w:type="dxa"/>
            <w:vAlign w:val="bottom"/>
          </w:tcPr>
          <w:p>
            <w:pPr>
              <w:spacing w:after="0"/>
              <w:rPr>
                <w:sz w:val="1"/>
                <w:szCs w:val="1"/>
                <w:color w:val="auto"/>
              </w:rPr>
            </w:pPr>
          </w:p>
        </w:tc>
      </w:tr>
      <w:tr>
        <w:trPr>
          <w:trHeight w:val="175"/>
        </w:trPr>
        <w:tc>
          <w:tcPr>
            <w:tcW w:w="7940" w:type="dxa"/>
            <w:vAlign w:val="bottom"/>
            <w:vMerge w:val="restart"/>
          </w:tcPr>
          <w:p>
            <w:pPr>
              <w:ind w:left="1620"/>
              <w:spacing w:after="0"/>
              <w:rPr>
                <w:sz w:val="20"/>
                <w:szCs w:val="20"/>
                <w:color w:val="auto"/>
              </w:rPr>
            </w:pPr>
            <w:r>
              <w:rPr>
                <w:rFonts w:ascii="Courier New" w:cs="Courier New" w:eastAsia="Courier New" w:hAnsi="Courier New"/>
                <w:sz w:val="15"/>
                <w:szCs w:val="15"/>
                <w:color w:val="auto"/>
              </w:rPr>
              <w:t>Total Liabilities</w:t>
            </w:r>
          </w:p>
        </w:tc>
        <w:tc>
          <w:tcPr>
            <w:tcW w:w="1060" w:type="dxa"/>
            <w:vAlign w:val="bottom"/>
          </w:tcPr>
          <w:p>
            <w:pPr>
              <w:ind w:left="500"/>
              <w:spacing w:after="0"/>
              <w:rPr>
                <w:sz w:val="20"/>
                <w:szCs w:val="20"/>
                <w:color w:val="auto"/>
              </w:rPr>
            </w:pPr>
            <w:r>
              <w:rPr>
                <w:rFonts w:ascii="Courier New" w:cs="Courier New" w:eastAsia="Courier New" w:hAnsi="Courier New"/>
                <w:sz w:val="9"/>
                <w:szCs w:val="9"/>
                <w:color w:val="auto"/>
                <w:w w:val="76"/>
              </w:rPr>
              <w:t>-------------</w:t>
            </w:r>
          </w:p>
        </w:tc>
        <w:tc>
          <w:tcPr>
            <w:tcW w:w="8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5"/>
              </w:rPr>
              <w:t>530,519</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94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479,429</w:t>
            </w:r>
          </w:p>
        </w:tc>
        <w:tc>
          <w:tcPr>
            <w:tcW w:w="0" w:type="dxa"/>
            <w:vAlign w:val="bottom"/>
          </w:tcPr>
          <w:p>
            <w:pPr>
              <w:spacing w:after="0"/>
              <w:rPr>
                <w:sz w:val="1"/>
                <w:szCs w:val="1"/>
                <w:color w:val="auto"/>
              </w:rPr>
            </w:pPr>
          </w:p>
        </w:tc>
      </w:tr>
      <w:tr>
        <w:trPr>
          <w:trHeight w:val="256"/>
        </w:trPr>
        <w:tc>
          <w:tcPr>
            <w:tcW w:w="7940" w:type="dxa"/>
            <w:vAlign w:val="bottom"/>
            <w:vMerge w:val="restart"/>
          </w:tcPr>
          <w:p>
            <w:pPr>
              <w:spacing w:after="0"/>
              <w:rPr>
                <w:sz w:val="20"/>
                <w:szCs w:val="20"/>
                <w:color w:val="auto"/>
              </w:rPr>
            </w:pPr>
            <w:r>
              <w:rPr>
                <w:rFonts w:ascii="Courier New" w:cs="Courier New" w:eastAsia="Courier New" w:hAnsi="Courier New"/>
                <w:sz w:val="15"/>
                <w:szCs w:val="15"/>
                <w:color w:val="auto"/>
              </w:rPr>
              <w:t>SHAREHOLDERS' EQUITY:</w:t>
            </w:r>
          </w:p>
        </w:tc>
        <w:tc>
          <w:tcPr>
            <w:tcW w:w="1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79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7940" w:type="dxa"/>
            <w:vAlign w:val="bottom"/>
          </w:tcPr>
          <w:p>
            <w:pPr>
              <w:ind w:left="440"/>
              <w:spacing w:after="0"/>
              <w:rPr>
                <w:sz w:val="20"/>
                <w:szCs w:val="20"/>
                <w:color w:val="auto"/>
              </w:rPr>
            </w:pPr>
            <w:r>
              <w:rPr>
                <w:rFonts w:ascii="Courier New" w:cs="Courier New" w:eastAsia="Courier New" w:hAnsi="Courier New"/>
                <w:sz w:val="15"/>
                <w:szCs w:val="15"/>
                <w:color w:val="auto"/>
              </w:rPr>
              <w:t>Common stock, no par value - authorized 1,500,000 shares; issued</w:t>
            </w:r>
          </w:p>
        </w:tc>
        <w:tc>
          <w:tcPr>
            <w:tcW w:w="1060" w:type="dxa"/>
            <w:vAlign w:val="bottom"/>
          </w:tcPr>
          <w:p>
            <w:pPr>
              <w:spacing w:after="0"/>
              <w:rPr>
                <w:sz w:val="15"/>
                <w:szCs w:val="15"/>
                <w:color w:val="auto"/>
              </w:rPr>
            </w:pPr>
          </w:p>
        </w:tc>
        <w:tc>
          <w:tcPr>
            <w:tcW w:w="8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12,677</w:t>
            </w:r>
          </w:p>
        </w:tc>
        <w:tc>
          <w:tcPr>
            <w:tcW w:w="5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12,677</w:t>
            </w:r>
          </w:p>
        </w:tc>
        <w:tc>
          <w:tcPr>
            <w:tcW w:w="0" w:type="dxa"/>
            <w:vAlign w:val="bottom"/>
          </w:tcPr>
          <w:p>
            <w:pPr>
              <w:spacing w:after="0"/>
              <w:rPr>
                <w:sz w:val="1"/>
                <w:szCs w:val="1"/>
                <w:color w:val="auto"/>
              </w:rPr>
            </w:pPr>
          </w:p>
        </w:tc>
      </w:tr>
      <w:tr>
        <w:trPr>
          <w:trHeight w:val="175"/>
        </w:trPr>
        <w:tc>
          <w:tcPr>
            <w:tcW w:w="79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1,300,000 shares.........................................................</w:t>
            </w:r>
          </w:p>
        </w:tc>
        <w:tc>
          <w:tcPr>
            <w:tcW w:w="10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Undivided profits..........................................................</w:t>
            </w:r>
          </w:p>
        </w:tc>
        <w:tc>
          <w:tcPr>
            <w:tcW w:w="10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41,002</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35,165</w:t>
            </w:r>
          </w:p>
        </w:tc>
        <w:tc>
          <w:tcPr>
            <w:tcW w:w="0" w:type="dxa"/>
            <w:vAlign w:val="bottom"/>
          </w:tcPr>
          <w:p>
            <w:pPr>
              <w:spacing w:after="0"/>
              <w:rPr>
                <w:sz w:val="1"/>
                <w:szCs w:val="1"/>
                <w:color w:val="auto"/>
              </w:rPr>
            </w:pPr>
          </w:p>
        </w:tc>
      </w:tr>
      <w:tr>
        <w:trPr>
          <w:trHeight w:val="175"/>
        </w:trPr>
        <w:tc>
          <w:tcPr>
            <w:tcW w:w="7940" w:type="dxa"/>
            <w:vAlign w:val="bottom"/>
          </w:tcPr>
          <w:p>
            <w:pPr>
              <w:ind w:left="440"/>
              <w:spacing w:after="0"/>
              <w:rPr>
                <w:sz w:val="20"/>
                <w:szCs w:val="20"/>
                <w:color w:val="auto"/>
              </w:rPr>
            </w:pPr>
            <w:r>
              <w:rPr>
                <w:rFonts w:ascii="Courier New" w:cs="Courier New" w:eastAsia="Courier New" w:hAnsi="Courier New"/>
                <w:sz w:val="15"/>
                <w:szCs w:val="15"/>
                <w:color w:val="auto"/>
              </w:rPr>
              <w:t>Accumulated Other Comprehensive Income:</w:t>
            </w: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40" w:type="dxa"/>
            <w:vAlign w:val="bottom"/>
          </w:tcPr>
          <w:p>
            <w:pPr>
              <w:ind w:left="900"/>
              <w:spacing w:after="0"/>
              <w:rPr>
                <w:sz w:val="20"/>
                <w:szCs w:val="20"/>
                <w:color w:val="auto"/>
              </w:rPr>
            </w:pPr>
            <w:r>
              <w:rPr>
                <w:rFonts w:ascii="Courier New" w:cs="Courier New" w:eastAsia="Courier New" w:hAnsi="Courier New"/>
                <w:sz w:val="15"/>
                <w:szCs w:val="15"/>
                <w:color w:val="auto"/>
              </w:rPr>
              <w:t>Net unrealized gain on securities available for sale (net of tax</w:t>
            </w:r>
          </w:p>
        </w:tc>
        <w:tc>
          <w:tcPr>
            <w:tcW w:w="1060" w:type="dxa"/>
            <w:vAlign w:val="bottom"/>
          </w:tcPr>
          <w:p>
            <w:pPr>
              <w:spacing w:after="0"/>
              <w:rPr>
                <w:sz w:val="15"/>
                <w:szCs w:val="15"/>
                <w:color w:val="auto"/>
              </w:rPr>
            </w:pPr>
          </w:p>
        </w:tc>
        <w:tc>
          <w:tcPr>
            <w:tcW w:w="8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1,671</w:t>
            </w:r>
          </w:p>
        </w:tc>
        <w:tc>
          <w:tcPr>
            <w:tcW w:w="5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1,002</w:t>
            </w:r>
          </w:p>
        </w:tc>
        <w:tc>
          <w:tcPr>
            <w:tcW w:w="0" w:type="dxa"/>
            <w:vAlign w:val="bottom"/>
          </w:tcPr>
          <w:p>
            <w:pPr>
              <w:spacing w:after="0"/>
              <w:rPr>
                <w:sz w:val="1"/>
                <w:szCs w:val="1"/>
                <w:color w:val="auto"/>
              </w:rPr>
            </w:pPr>
          </w:p>
        </w:tc>
      </w:tr>
      <w:tr>
        <w:trPr>
          <w:trHeight w:val="175"/>
        </w:trPr>
        <w:tc>
          <w:tcPr>
            <w:tcW w:w="79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effect of $862 in 1998 and $515 in 1997)...........................</w:t>
            </w:r>
          </w:p>
        </w:tc>
        <w:tc>
          <w:tcPr>
            <w:tcW w:w="10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40" w:type="dxa"/>
            <w:vAlign w:val="bottom"/>
            <w:vMerge w:val="restart"/>
          </w:tcPr>
          <w:p>
            <w:pPr>
              <w:ind w:left="1620"/>
              <w:spacing w:after="0"/>
              <w:rPr>
                <w:sz w:val="20"/>
                <w:szCs w:val="20"/>
                <w:color w:val="auto"/>
              </w:rPr>
            </w:pPr>
            <w:r>
              <w:rPr>
                <w:rFonts w:ascii="Courier New" w:cs="Courier New" w:eastAsia="Courier New" w:hAnsi="Courier New"/>
                <w:sz w:val="15"/>
                <w:szCs w:val="15"/>
                <w:color w:val="auto"/>
              </w:rPr>
              <w:t>Total Shareholders' Equity</w:t>
            </w:r>
          </w:p>
        </w:tc>
        <w:tc>
          <w:tcPr>
            <w:tcW w:w="1060" w:type="dxa"/>
            <w:vAlign w:val="bottom"/>
          </w:tcPr>
          <w:p>
            <w:pPr>
              <w:ind w:left="500"/>
              <w:spacing w:after="0"/>
              <w:rPr>
                <w:sz w:val="20"/>
                <w:szCs w:val="20"/>
                <w:color w:val="auto"/>
              </w:rPr>
            </w:pPr>
            <w:r>
              <w:rPr>
                <w:rFonts w:ascii="Courier New" w:cs="Courier New" w:eastAsia="Courier New" w:hAnsi="Courier New"/>
                <w:sz w:val="9"/>
                <w:szCs w:val="9"/>
                <w:color w:val="auto"/>
                <w:w w:val="76"/>
              </w:rPr>
              <w:t>-------------</w:t>
            </w:r>
          </w:p>
        </w:tc>
        <w:tc>
          <w:tcPr>
            <w:tcW w:w="8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55,350</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94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48,844</w:t>
            </w:r>
          </w:p>
        </w:tc>
        <w:tc>
          <w:tcPr>
            <w:tcW w:w="0" w:type="dxa"/>
            <w:vAlign w:val="bottom"/>
          </w:tcPr>
          <w:p>
            <w:pPr>
              <w:spacing w:after="0"/>
              <w:rPr>
                <w:sz w:val="1"/>
                <w:szCs w:val="1"/>
                <w:color w:val="auto"/>
              </w:rPr>
            </w:pPr>
          </w:p>
        </w:tc>
      </w:tr>
      <w:tr>
        <w:trPr>
          <w:trHeight w:val="175"/>
        </w:trPr>
        <w:tc>
          <w:tcPr>
            <w:tcW w:w="7940" w:type="dxa"/>
            <w:vAlign w:val="bottom"/>
            <w:vMerge w:val="restart"/>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060" w:type="dxa"/>
            <w:vAlign w:val="bottom"/>
            <w:vMerge w:val="restart"/>
          </w:tcPr>
          <w:p>
            <w:pPr>
              <w:ind w:left="500"/>
              <w:spacing w:after="0"/>
              <w:rPr>
                <w:sz w:val="20"/>
                <w:szCs w:val="20"/>
                <w:color w:val="auto"/>
              </w:rPr>
            </w:pPr>
            <w:r>
              <w:rPr>
                <w:rFonts w:ascii="Courier New" w:cs="Courier New" w:eastAsia="Courier New" w:hAnsi="Courier New"/>
                <w:sz w:val="14"/>
                <w:szCs w:val="14"/>
                <w:color w:val="auto"/>
                <w:w w:val="71"/>
                <w:vertAlign w:val="subscript"/>
              </w:rPr>
              <w:t>$</w:t>
            </w:r>
            <w:r>
              <w:rPr>
                <w:rFonts w:ascii="Courier New" w:cs="Courier New" w:eastAsia="Courier New" w:hAnsi="Courier New"/>
                <w:sz w:val="9"/>
                <w:szCs w:val="9"/>
                <w:color w:val="auto"/>
                <w:w w:val="71"/>
              </w:rPr>
              <w:t>-------------</w:t>
            </w:r>
          </w:p>
        </w:tc>
        <w:tc>
          <w:tcPr>
            <w:tcW w:w="8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5"/>
              </w:rPr>
              <w:t>585,869</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9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528,273</w:t>
            </w:r>
          </w:p>
        </w:tc>
        <w:tc>
          <w:tcPr>
            <w:tcW w:w="0" w:type="dxa"/>
            <w:vAlign w:val="bottom"/>
          </w:tcPr>
          <w:p>
            <w:pPr>
              <w:spacing w:after="0"/>
              <w:rPr>
                <w:sz w:val="1"/>
                <w:szCs w:val="1"/>
                <w:color w:val="auto"/>
              </w:rPr>
            </w:pPr>
          </w:p>
        </w:tc>
      </w:tr>
      <w:tr>
        <w:trPr>
          <w:trHeight w:val="256"/>
        </w:trPr>
        <w:tc>
          <w:tcPr>
            <w:tcW w:w="7940" w:type="dxa"/>
            <w:vAlign w:val="bottom"/>
          </w:tcPr>
          <w:p>
            <w:pPr>
              <w:spacing w:after="0"/>
              <w:rPr>
                <w:sz w:val="22"/>
                <w:szCs w:val="22"/>
                <w:color w:val="auto"/>
              </w:rPr>
            </w:pPr>
          </w:p>
        </w:tc>
        <w:tc>
          <w:tcPr>
            <w:tcW w:w="1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180"/>
          </w:cols>
          <w:pgMar w:left="240" w:top="265" w:right="4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56"/>
        </w:trPr>
        <w:tc>
          <w:tcPr>
            <w:tcW w:w="6400" w:type="dxa"/>
            <w:vAlign w:val="bottom"/>
          </w:tcPr>
          <w:p>
            <w:pPr>
              <w:jc w:val="right"/>
              <w:ind w:right="5884"/>
              <w:spacing w:after="0"/>
              <w:rPr>
                <w:sz w:val="20"/>
                <w:szCs w:val="20"/>
                <w:color w:val="auto"/>
              </w:rPr>
            </w:pPr>
            <w:r>
              <w:rPr>
                <w:rFonts w:ascii="Courier New" w:cs="Courier New" w:eastAsia="Courier New" w:hAnsi="Courier New"/>
                <w:sz w:val="15"/>
                <w:szCs w:val="15"/>
                <w:color w:val="auto"/>
              </w:rPr>
              <w:t>34</w:t>
            </w:r>
          </w:p>
        </w:tc>
        <w:tc>
          <w:tcPr>
            <w:tcW w:w="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6400" w:type="dxa"/>
            <w:vAlign w:val="bottom"/>
          </w:tcPr>
          <w:p>
            <w:pPr>
              <w:jc w:val="right"/>
              <w:ind w:right="1144"/>
              <w:spacing w:after="0"/>
              <w:rPr>
                <w:sz w:val="20"/>
                <w:szCs w:val="20"/>
                <w:color w:val="auto"/>
              </w:rPr>
            </w:pPr>
            <w:r>
              <w:rPr>
                <w:rFonts w:ascii="Courier New" w:cs="Courier New" w:eastAsia="Courier New" w:hAnsi="Courier New"/>
                <w:sz w:val="15"/>
                <w:szCs w:val="15"/>
                <w:color w:val="auto"/>
              </w:rPr>
              <w:t>FARMERS &amp; MERCHANTS BANCORP, INC.</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400" w:type="dxa"/>
            <w:vAlign w:val="bottom"/>
          </w:tcPr>
          <w:p>
            <w:pPr>
              <w:jc w:val="right"/>
              <w:ind w:right="1144"/>
              <w:spacing w:after="0"/>
              <w:rPr>
                <w:sz w:val="20"/>
                <w:szCs w:val="20"/>
                <w:color w:val="auto"/>
              </w:rPr>
            </w:pPr>
            <w:r>
              <w:rPr>
                <w:rFonts w:ascii="Courier New" w:cs="Courier New" w:eastAsia="Courier New" w:hAnsi="Courier New"/>
                <w:sz w:val="15"/>
                <w:szCs w:val="15"/>
                <w:color w:val="auto"/>
              </w:rPr>
              <w:t>Consolidated Statements of Income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for the years ended December 31, 1998, 1997 and 1996</w:t>
            </w:r>
          </w:p>
        </w:tc>
        <w:tc>
          <w:tcPr>
            <w:tcW w:w="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6400" w:type="dxa"/>
            <w:vAlign w:val="bottom"/>
          </w:tcPr>
          <w:p>
            <w:pPr>
              <w:spacing w:after="0"/>
              <w:rPr>
                <w:sz w:val="20"/>
                <w:szCs w:val="20"/>
                <w:color w:val="auto"/>
              </w:rPr>
            </w:pPr>
            <w:r>
              <w:rPr>
                <w:rFonts w:ascii="Courier New" w:cs="Courier New" w:eastAsia="Courier New" w:hAnsi="Courier New"/>
                <w:sz w:val="15"/>
                <w:szCs w:val="15"/>
                <w:color w:val="auto"/>
              </w:rPr>
              <w:t>(In thousands except for per share amounts)</w:t>
            </w:r>
          </w:p>
        </w:tc>
        <w:tc>
          <w:tcPr>
            <w:tcW w:w="780" w:type="dxa"/>
            <w:vAlign w:val="bottom"/>
          </w:tcPr>
          <w:p>
            <w:pPr>
              <w:spacing w:after="0"/>
              <w:rPr>
                <w:sz w:val="24"/>
                <w:szCs w:val="24"/>
                <w:color w:val="auto"/>
              </w:rPr>
            </w:pPr>
          </w:p>
        </w:tc>
        <w:tc>
          <w:tcPr>
            <w:tcW w:w="104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1998</w:t>
            </w:r>
          </w:p>
        </w:tc>
        <w:tc>
          <w:tcPr>
            <w:tcW w:w="460" w:type="dxa"/>
            <w:vAlign w:val="bottom"/>
          </w:tcPr>
          <w:p>
            <w:pPr>
              <w:spacing w:after="0"/>
              <w:rPr>
                <w:sz w:val="24"/>
                <w:szCs w:val="24"/>
                <w:color w:val="auto"/>
              </w:rPr>
            </w:pPr>
          </w:p>
        </w:tc>
        <w:tc>
          <w:tcPr>
            <w:tcW w:w="118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24"/>
                <w:szCs w:val="24"/>
                <w:color w:val="auto"/>
              </w:rPr>
            </w:pPr>
          </w:p>
        </w:tc>
        <w:tc>
          <w:tcPr>
            <w:tcW w:w="104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5"/>
        </w:trPr>
        <w:tc>
          <w:tcPr>
            <w:tcW w:w="64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7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00" w:type="dxa"/>
            <w:vAlign w:val="bottom"/>
          </w:tcPr>
          <w:p>
            <w:pPr>
              <w:spacing w:after="0"/>
              <w:rPr>
                <w:sz w:val="22"/>
                <w:szCs w:val="22"/>
                <w:color w:val="auto"/>
              </w:rPr>
            </w:pPr>
          </w:p>
        </w:tc>
        <w:tc>
          <w:tcPr>
            <w:tcW w:w="18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Interest and fees on loans...............................</w:t>
            </w:r>
          </w:p>
        </w:tc>
        <w:tc>
          <w:tcPr>
            <w:tcW w:w="7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36,296</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34,229</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32,339</w:t>
            </w:r>
          </w:p>
        </w:tc>
        <w:tc>
          <w:tcPr>
            <w:tcW w:w="0" w:type="dxa"/>
            <w:vAlign w:val="bottom"/>
          </w:tcPr>
          <w:p>
            <w:pPr>
              <w:spacing w:after="0"/>
              <w:rPr>
                <w:sz w:val="1"/>
                <w:szCs w:val="1"/>
                <w:color w:val="auto"/>
              </w:rPr>
            </w:pPr>
          </w:p>
        </w:tc>
      </w:tr>
      <w:tr>
        <w:trPr>
          <w:trHeight w:val="175"/>
        </w:trPr>
        <w:tc>
          <w:tcPr>
            <w:tcW w:w="6400" w:type="dxa"/>
            <w:vAlign w:val="bottom"/>
          </w:tcPr>
          <w:p>
            <w:pPr>
              <w:ind w:left="440"/>
              <w:spacing w:after="0"/>
              <w:rPr>
                <w:sz w:val="20"/>
                <w:szCs w:val="20"/>
                <w:color w:val="auto"/>
              </w:rPr>
            </w:pPr>
            <w:r>
              <w:rPr>
                <w:rFonts w:ascii="Courier New" w:cs="Courier New" w:eastAsia="Courier New" w:hAnsi="Courier New"/>
                <w:sz w:val="15"/>
                <w:szCs w:val="15"/>
                <w:color w:val="auto"/>
              </w:rPr>
              <w:t>Interest on Investment Securities:</w:t>
            </w:r>
          </w:p>
        </w:tc>
        <w:tc>
          <w:tcPr>
            <w:tcW w:w="780" w:type="dxa"/>
            <w:vAlign w:val="bottom"/>
          </w:tcPr>
          <w:p>
            <w:pPr>
              <w:spacing w:after="0"/>
              <w:rPr>
                <w:sz w:val="15"/>
                <w:szCs w:val="15"/>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1,216</w:t>
            </w:r>
          </w:p>
        </w:tc>
        <w:tc>
          <w:tcPr>
            <w:tcW w:w="460" w:type="dxa"/>
            <w:vAlign w:val="bottom"/>
          </w:tcPr>
          <w:p>
            <w:pPr>
              <w:spacing w:after="0"/>
              <w:rPr>
                <w:sz w:val="15"/>
                <w:szCs w:val="15"/>
                <w:color w:val="auto"/>
              </w:rPr>
            </w:pPr>
          </w:p>
        </w:tc>
        <w:tc>
          <w:tcPr>
            <w:tcW w:w="11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1,507</w:t>
            </w:r>
          </w:p>
        </w:tc>
        <w:tc>
          <w:tcPr>
            <w:tcW w:w="360" w:type="dxa"/>
            <w:vAlign w:val="bottom"/>
          </w:tcPr>
          <w:p>
            <w:pPr>
              <w:spacing w:after="0"/>
              <w:rPr>
                <w:sz w:val="15"/>
                <w:szCs w:val="15"/>
                <w:color w:val="auto"/>
              </w:rPr>
            </w:pP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1,493</w:t>
            </w: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U. S. Treasury securities............................</w:t>
            </w:r>
          </w:p>
        </w:tc>
        <w:tc>
          <w:tcPr>
            <w:tcW w:w="7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Securities of U. S. Government agencies..............</w:t>
            </w:r>
          </w:p>
        </w:tc>
        <w:tc>
          <w:tcPr>
            <w:tcW w:w="7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2,211</w:t>
            </w: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2,045</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2,095</w:t>
            </w: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Obligations of states and political subdivisions.....</w:t>
            </w:r>
          </w:p>
        </w:tc>
        <w:tc>
          <w:tcPr>
            <w:tcW w:w="7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1,473</w:t>
            </w: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1,234</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1,220</w:t>
            </w: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Obligations of domestic corporations.................</w:t>
            </w:r>
          </w:p>
        </w:tc>
        <w:tc>
          <w:tcPr>
            <w:tcW w:w="7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822</w:t>
            </w: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719</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707</w:t>
            </w: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Interest on federal funds................................</w:t>
            </w:r>
          </w:p>
        </w:tc>
        <w:tc>
          <w:tcPr>
            <w:tcW w:w="7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648</w:t>
            </w: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211</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357</w:t>
            </w: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Interest on deposits in banks............................</w:t>
            </w:r>
          </w:p>
        </w:tc>
        <w:tc>
          <w:tcPr>
            <w:tcW w:w="7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w:t>
            </w: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Dividends................................................</w:t>
            </w:r>
          </w:p>
        </w:tc>
        <w:tc>
          <w:tcPr>
            <w:tcW w:w="7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178</w:t>
            </w: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166</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w:t>
            </w: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Lease finance revenues...................................</w:t>
            </w:r>
          </w:p>
        </w:tc>
        <w:tc>
          <w:tcPr>
            <w:tcW w:w="7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w:t>
            </w: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42</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5"/>
        </w:trPr>
        <w:tc>
          <w:tcPr>
            <w:tcW w:w="6400" w:type="dxa"/>
            <w:vAlign w:val="bottom"/>
            <w:vMerge w:val="restart"/>
          </w:tcPr>
          <w:p>
            <w:pPr>
              <w:ind w:left="1620"/>
              <w:spacing w:after="0"/>
              <w:rPr>
                <w:sz w:val="20"/>
                <w:szCs w:val="20"/>
                <w:color w:val="auto"/>
              </w:rPr>
            </w:pPr>
            <w:r>
              <w:rPr>
                <w:rFonts w:ascii="Courier New" w:cs="Courier New" w:eastAsia="Courier New" w:hAnsi="Courier New"/>
                <w:sz w:val="15"/>
                <w:szCs w:val="15"/>
                <w:color w:val="auto"/>
              </w:rPr>
              <w:t>Total Interest Income</w:t>
            </w:r>
          </w:p>
        </w:tc>
        <w:tc>
          <w:tcPr>
            <w:tcW w:w="780" w:type="dxa"/>
            <w:vAlign w:val="bottom"/>
          </w:tcPr>
          <w:p>
            <w:pPr>
              <w:ind w:left="400"/>
              <w:spacing w:after="0"/>
              <w:rPr>
                <w:sz w:val="20"/>
                <w:szCs w:val="20"/>
                <w:color w:val="auto"/>
              </w:rPr>
            </w:pPr>
            <w:r>
              <w:rPr>
                <w:rFonts w:ascii="Courier New" w:cs="Courier New" w:eastAsia="Courier New" w:hAnsi="Courier New"/>
                <w:sz w:val="6"/>
                <w:szCs w:val="6"/>
                <w:color w:val="auto"/>
                <w:w w:val="76"/>
              </w:rPr>
              <w:t>-------------</w:t>
            </w: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42,888</w:t>
            </w:r>
          </w:p>
        </w:tc>
        <w:tc>
          <w:tcPr>
            <w:tcW w:w="16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40,158</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38,382</w:t>
            </w:r>
          </w:p>
        </w:tc>
        <w:tc>
          <w:tcPr>
            <w:tcW w:w="0" w:type="dxa"/>
            <w:vAlign w:val="bottom"/>
          </w:tcPr>
          <w:p>
            <w:pPr>
              <w:spacing w:after="0"/>
              <w:rPr>
                <w:sz w:val="1"/>
                <w:szCs w:val="1"/>
                <w:color w:val="auto"/>
              </w:rPr>
            </w:pPr>
          </w:p>
        </w:tc>
      </w:tr>
      <w:tr>
        <w:trPr>
          <w:trHeight w:val="256"/>
        </w:trPr>
        <w:tc>
          <w:tcPr>
            <w:tcW w:w="640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EXPENSE:</w:t>
            </w:r>
          </w:p>
        </w:tc>
        <w:tc>
          <w:tcPr>
            <w:tcW w:w="18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4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21,182</w:t>
            </w:r>
          </w:p>
        </w:tc>
        <w:tc>
          <w:tcPr>
            <w:tcW w:w="460" w:type="dxa"/>
            <w:vAlign w:val="bottom"/>
          </w:tcPr>
          <w:p>
            <w:pPr>
              <w:spacing w:after="0"/>
              <w:rPr>
                <w:sz w:val="8"/>
                <w:szCs w:val="8"/>
                <w:color w:val="auto"/>
              </w:rPr>
            </w:pPr>
          </w:p>
        </w:tc>
        <w:tc>
          <w:tcPr>
            <w:tcW w:w="11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20,276</w:t>
            </w:r>
          </w:p>
        </w:tc>
        <w:tc>
          <w:tcPr>
            <w:tcW w:w="360" w:type="dxa"/>
            <w:vAlign w:val="bottom"/>
          </w:tcPr>
          <w:p>
            <w:pPr>
              <w:spacing w:after="0"/>
              <w:rPr>
                <w:sz w:val="8"/>
                <w:szCs w:val="8"/>
                <w:color w:val="auto"/>
              </w:rPr>
            </w:pP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19,943</w:t>
            </w: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Interest on deposits.....................................</w:t>
            </w:r>
          </w:p>
        </w:tc>
        <w:tc>
          <w:tcPr>
            <w:tcW w:w="7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Interest on borrowed funds...............................</w:t>
            </w:r>
          </w:p>
        </w:tc>
        <w:tc>
          <w:tcPr>
            <w:tcW w:w="7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903</w:t>
            </w: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863</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962</w:t>
            </w:r>
          </w:p>
        </w:tc>
        <w:tc>
          <w:tcPr>
            <w:tcW w:w="0" w:type="dxa"/>
            <w:vAlign w:val="bottom"/>
          </w:tcPr>
          <w:p>
            <w:pPr>
              <w:spacing w:after="0"/>
              <w:rPr>
                <w:sz w:val="1"/>
                <w:szCs w:val="1"/>
                <w:color w:val="auto"/>
              </w:rPr>
            </w:pPr>
          </w:p>
        </w:tc>
      </w:tr>
      <w:tr>
        <w:trPr>
          <w:trHeight w:val="175"/>
        </w:trPr>
        <w:tc>
          <w:tcPr>
            <w:tcW w:w="6400" w:type="dxa"/>
            <w:vAlign w:val="bottom"/>
            <w:vMerge w:val="restart"/>
          </w:tcPr>
          <w:p>
            <w:pPr>
              <w:ind w:left="1620"/>
              <w:spacing w:after="0"/>
              <w:rPr>
                <w:sz w:val="20"/>
                <w:szCs w:val="20"/>
                <w:color w:val="auto"/>
              </w:rPr>
            </w:pPr>
            <w:r>
              <w:rPr>
                <w:rFonts w:ascii="Courier New" w:cs="Courier New" w:eastAsia="Courier New" w:hAnsi="Courier New"/>
                <w:sz w:val="15"/>
                <w:szCs w:val="15"/>
                <w:color w:val="auto"/>
              </w:rPr>
              <w:t>Total Interest Expense</w:t>
            </w:r>
          </w:p>
        </w:tc>
        <w:tc>
          <w:tcPr>
            <w:tcW w:w="780" w:type="dxa"/>
            <w:vAlign w:val="bottom"/>
          </w:tcPr>
          <w:p>
            <w:pPr>
              <w:ind w:left="400"/>
              <w:spacing w:after="0"/>
              <w:rPr>
                <w:sz w:val="20"/>
                <w:szCs w:val="20"/>
                <w:color w:val="auto"/>
              </w:rPr>
            </w:pPr>
            <w:r>
              <w:rPr>
                <w:rFonts w:ascii="Courier New" w:cs="Courier New" w:eastAsia="Courier New" w:hAnsi="Courier New"/>
                <w:sz w:val="6"/>
                <w:szCs w:val="6"/>
                <w:color w:val="auto"/>
                <w:w w:val="76"/>
              </w:rPr>
              <w:t>-------------</w:t>
            </w: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22,085</w:t>
            </w:r>
          </w:p>
        </w:tc>
        <w:tc>
          <w:tcPr>
            <w:tcW w:w="16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21,139</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20,905</w:t>
            </w:r>
          </w:p>
        </w:tc>
        <w:tc>
          <w:tcPr>
            <w:tcW w:w="0" w:type="dxa"/>
            <w:vAlign w:val="bottom"/>
          </w:tcPr>
          <w:p>
            <w:pPr>
              <w:spacing w:after="0"/>
              <w:rPr>
                <w:sz w:val="1"/>
                <w:szCs w:val="1"/>
                <w:color w:val="auto"/>
              </w:rPr>
            </w:pPr>
          </w:p>
        </w:tc>
      </w:tr>
      <w:tr>
        <w:trPr>
          <w:trHeight w:val="175"/>
        </w:trPr>
        <w:tc>
          <w:tcPr>
            <w:tcW w:w="6400" w:type="dxa"/>
            <w:vAlign w:val="bottom"/>
            <w:vMerge w:val="restart"/>
          </w:tcPr>
          <w:p>
            <w:pPr>
              <w:ind w:left="1620"/>
              <w:spacing w:after="0"/>
              <w:rPr>
                <w:sz w:val="20"/>
                <w:szCs w:val="20"/>
                <w:color w:val="auto"/>
              </w:rPr>
            </w:pPr>
            <w:r>
              <w:rPr>
                <w:rFonts w:ascii="Courier New" w:cs="Courier New" w:eastAsia="Courier New" w:hAnsi="Courier New"/>
                <w:sz w:val="15"/>
                <w:szCs w:val="15"/>
                <w:color w:val="auto"/>
              </w:rPr>
              <w:t>Net Interest Income</w:t>
            </w:r>
          </w:p>
        </w:tc>
        <w:tc>
          <w:tcPr>
            <w:tcW w:w="780" w:type="dxa"/>
            <w:vAlign w:val="bottom"/>
          </w:tcPr>
          <w:p>
            <w:pPr>
              <w:ind w:left="400"/>
              <w:spacing w:after="0"/>
              <w:rPr>
                <w:sz w:val="20"/>
                <w:szCs w:val="20"/>
                <w:color w:val="auto"/>
              </w:rPr>
            </w:pPr>
            <w:r>
              <w:rPr>
                <w:rFonts w:ascii="Courier New" w:cs="Courier New" w:eastAsia="Courier New" w:hAnsi="Courier New"/>
                <w:sz w:val="6"/>
                <w:szCs w:val="6"/>
                <w:color w:val="auto"/>
                <w:w w:val="76"/>
              </w:rPr>
              <w:t>-------------</w:t>
            </w: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20,803</w:t>
            </w:r>
          </w:p>
        </w:tc>
        <w:tc>
          <w:tcPr>
            <w:tcW w:w="16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19,019</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17,477</w:t>
            </w:r>
          </w:p>
        </w:tc>
        <w:tc>
          <w:tcPr>
            <w:tcW w:w="0" w:type="dxa"/>
            <w:vAlign w:val="bottom"/>
          </w:tcPr>
          <w:p>
            <w:pPr>
              <w:spacing w:after="0"/>
              <w:rPr>
                <w:sz w:val="1"/>
                <w:szCs w:val="1"/>
                <w:color w:val="auto"/>
              </w:rPr>
            </w:pPr>
          </w:p>
        </w:tc>
      </w:tr>
      <w:tr>
        <w:trPr>
          <w:trHeight w:val="175"/>
        </w:trPr>
        <w:tc>
          <w:tcPr>
            <w:tcW w:w="6400" w:type="dxa"/>
            <w:vAlign w:val="bottom"/>
          </w:tcPr>
          <w:p>
            <w:pPr>
              <w:spacing w:after="0"/>
              <w:rPr>
                <w:sz w:val="20"/>
                <w:szCs w:val="20"/>
                <w:color w:val="auto"/>
              </w:rPr>
            </w:pPr>
            <w:r>
              <w:rPr>
                <w:rFonts w:ascii="Courier New" w:cs="Courier New" w:eastAsia="Courier New" w:hAnsi="Courier New"/>
                <w:sz w:val="15"/>
                <w:szCs w:val="15"/>
                <w:color w:val="auto"/>
              </w:rPr>
              <w:t>PROVISION FOR LOAN LOSSES........................................</w:t>
            </w:r>
          </w:p>
        </w:tc>
        <w:tc>
          <w:tcPr>
            <w:tcW w:w="7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892</w:t>
            </w: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1,111</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1,068</w:t>
            </w:r>
          </w:p>
        </w:tc>
        <w:tc>
          <w:tcPr>
            <w:tcW w:w="0" w:type="dxa"/>
            <w:vAlign w:val="bottom"/>
          </w:tcPr>
          <w:p>
            <w:pPr>
              <w:spacing w:after="0"/>
              <w:rPr>
                <w:sz w:val="1"/>
                <w:szCs w:val="1"/>
                <w:color w:val="auto"/>
              </w:rPr>
            </w:pPr>
          </w:p>
        </w:tc>
      </w:tr>
      <w:tr>
        <w:trPr>
          <w:trHeight w:val="256"/>
        </w:trPr>
        <w:tc>
          <w:tcPr>
            <w:tcW w:w="6400" w:type="dxa"/>
            <w:vAlign w:val="bottom"/>
            <w:vMerge w:val="restart"/>
          </w:tcPr>
          <w:p>
            <w:pPr>
              <w:ind w:left="1620"/>
              <w:spacing w:after="0"/>
              <w:rPr>
                <w:sz w:val="20"/>
                <w:szCs w:val="20"/>
                <w:color w:val="auto"/>
              </w:rPr>
            </w:pPr>
            <w:r>
              <w:rPr>
                <w:rFonts w:ascii="Courier New" w:cs="Courier New" w:eastAsia="Courier New" w:hAnsi="Courier New"/>
                <w:sz w:val="15"/>
                <w:szCs w:val="15"/>
                <w:color w:val="auto"/>
              </w:rPr>
              <w:t>Net Interest Income After Provision for</w:t>
            </w:r>
          </w:p>
        </w:tc>
        <w:tc>
          <w:tcPr>
            <w:tcW w:w="18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4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19,911</w:t>
            </w:r>
          </w:p>
        </w:tc>
        <w:tc>
          <w:tcPr>
            <w:tcW w:w="460" w:type="dxa"/>
            <w:vAlign w:val="bottom"/>
          </w:tcPr>
          <w:p>
            <w:pPr>
              <w:spacing w:after="0"/>
              <w:rPr>
                <w:sz w:val="8"/>
                <w:szCs w:val="8"/>
                <w:color w:val="auto"/>
              </w:rPr>
            </w:pPr>
          </w:p>
        </w:tc>
        <w:tc>
          <w:tcPr>
            <w:tcW w:w="11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17,908</w:t>
            </w:r>
          </w:p>
        </w:tc>
        <w:tc>
          <w:tcPr>
            <w:tcW w:w="360" w:type="dxa"/>
            <w:vAlign w:val="bottom"/>
          </w:tcPr>
          <w:p>
            <w:pPr>
              <w:spacing w:after="0"/>
              <w:rPr>
                <w:sz w:val="8"/>
                <w:szCs w:val="8"/>
                <w:color w:val="auto"/>
              </w:rPr>
            </w:pP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16,409</w:t>
            </w:r>
          </w:p>
        </w:tc>
        <w:tc>
          <w:tcPr>
            <w:tcW w:w="0" w:type="dxa"/>
            <w:vAlign w:val="bottom"/>
          </w:tcPr>
          <w:p>
            <w:pPr>
              <w:spacing w:after="0"/>
              <w:rPr>
                <w:sz w:val="1"/>
                <w:szCs w:val="1"/>
                <w:color w:val="auto"/>
              </w:rPr>
            </w:pPr>
          </w:p>
        </w:tc>
      </w:tr>
      <w:tr>
        <w:trPr>
          <w:trHeight w:val="175"/>
        </w:trPr>
        <w:tc>
          <w:tcPr>
            <w:tcW w:w="6400" w:type="dxa"/>
            <w:vAlign w:val="bottom"/>
          </w:tcPr>
          <w:p>
            <w:pPr>
              <w:jc w:val="right"/>
              <w:ind w:right="3504"/>
              <w:spacing w:after="0"/>
              <w:rPr>
                <w:sz w:val="20"/>
                <w:szCs w:val="20"/>
                <w:color w:val="auto"/>
              </w:rPr>
            </w:pPr>
            <w:r>
              <w:rPr>
                <w:rFonts w:ascii="Courier New" w:cs="Courier New" w:eastAsia="Courier New" w:hAnsi="Courier New"/>
                <w:sz w:val="15"/>
                <w:szCs w:val="15"/>
                <w:color w:val="auto"/>
              </w:rPr>
              <w:t>Loan Losses</w:t>
            </w:r>
          </w:p>
        </w:tc>
        <w:tc>
          <w:tcPr>
            <w:tcW w:w="7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00" w:type="dxa"/>
            <w:vAlign w:val="bottom"/>
            <w:vMerge w:val="restart"/>
          </w:tcPr>
          <w:p>
            <w:pPr>
              <w:spacing w:after="0"/>
              <w:rPr>
                <w:sz w:val="20"/>
                <w:szCs w:val="20"/>
                <w:color w:val="auto"/>
              </w:rPr>
            </w:pPr>
            <w:r>
              <w:rPr>
                <w:rFonts w:ascii="Courier New" w:cs="Courier New" w:eastAsia="Courier New" w:hAnsi="Courier New"/>
                <w:sz w:val="15"/>
                <w:szCs w:val="15"/>
                <w:color w:val="auto"/>
              </w:rPr>
              <w:t>OTHER INCOME:</w:t>
            </w:r>
          </w:p>
        </w:tc>
        <w:tc>
          <w:tcPr>
            <w:tcW w:w="18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4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1,320</w:t>
            </w:r>
          </w:p>
        </w:tc>
        <w:tc>
          <w:tcPr>
            <w:tcW w:w="460" w:type="dxa"/>
            <w:vAlign w:val="bottom"/>
          </w:tcPr>
          <w:p>
            <w:pPr>
              <w:spacing w:after="0"/>
              <w:rPr>
                <w:sz w:val="8"/>
                <w:szCs w:val="8"/>
                <w:color w:val="auto"/>
              </w:rPr>
            </w:pPr>
          </w:p>
        </w:tc>
        <w:tc>
          <w:tcPr>
            <w:tcW w:w="11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1,152</w:t>
            </w:r>
          </w:p>
        </w:tc>
        <w:tc>
          <w:tcPr>
            <w:tcW w:w="360" w:type="dxa"/>
            <w:vAlign w:val="bottom"/>
          </w:tcPr>
          <w:p>
            <w:pPr>
              <w:spacing w:after="0"/>
              <w:rPr>
                <w:sz w:val="8"/>
                <w:szCs w:val="8"/>
                <w:color w:val="auto"/>
              </w:rPr>
            </w:pP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1,097</w:t>
            </w: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Service charges on deposit accounts......................</w:t>
            </w:r>
          </w:p>
        </w:tc>
        <w:tc>
          <w:tcPr>
            <w:tcW w:w="7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Other service charges and fees...........................</w:t>
            </w:r>
          </w:p>
        </w:tc>
        <w:tc>
          <w:tcPr>
            <w:tcW w:w="7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2,706</w:t>
            </w: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1,787</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1,275</w:t>
            </w: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Net securities gains.....................................</w:t>
            </w:r>
          </w:p>
        </w:tc>
        <w:tc>
          <w:tcPr>
            <w:tcW w:w="7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5"/>
        </w:trPr>
        <w:tc>
          <w:tcPr>
            <w:tcW w:w="6400" w:type="dxa"/>
            <w:vAlign w:val="bottom"/>
            <w:vMerge w:val="restart"/>
          </w:tcPr>
          <w:p>
            <w:pPr>
              <w:ind w:left="1440"/>
              <w:spacing w:after="0"/>
              <w:rPr>
                <w:sz w:val="20"/>
                <w:szCs w:val="20"/>
                <w:color w:val="auto"/>
              </w:rPr>
            </w:pPr>
            <w:r>
              <w:rPr>
                <w:rFonts w:ascii="Courier New" w:cs="Courier New" w:eastAsia="Courier New" w:hAnsi="Courier New"/>
                <w:sz w:val="15"/>
                <w:szCs w:val="15"/>
                <w:color w:val="auto"/>
              </w:rPr>
              <w:t>Total Other Income</w:t>
            </w:r>
          </w:p>
        </w:tc>
        <w:tc>
          <w:tcPr>
            <w:tcW w:w="780" w:type="dxa"/>
            <w:vAlign w:val="bottom"/>
          </w:tcPr>
          <w:p>
            <w:pPr>
              <w:ind w:left="400"/>
              <w:spacing w:after="0"/>
              <w:rPr>
                <w:sz w:val="20"/>
                <w:szCs w:val="20"/>
                <w:color w:val="auto"/>
              </w:rPr>
            </w:pPr>
            <w:r>
              <w:rPr>
                <w:rFonts w:ascii="Courier New" w:cs="Courier New" w:eastAsia="Courier New" w:hAnsi="Courier New"/>
                <w:sz w:val="6"/>
                <w:szCs w:val="6"/>
                <w:color w:val="auto"/>
                <w:w w:val="76"/>
              </w:rPr>
              <w:t>-------------</w:t>
            </w: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4,026</w:t>
            </w:r>
          </w:p>
        </w:tc>
        <w:tc>
          <w:tcPr>
            <w:tcW w:w="16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2,935</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2,377</w:t>
            </w:r>
          </w:p>
        </w:tc>
        <w:tc>
          <w:tcPr>
            <w:tcW w:w="0" w:type="dxa"/>
            <w:vAlign w:val="bottom"/>
          </w:tcPr>
          <w:p>
            <w:pPr>
              <w:spacing w:after="0"/>
              <w:rPr>
                <w:sz w:val="1"/>
                <w:szCs w:val="1"/>
                <w:color w:val="auto"/>
              </w:rPr>
            </w:pPr>
          </w:p>
        </w:tc>
      </w:tr>
      <w:tr>
        <w:trPr>
          <w:trHeight w:val="256"/>
        </w:trPr>
        <w:tc>
          <w:tcPr>
            <w:tcW w:w="6400" w:type="dxa"/>
            <w:vAlign w:val="bottom"/>
            <w:vMerge w:val="restart"/>
          </w:tcPr>
          <w:p>
            <w:pPr>
              <w:spacing w:after="0"/>
              <w:rPr>
                <w:sz w:val="20"/>
                <w:szCs w:val="20"/>
                <w:color w:val="auto"/>
              </w:rPr>
            </w:pPr>
            <w:r>
              <w:rPr>
                <w:rFonts w:ascii="Courier New" w:cs="Courier New" w:eastAsia="Courier New" w:hAnsi="Courier New"/>
                <w:sz w:val="15"/>
                <w:szCs w:val="15"/>
                <w:color w:val="auto"/>
              </w:rPr>
              <w:t>OTHER EXPENSES:</w:t>
            </w:r>
          </w:p>
        </w:tc>
        <w:tc>
          <w:tcPr>
            <w:tcW w:w="18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4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5,438</w:t>
            </w:r>
          </w:p>
        </w:tc>
        <w:tc>
          <w:tcPr>
            <w:tcW w:w="460" w:type="dxa"/>
            <w:vAlign w:val="bottom"/>
          </w:tcPr>
          <w:p>
            <w:pPr>
              <w:spacing w:after="0"/>
              <w:rPr>
                <w:sz w:val="8"/>
                <w:szCs w:val="8"/>
                <w:color w:val="auto"/>
              </w:rPr>
            </w:pPr>
          </w:p>
        </w:tc>
        <w:tc>
          <w:tcPr>
            <w:tcW w:w="11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4,404</w:t>
            </w:r>
          </w:p>
        </w:tc>
        <w:tc>
          <w:tcPr>
            <w:tcW w:w="360" w:type="dxa"/>
            <w:vAlign w:val="bottom"/>
          </w:tcPr>
          <w:p>
            <w:pPr>
              <w:spacing w:after="0"/>
              <w:rPr>
                <w:sz w:val="8"/>
                <w:szCs w:val="8"/>
                <w:color w:val="auto"/>
              </w:rPr>
            </w:pP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4,849</w:t>
            </w: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Salaries and wages.......................................</w:t>
            </w:r>
          </w:p>
        </w:tc>
        <w:tc>
          <w:tcPr>
            <w:tcW w:w="7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Pension and other employee benefits......................</w:t>
            </w:r>
          </w:p>
        </w:tc>
        <w:tc>
          <w:tcPr>
            <w:tcW w:w="7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1,394</w:t>
            </w: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1,206</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1,172</w:t>
            </w: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Occupancy expense (net)..................................</w:t>
            </w:r>
          </w:p>
        </w:tc>
        <w:tc>
          <w:tcPr>
            <w:tcW w:w="7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510</w:t>
            </w: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481</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498</w:t>
            </w: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Furniture and equipment expense..........................</w:t>
            </w:r>
          </w:p>
        </w:tc>
        <w:tc>
          <w:tcPr>
            <w:tcW w:w="7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981</w:t>
            </w: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722</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788</w:t>
            </w: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Other operating expenses.................................</w:t>
            </w:r>
          </w:p>
        </w:tc>
        <w:tc>
          <w:tcPr>
            <w:tcW w:w="7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4,544</w:t>
            </w: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4,218</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3,684</w:t>
            </w:r>
          </w:p>
        </w:tc>
        <w:tc>
          <w:tcPr>
            <w:tcW w:w="0" w:type="dxa"/>
            <w:vAlign w:val="bottom"/>
          </w:tcPr>
          <w:p>
            <w:pPr>
              <w:spacing w:after="0"/>
              <w:rPr>
                <w:sz w:val="1"/>
                <w:szCs w:val="1"/>
                <w:color w:val="auto"/>
              </w:rPr>
            </w:pPr>
          </w:p>
        </w:tc>
      </w:tr>
      <w:tr>
        <w:trPr>
          <w:trHeight w:val="175"/>
        </w:trPr>
        <w:tc>
          <w:tcPr>
            <w:tcW w:w="6400" w:type="dxa"/>
            <w:vAlign w:val="bottom"/>
            <w:vMerge w:val="restart"/>
          </w:tcPr>
          <w:p>
            <w:pPr>
              <w:ind w:left="1440"/>
              <w:spacing w:after="0"/>
              <w:rPr>
                <w:sz w:val="20"/>
                <w:szCs w:val="20"/>
                <w:color w:val="auto"/>
              </w:rPr>
            </w:pPr>
            <w:r>
              <w:rPr>
                <w:rFonts w:ascii="Courier New" w:cs="Courier New" w:eastAsia="Courier New" w:hAnsi="Courier New"/>
                <w:sz w:val="15"/>
                <w:szCs w:val="15"/>
                <w:color w:val="auto"/>
              </w:rPr>
              <w:t>Total Other Expenses</w:t>
            </w:r>
          </w:p>
        </w:tc>
        <w:tc>
          <w:tcPr>
            <w:tcW w:w="780" w:type="dxa"/>
            <w:vAlign w:val="bottom"/>
          </w:tcPr>
          <w:p>
            <w:pPr>
              <w:ind w:left="400"/>
              <w:spacing w:after="0"/>
              <w:rPr>
                <w:sz w:val="20"/>
                <w:szCs w:val="20"/>
                <w:color w:val="auto"/>
              </w:rPr>
            </w:pPr>
            <w:r>
              <w:rPr>
                <w:rFonts w:ascii="Courier New" w:cs="Courier New" w:eastAsia="Courier New" w:hAnsi="Courier New"/>
                <w:sz w:val="6"/>
                <w:szCs w:val="6"/>
                <w:color w:val="auto"/>
                <w:w w:val="76"/>
              </w:rPr>
              <w:t>-------------</w:t>
            </w: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12,867</w:t>
            </w:r>
          </w:p>
        </w:tc>
        <w:tc>
          <w:tcPr>
            <w:tcW w:w="16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11,031</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10,991</w:t>
            </w:r>
          </w:p>
        </w:tc>
        <w:tc>
          <w:tcPr>
            <w:tcW w:w="0" w:type="dxa"/>
            <w:vAlign w:val="bottom"/>
          </w:tcPr>
          <w:p>
            <w:pPr>
              <w:spacing w:after="0"/>
              <w:rPr>
                <w:sz w:val="1"/>
                <w:szCs w:val="1"/>
                <w:color w:val="auto"/>
              </w:rPr>
            </w:pPr>
          </w:p>
        </w:tc>
      </w:tr>
      <w:tr>
        <w:trPr>
          <w:trHeight w:val="175"/>
        </w:trPr>
        <w:tc>
          <w:tcPr>
            <w:tcW w:w="640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w:t>
            </w:r>
          </w:p>
        </w:tc>
        <w:tc>
          <w:tcPr>
            <w:tcW w:w="780" w:type="dxa"/>
            <w:vAlign w:val="bottom"/>
          </w:tcPr>
          <w:p>
            <w:pPr>
              <w:ind w:left="400"/>
              <w:spacing w:after="0"/>
              <w:rPr>
                <w:sz w:val="20"/>
                <w:szCs w:val="20"/>
                <w:color w:val="auto"/>
              </w:rPr>
            </w:pPr>
            <w:r>
              <w:rPr>
                <w:rFonts w:ascii="Courier New" w:cs="Courier New" w:eastAsia="Courier New" w:hAnsi="Courier New"/>
                <w:sz w:val="6"/>
                <w:szCs w:val="6"/>
                <w:color w:val="auto"/>
                <w:w w:val="76"/>
              </w:rPr>
              <w:t>-------------</w:t>
            </w: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11,070</w:t>
            </w:r>
          </w:p>
        </w:tc>
        <w:tc>
          <w:tcPr>
            <w:tcW w:w="16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9,812</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7,795</w:t>
            </w: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INCOME TAXES..................................................</w:t>
            </w:r>
          </w:p>
        </w:tc>
        <w:tc>
          <w:tcPr>
            <w:tcW w:w="7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3,413</w:t>
            </w: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3,035</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2,312</w:t>
            </w:r>
          </w:p>
        </w:tc>
        <w:tc>
          <w:tcPr>
            <w:tcW w:w="0" w:type="dxa"/>
            <w:vAlign w:val="bottom"/>
          </w:tcPr>
          <w:p>
            <w:pPr>
              <w:spacing w:after="0"/>
              <w:rPr>
                <w:sz w:val="1"/>
                <w:szCs w:val="1"/>
                <w:color w:val="auto"/>
              </w:rPr>
            </w:pPr>
          </w:p>
        </w:tc>
      </w:tr>
      <w:tr>
        <w:trPr>
          <w:trHeight w:val="175"/>
        </w:trPr>
        <w:tc>
          <w:tcPr>
            <w:tcW w:w="64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780" w:type="dxa"/>
            <w:vAlign w:val="bottom"/>
          </w:tcPr>
          <w:p>
            <w:pPr>
              <w:ind w:left="400"/>
              <w:spacing w:after="0"/>
              <w:rPr>
                <w:sz w:val="20"/>
                <w:szCs w:val="20"/>
                <w:color w:val="auto"/>
              </w:rPr>
            </w:pPr>
            <w:r>
              <w:rPr>
                <w:rFonts w:ascii="Courier New" w:cs="Courier New" w:eastAsia="Courier New" w:hAnsi="Courier New"/>
                <w:sz w:val="6"/>
                <w:szCs w:val="6"/>
                <w:color w:val="auto"/>
                <w:w w:val="76"/>
              </w:rPr>
              <w:t>-------------</w:t>
            </w: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7,657</w:t>
            </w:r>
          </w:p>
        </w:tc>
        <w:tc>
          <w:tcPr>
            <w:tcW w:w="16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6,777</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5,483</w:t>
            </w:r>
          </w:p>
        </w:tc>
        <w:tc>
          <w:tcPr>
            <w:tcW w:w="0" w:type="dxa"/>
            <w:vAlign w:val="bottom"/>
          </w:tcPr>
          <w:p>
            <w:pPr>
              <w:spacing w:after="0"/>
              <w:rPr>
                <w:sz w:val="1"/>
                <w:szCs w:val="1"/>
                <w:color w:val="auto"/>
              </w:rPr>
            </w:pPr>
          </w:p>
        </w:tc>
      </w:tr>
      <w:tr>
        <w:trPr>
          <w:trHeight w:val="175"/>
        </w:trPr>
        <w:tc>
          <w:tcPr>
            <w:tcW w:w="640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tcPr>
          <w:p>
            <w:pPr>
              <w:ind w:left="440"/>
              <w:spacing w:after="0"/>
              <w:rPr>
                <w:sz w:val="20"/>
                <w:szCs w:val="20"/>
                <w:color w:val="auto"/>
              </w:rPr>
            </w:pPr>
            <w:r>
              <w:rPr>
                <w:rFonts w:ascii="Courier New" w:cs="Courier New" w:eastAsia="Courier New" w:hAnsi="Courier New"/>
                <w:sz w:val="15"/>
                <w:szCs w:val="15"/>
                <w:color w:val="auto"/>
              </w:rPr>
              <w:t>Unrealized gain (loss) on investment securities (net of</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tcPr>
          <w:p>
            <w:pPr>
              <w:jc w:val="right"/>
              <w:ind w:right="1324"/>
              <w:spacing w:after="0"/>
              <w:rPr>
                <w:sz w:val="20"/>
                <w:szCs w:val="20"/>
                <w:color w:val="auto"/>
              </w:rPr>
            </w:pPr>
            <w:r>
              <w:rPr>
                <w:rFonts w:ascii="Courier New" w:cs="Courier New" w:eastAsia="Courier New" w:hAnsi="Courier New"/>
                <w:sz w:val="15"/>
                <w:szCs w:val="15"/>
                <w:color w:val="auto"/>
              </w:rPr>
              <w:t>taxes of 345, $157 and ($115) for 1998, 1997 and</w:t>
            </w:r>
          </w:p>
        </w:tc>
        <w:tc>
          <w:tcPr>
            <w:tcW w:w="780" w:type="dxa"/>
            <w:vAlign w:val="bottom"/>
          </w:tcPr>
          <w:p>
            <w:pPr>
              <w:spacing w:after="0"/>
              <w:rPr>
                <w:sz w:val="15"/>
                <w:szCs w:val="15"/>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669</w:t>
            </w:r>
          </w:p>
        </w:tc>
        <w:tc>
          <w:tcPr>
            <w:tcW w:w="460" w:type="dxa"/>
            <w:vAlign w:val="bottom"/>
          </w:tcPr>
          <w:p>
            <w:pPr>
              <w:spacing w:after="0"/>
              <w:rPr>
                <w:sz w:val="15"/>
                <w:szCs w:val="15"/>
                <w:color w:val="auto"/>
              </w:rPr>
            </w:pPr>
          </w:p>
        </w:tc>
        <w:tc>
          <w:tcPr>
            <w:tcW w:w="11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311</w:t>
            </w: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(228)</w:t>
            </w:r>
          </w:p>
        </w:tc>
        <w:tc>
          <w:tcPr>
            <w:tcW w:w="0" w:type="dxa"/>
            <w:vAlign w:val="bottom"/>
          </w:tcPr>
          <w:p>
            <w:pPr>
              <w:spacing w:after="0"/>
              <w:rPr>
                <w:sz w:val="1"/>
                <w:szCs w:val="1"/>
                <w:color w:val="auto"/>
              </w:rPr>
            </w:pPr>
          </w:p>
        </w:tc>
      </w:tr>
      <w:tr>
        <w:trPr>
          <w:trHeight w:val="175"/>
        </w:trPr>
        <w:tc>
          <w:tcPr>
            <w:tcW w:w="64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1996, respectively)....................................</w:t>
            </w:r>
          </w:p>
        </w:tc>
        <w:tc>
          <w:tcPr>
            <w:tcW w:w="7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vMerge w:val="restart"/>
          </w:tcPr>
          <w:p>
            <w:pPr>
              <w:spacing w:after="0"/>
              <w:rPr>
                <w:sz w:val="20"/>
                <w:szCs w:val="20"/>
                <w:color w:val="auto"/>
              </w:rPr>
            </w:pPr>
            <w:r>
              <w:rPr>
                <w:rFonts w:ascii="Courier New" w:cs="Courier New" w:eastAsia="Courier New" w:hAnsi="Courier New"/>
                <w:sz w:val="15"/>
                <w:szCs w:val="15"/>
                <w:color w:val="auto"/>
              </w:rPr>
              <w:t>COMPREHENSIVE INCOME</w:t>
            </w:r>
          </w:p>
        </w:tc>
        <w:tc>
          <w:tcPr>
            <w:tcW w:w="780" w:type="dxa"/>
            <w:vAlign w:val="bottom"/>
            <w:vMerge w:val="restart"/>
          </w:tcPr>
          <w:p>
            <w:pPr>
              <w:ind w:left="40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8,326</w:t>
            </w:r>
          </w:p>
        </w:tc>
        <w:tc>
          <w:tcPr>
            <w:tcW w:w="16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7,088</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5,255</w:t>
            </w:r>
          </w:p>
        </w:tc>
        <w:tc>
          <w:tcPr>
            <w:tcW w:w="0" w:type="dxa"/>
            <w:vAlign w:val="bottom"/>
          </w:tcPr>
          <w:p>
            <w:pPr>
              <w:spacing w:after="0"/>
              <w:rPr>
                <w:sz w:val="1"/>
                <w:szCs w:val="1"/>
                <w:color w:val="auto"/>
              </w:rPr>
            </w:pPr>
          </w:p>
        </w:tc>
      </w:tr>
      <w:tr>
        <w:trPr>
          <w:trHeight w:val="175"/>
        </w:trPr>
        <w:tc>
          <w:tcPr>
            <w:tcW w:w="6400" w:type="dxa"/>
            <w:vAlign w:val="bottom"/>
            <w:vMerge w:val="restart"/>
          </w:tcPr>
          <w:p>
            <w:pPr>
              <w:spacing w:after="0"/>
              <w:rPr>
                <w:sz w:val="20"/>
                <w:szCs w:val="20"/>
                <w:color w:val="auto"/>
              </w:rPr>
            </w:pPr>
            <w:r>
              <w:rPr>
                <w:rFonts w:ascii="Courier New" w:cs="Courier New" w:eastAsia="Courier New" w:hAnsi="Courier New"/>
                <w:sz w:val="15"/>
                <w:szCs w:val="15"/>
                <w:color w:val="auto"/>
              </w:rPr>
              <w:t>NET OPERATING INCOME PER SHARE</w:t>
            </w:r>
          </w:p>
        </w:tc>
        <w:tc>
          <w:tcPr>
            <w:tcW w:w="18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7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5.89</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5.22</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4.22</w:t>
            </w:r>
          </w:p>
        </w:tc>
        <w:tc>
          <w:tcPr>
            <w:tcW w:w="0" w:type="dxa"/>
            <w:vAlign w:val="bottom"/>
          </w:tcPr>
          <w:p>
            <w:pPr>
              <w:spacing w:after="0"/>
              <w:rPr>
                <w:sz w:val="1"/>
                <w:szCs w:val="1"/>
                <w:color w:val="auto"/>
              </w:rPr>
            </w:pPr>
          </w:p>
        </w:tc>
      </w:tr>
      <w:tr>
        <w:trPr>
          <w:trHeight w:val="175"/>
        </w:trPr>
        <w:tc>
          <w:tcPr>
            <w:tcW w:w="6400" w:type="dxa"/>
            <w:vAlign w:val="bottom"/>
            <w:vMerge w:val="restart"/>
          </w:tcPr>
          <w:p>
            <w:pPr>
              <w:spacing w:after="0"/>
              <w:rPr>
                <w:sz w:val="20"/>
                <w:szCs w:val="20"/>
                <w:color w:val="auto"/>
              </w:rPr>
            </w:pPr>
            <w:r>
              <w:rPr>
                <w:rFonts w:ascii="Courier New" w:cs="Courier New" w:eastAsia="Courier New" w:hAnsi="Courier New"/>
                <w:sz w:val="15"/>
                <w:szCs w:val="15"/>
                <w:color w:val="auto"/>
              </w:rPr>
              <w:t>COMPREHENSIVE INCOME PER SHARE</w:t>
            </w:r>
          </w:p>
        </w:tc>
        <w:tc>
          <w:tcPr>
            <w:tcW w:w="18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7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6.40</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5.45</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4.04</w:t>
            </w:r>
          </w:p>
        </w:tc>
        <w:tc>
          <w:tcPr>
            <w:tcW w:w="0" w:type="dxa"/>
            <w:vAlign w:val="bottom"/>
          </w:tcPr>
          <w:p>
            <w:pPr>
              <w:spacing w:after="0"/>
              <w:rPr>
                <w:sz w:val="1"/>
                <w:szCs w:val="1"/>
                <w:color w:val="auto"/>
              </w:rPr>
            </w:pPr>
          </w:p>
        </w:tc>
      </w:tr>
      <w:tr>
        <w:trPr>
          <w:trHeight w:val="175"/>
        </w:trPr>
        <w:tc>
          <w:tcPr>
            <w:tcW w:w="640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8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7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1,300,000</w:t>
            </w:r>
          </w:p>
        </w:tc>
        <w:tc>
          <w:tcPr>
            <w:tcW w:w="46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1,300,000</w:t>
            </w:r>
          </w:p>
        </w:tc>
        <w:tc>
          <w:tcPr>
            <w:tcW w:w="36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1,300,000</w:t>
            </w:r>
          </w:p>
        </w:tc>
        <w:tc>
          <w:tcPr>
            <w:tcW w:w="0" w:type="dxa"/>
            <w:vAlign w:val="bottom"/>
          </w:tcPr>
          <w:p>
            <w:pPr>
              <w:spacing w:after="0"/>
              <w:rPr>
                <w:sz w:val="1"/>
                <w:szCs w:val="1"/>
                <w:color w:val="auto"/>
              </w:rPr>
            </w:pPr>
          </w:p>
        </w:tc>
      </w:tr>
      <w:tr>
        <w:trPr>
          <w:trHeight w:val="256"/>
        </w:trPr>
        <w:tc>
          <w:tcPr>
            <w:tcW w:w="6400" w:type="dxa"/>
            <w:vAlign w:val="bottom"/>
          </w:tcPr>
          <w:p>
            <w:pPr>
              <w:spacing w:after="0"/>
              <w:rPr>
                <w:sz w:val="22"/>
                <w:szCs w:val="22"/>
                <w:color w:val="auto"/>
              </w:rPr>
            </w:pPr>
          </w:p>
        </w:tc>
        <w:tc>
          <w:tcPr>
            <w:tcW w:w="18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ectPr>
          <w:pgSz w:w="11900" w:h="16838" w:orient="portrait"/>
          <w:cols w:equalWidth="0" w:num="1">
            <w:col w:w="11260"/>
          </w:cols>
          <w:pgMar w:left="240" w:top="26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260"/>
          </w:cols>
          <w:pgMar w:left="240" w:top="265" w:right="39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56"/>
        </w:trPr>
        <w:tc>
          <w:tcPr>
            <w:tcW w:w="6220" w:type="dxa"/>
            <w:vAlign w:val="bottom"/>
          </w:tcPr>
          <w:p>
            <w:pPr>
              <w:jc w:val="right"/>
              <w:ind w:right="5704"/>
              <w:spacing w:after="0"/>
              <w:rPr>
                <w:sz w:val="20"/>
                <w:szCs w:val="20"/>
                <w:color w:val="auto"/>
              </w:rPr>
            </w:pPr>
            <w:r>
              <w:rPr>
                <w:rFonts w:ascii="Courier New" w:cs="Courier New" w:eastAsia="Courier New" w:hAnsi="Courier New"/>
                <w:sz w:val="15"/>
                <w:szCs w:val="15"/>
                <w:color w:val="auto"/>
              </w:rPr>
              <w:t>35</w:t>
            </w: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6220" w:type="dxa"/>
            <w:vAlign w:val="bottom"/>
          </w:tcPr>
          <w:p>
            <w:pPr>
              <w:ind w:left="2180"/>
              <w:spacing w:after="0"/>
              <w:rPr>
                <w:sz w:val="20"/>
                <w:szCs w:val="20"/>
                <w:color w:val="auto"/>
              </w:rPr>
            </w:pPr>
            <w:r>
              <w:rPr>
                <w:rFonts w:ascii="Courier New" w:cs="Courier New" w:eastAsia="Courier New" w:hAnsi="Courier New"/>
                <w:sz w:val="15"/>
                <w:szCs w:val="15"/>
                <w:color w:val="auto"/>
              </w:rPr>
              <w:t>FARMERS &amp; MERCHANTS BANCORP, INC.</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220" w:type="dxa"/>
            <w:vAlign w:val="bottom"/>
          </w:tcPr>
          <w:p>
            <w:pPr>
              <w:ind w:left="2000"/>
              <w:spacing w:after="0"/>
              <w:rPr>
                <w:sz w:val="20"/>
                <w:szCs w:val="20"/>
                <w:color w:val="auto"/>
              </w:rPr>
            </w:pPr>
            <w:r>
              <w:rPr>
                <w:rFonts w:ascii="Courier New" w:cs="Courier New" w:eastAsia="Courier New" w:hAnsi="Courier New"/>
                <w:sz w:val="15"/>
                <w:szCs w:val="15"/>
                <w:color w:val="auto"/>
              </w:rPr>
              <w:t>Consolidated Statements of Changes in</w:t>
            </w:r>
          </w:p>
        </w:tc>
        <w:tc>
          <w:tcPr>
            <w:tcW w:w="10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6220" w:type="dxa"/>
            <w:vAlign w:val="bottom"/>
          </w:tcPr>
          <w:p>
            <w:pPr>
              <w:ind w:left="1820"/>
              <w:spacing w:after="0"/>
              <w:rPr>
                <w:sz w:val="20"/>
                <w:szCs w:val="20"/>
                <w:color w:val="auto"/>
              </w:rPr>
            </w:pPr>
            <w:r>
              <w:rPr>
                <w:rFonts w:ascii="Courier New" w:cs="Courier New" w:eastAsia="Courier New" w:hAnsi="Courier New"/>
                <w:sz w:val="15"/>
                <w:szCs w:val="15"/>
                <w:color w:val="auto"/>
              </w:rPr>
              <w:t>Shareholders' Equity for the years ended</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220" w:type="dxa"/>
            <w:vAlign w:val="bottom"/>
          </w:tcPr>
          <w:p>
            <w:pPr>
              <w:ind w:left="2180"/>
              <w:spacing w:after="0"/>
              <w:rPr>
                <w:sz w:val="20"/>
                <w:szCs w:val="20"/>
                <w:color w:val="auto"/>
              </w:rPr>
            </w:pPr>
            <w:r>
              <w:rPr>
                <w:rFonts w:ascii="Courier New" w:cs="Courier New" w:eastAsia="Courier New" w:hAnsi="Courier New"/>
                <w:sz w:val="15"/>
                <w:szCs w:val="15"/>
                <w:color w:val="auto"/>
              </w:rPr>
              <w:t>December 31, 1998, 1997 and 1996</w:t>
            </w: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6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Accumulated</w:t>
            </w:r>
          </w:p>
        </w:tc>
        <w:tc>
          <w:tcPr>
            <w:tcW w:w="0" w:type="dxa"/>
            <w:vAlign w:val="bottom"/>
          </w:tcPr>
          <w:p>
            <w:pPr>
              <w:spacing w:after="0"/>
              <w:rPr>
                <w:sz w:val="1"/>
                <w:szCs w:val="1"/>
                <w:color w:val="auto"/>
              </w:rPr>
            </w:pPr>
          </w:p>
        </w:tc>
      </w:tr>
      <w:tr>
        <w:trPr>
          <w:trHeight w:val="175"/>
        </w:trPr>
        <w:tc>
          <w:tcPr>
            <w:tcW w:w="6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vMerge w:val="restart"/>
          </w:tcPr>
          <w:p>
            <w:pPr>
              <w:spacing w:after="0"/>
              <w:rPr>
                <w:sz w:val="20"/>
                <w:szCs w:val="20"/>
                <w:color w:val="auto"/>
              </w:rPr>
            </w:pPr>
            <w:r>
              <w:rPr>
                <w:rFonts w:ascii="Courier New" w:cs="Courier New" w:eastAsia="Courier New" w:hAnsi="Courier New"/>
                <w:sz w:val="15"/>
                <w:szCs w:val="15"/>
                <w:color w:val="auto"/>
              </w:rPr>
              <w:t>Common</w:t>
            </w:r>
          </w:p>
        </w:tc>
        <w:tc>
          <w:tcPr>
            <w:tcW w:w="400" w:type="dxa"/>
            <w:vAlign w:val="bottom"/>
          </w:tcPr>
          <w:p>
            <w:pPr>
              <w:spacing w:after="0"/>
              <w:rPr>
                <w:sz w:val="15"/>
                <w:szCs w:val="15"/>
                <w:color w:val="auto"/>
              </w:rPr>
            </w:pPr>
          </w:p>
        </w:tc>
        <w:tc>
          <w:tcPr>
            <w:tcW w:w="12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Undivided</w:t>
            </w:r>
          </w:p>
        </w:tc>
        <w:tc>
          <w:tcPr>
            <w:tcW w:w="400" w:type="dxa"/>
            <w:vAlign w:val="bottom"/>
          </w:tcPr>
          <w:p>
            <w:pPr>
              <w:spacing w:after="0"/>
              <w:rPr>
                <w:sz w:val="15"/>
                <w:szCs w:val="15"/>
                <w:color w:val="auto"/>
              </w:rPr>
            </w:pPr>
          </w:p>
        </w:tc>
        <w:tc>
          <w:tcPr>
            <w:tcW w:w="12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Other</w:t>
            </w:r>
          </w:p>
        </w:tc>
        <w:tc>
          <w:tcPr>
            <w:tcW w:w="0" w:type="dxa"/>
            <w:vAlign w:val="bottom"/>
          </w:tcPr>
          <w:p>
            <w:pPr>
              <w:spacing w:after="0"/>
              <w:rPr>
                <w:sz w:val="1"/>
                <w:szCs w:val="1"/>
                <w:color w:val="auto"/>
              </w:rPr>
            </w:pPr>
          </w:p>
        </w:tc>
      </w:tr>
      <w:tr>
        <w:trPr>
          <w:trHeight w:val="175"/>
        </w:trPr>
        <w:tc>
          <w:tcPr>
            <w:tcW w:w="622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10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6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Comprehensive</w:t>
            </w:r>
          </w:p>
        </w:tc>
        <w:tc>
          <w:tcPr>
            <w:tcW w:w="0" w:type="dxa"/>
            <w:vAlign w:val="bottom"/>
          </w:tcPr>
          <w:p>
            <w:pPr>
              <w:spacing w:after="0"/>
              <w:rPr>
                <w:sz w:val="1"/>
                <w:szCs w:val="1"/>
                <w:color w:val="auto"/>
              </w:rPr>
            </w:pPr>
          </w:p>
        </w:tc>
      </w:tr>
      <w:tr>
        <w:trPr>
          <w:trHeight w:val="175"/>
        </w:trPr>
        <w:tc>
          <w:tcPr>
            <w:tcW w:w="62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40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Profits</w:t>
            </w:r>
          </w:p>
        </w:tc>
        <w:tc>
          <w:tcPr>
            <w:tcW w:w="400" w:type="dxa"/>
            <w:vAlign w:val="bottom"/>
          </w:tcPr>
          <w:p>
            <w:pPr>
              <w:spacing w:after="0"/>
              <w:rPr>
                <w:sz w:val="15"/>
                <w:szCs w:val="15"/>
                <w:color w:val="auto"/>
              </w:rPr>
            </w:pPr>
          </w:p>
        </w:tc>
        <w:tc>
          <w:tcPr>
            <w:tcW w:w="12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Income</w:t>
            </w:r>
          </w:p>
        </w:tc>
        <w:tc>
          <w:tcPr>
            <w:tcW w:w="0" w:type="dxa"/>
            <w:vAlign w:val="bottom"/>
          </w:tcPr>
          <w:p>
            <w:pPr>
              <w:spacing w:after="0"/>
              <w:rPr>
                <w:sz w:val="1"/>
                <w:szCs w:val="1"/>
                <w:color w:val="auto"/>
              </w:rPr>
            </w:pPr>
          </w:p>
        </w:tc>
      </w:tr>
      <w:tr>
        <w:trPr>
          <w:trHeight w:val="256"/>
        </w:trPr>
        <w:tc>
          <w:tcPr>
            <w:tcW w:w="6220" w:type="dxa"/>
            <w:vAlign w:val="bottom"/>
          </w:tcPr>
          <w:p>
            <w:pPr>
              <w:spacing w:after="0"/>
              <w:rPr>
                <w:sz w:val="22"/>
                <w:szCs w:val="22"/>
                <w:color w:val="auto"/>
              </w:rPr>
            </w:pPr>
          </w:p>
        </w:tc>
        <w:tc>
          <w:tcPr>
            <w:tcW w:w="2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220" w:type="dxa"/>
            <w:vAlign w:val="bottom"/>
          </w:tcPr>
          <w:p>
            <w:pPr>
              <w:spacing w:after="0"/>
              <w:rPr>
                <w:sz w:val="20"/>
                <w:szCs w:val="20"/>
                <w:color w:val="auto"/>
              </w:rPr>
            </w:pPr>
            <w:r>
              <w:rPr>
                <w:rFonts w:ascii="Courier New" w:cs="Courier New" w:eastAsia="Courier New" w:hAnsi="Courier New"/>
                <w:sz w:val="15"/>
                <w:szCs w:val="15"/>
                <w:color w:val="auto"/>
              </w:rPr>
              <w:t>BALANCE AT DECEMBER 31, 1995..................................</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12,677</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26,025</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919</w:t>
            </w:r>
          </w:p>
        </w:tc>
        <w:tc>
          <w:tcPr>
            <w:tcW w:w="0" w:type="dxa"/>
            <w:vAlign w:val="bottom"/>
          </w:tcPr>
          <w:p>
            <w:pPr>
              <w:spacing w:after="0"/>
              <w:rPr>
                <w:sz w:val="1"/>
                <w:szCs w:val="1"/>
                <w:color w:val="auto"/>
              </w:rPr>
            </w:pPr>
          </w:p>
        </w:tc>
      </w:tr>
      <w:tr>
        <w:trPr>
          <w:trHeight w:val="175"/>
        </w:trPr>
        <w:tc>
          <w:tcPr>
            <w:tcW w:w="6220" w:type="dxa"/>
            <w:vAlign w:val="bottom"/>
          </w:tcPr>
          <w:p>
            <w:pPr>
              <w:ind w:left="440"/>
              <w:spacing w:after="0"/>
              <w:rPr>
                <w:sz w:val="20"/>
                <w:szCs w:val="20"/>
                <w:color w:val="auto"/>
              </w:rPr>
            </w:pPr>
            <w:r>
              <w:rPr>
                <w:rFonts w:ascii="Courier New" w:cs="Courier New" w:eastAsia="Courier New" w:hAnsi="Courier New"/>
                <w:sz w:val="15"/>
                <w:szCs w:val="15"/>
                <w:color w:val="auto"/>
              </w:rPr>
              <w:t>Net income for 1996......................................</w:t>
            </w:r>
          </w:p>
        </w:tc>
        <w:tc>
          <w:tcPr>
            <w:tcW w:w="104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5,483</w:t>
            </w:r>
          </w:p>
        </w:tc>
        <w:tc>
          <w:tcPr>
            <w:tcW w:w="40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6220" w:type="dxa"/>
            <w:vAlign w:val="bottom"/>
          </w:tcPr>
          <w:p>
            <w:pPr>
              <w:ind w:left="440"/>
              <w:spacing w:after="0"/>
              <w:rPr>
                <w:sz w:val="20"/>
                <w:szCs w:val="20"/>
                <w:color w:val="auto"/>
              </w:rPr>
            </w:pPr>
            <w:r>
              <w:rPr>
                <w:rFonts w:ascii="Courier New" w:cs="Courier New" w:eastAsia="Courier New" w:hAnsi="Courier New"/>
                <w:sz w:val="15"/>
                <w:szCs w:val="15"/>
                <w:color w:val="auto"/>
              </w:rPr>
              <w:t>Unrealized losses on securities classified as Available</w:t>
            </w:r>
          </w:p>
        </w:tc>
        <w:tc>
          <w:tcPr>
            <w:tcW w:w="1040" w:type="dxa"/>
            <w:vAlign w:val="bottom"/>
          </w:tcPr>
          <w:p>
            <w:pPr>
              <w:spacing w:after="0"/>
              <w:rPr>
                <w:sz w:val="15"/>
                <w:szCs w:val="15"/>
                <w:color w:val="auto"/>
              </w:rPr>
            </w:pP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5"/>
                <w:szCs w:val="15"/>
                <w:color w:val="auto"/>
              </w:rPr>
            </w:pPr>
          </w:p>
        </w:tc>
        <w:tc>
          <w:tcPr>
            <w:tcW w:w="12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(228)</w:t>
            </w:r>
          </w:p>
        </w:tc>
        <w:tc>
          <w:tcPr>
            <w:tcW w:w="0" w:type="dxa"/>
            <w:vAlign w:val="bottom"/>
          </w:tcPr>
          <w:p>
            <w:pPr>
              <w:spacing w:after="0"/>
              <w:rPr>
                <w:sz w:val="1"/>
                <w:szCs w:val="1"/>
                <w:color w:val="auto"/>
              </w:rPr>
            </w:pPr>
          </w:p>
        </w:tc>
      </w:tr>
      <w:tr>
        <w:trPr>
          <w:trHeight w:val="175"/>
        </w:trPr>
        <w:tc>
          <w:tcPr>
            <w:tcW w:w="6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for Sale (net of tax effect of ($115)).................</w:t>
            </w:r>
          </w:p>
        </w:tc>
        <w:tc>
          <w:tcPr>
            <w:tcW w:w="10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Cash dividends ($1.15 per share).........................</w:t>
            </w:r>
          </w:p>
        </w:tc>
        <w:tc>
          <w:tcPr>
            <w:tcW w:w="104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(1,495)</w:t>
            </w:r>
          </w:p>
        </w:tc>
        <w:tc>
          <w:tcPr>
            <w:tcW w:w="40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56"/>
        </w:trPr>
        <w:tc>
          <w:tcPr>
            <w:tcW w:w="6220" w:type="dxa"/>
            <w:vAlign w:val="bottom"/>
          </w:tcPr>
          <w:p>
            <w:pPr>
              <w:spacing w:after="0"/>
              <w:rPr>
                <w:sz w:val="22"/>
                <w:szCs w:val="22"/>
                <w:color w:val="auto"/>
              </w:rPr>
            </w:pPr>
          </w:p>
        </w:tc>
        <w:tc>
          <w:tcPr>
            <w:tcW w:w="2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220" w:type="dxa"/>
            <w:vAlign w:val="bottom"/>
          </w:tcPr>
          <w:p>
            <w:pPr>
              <w:spacing w:after="0"/>
              <w:rPr>
                <w:sz w:val="20"/>
                <w:szCs w:val="20"/>
                <w:color w:val="auto"/>
              </w:rPr>
            </w:pPr>
            <w:r>
              <w:rPr>
                <w:rFonts w:ascii="Courier New" w:cs="Courier New" w:eastAsia="Courier New" w:hAnsi="Courier New"/>
                <w:sz w:val="15"/>
                <w:szCs w:val="15"/>
                <w:color w:val="auto"/>
              </w:rPr>
              <w:t>BALANCE AT DECEMBER 31, 1996</w:t>
            </w:r>
          </w:p>
        </w:tc>
        <w:tc>
          <w:tcPr>
            <w:tcW w:w="1040" w:type="dxa"/>
            <w:vAlign w:val="bottom"/>
          </w:tcPr>
          <w:p>
            <w:pPr>
              <w:spacing w:after="0"/>
              <w:rPr>
                <w:sz w:val="23"/>
                <w:szCs w:val="23"/>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12,677</w:t>
            </w:r>
          </w:p>
        </w:tc>
        <w:tc>
          <w:tcPr>
            <w:tcW w:w="400" w:type="dxa"/>
            <w:vAlign w:val="bottom"/>
          </w:tcPr>
          <w:p>
            <w:pPr>
              <w:spacing w:after="0"/>
              <w:rPr>
                <w:sz w:val="23"/>
                <w:szCs w:val="23"/>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30,013</w:t>
            </w:r>
          </w:p>
        </w:tc>
        <w:tc>
          <w:tcPr>
            <w:tcW w:w="40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691</w:t>
            </w:r>
          </w:p>
        </w:tc>
        <w:tc>
          <w:tcPr>
            <w:tcW w:w="0" w:type="dxa"/>
            <w:vAlign w:val="bottom"/>
          </w:tcPr>
          <w:p>
            <w:pPr>
              <w:spacing w:after="0"/>
              <w:rPr>
                <w:sz w:val="1"/>
                <w:szCs w:val="1"/>
                <w:color w:val="auto"/>
              </w:rPr>
            </w:pPr>
          </w:p>
        </w:tc>
      </w:tr>
      <w:tr>
        <w:trPr>
          <w:trHeight w:val="175"/>
        </w:trPr>
        <w:tc>
          <w:tcPr>
            <w:tcW w:w="6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Net income for 1997......................................</w:t>
            </w:r>
          </w:p>
        </w:tc>
        <w:tc>
          <w:tcPr>
            <w:tcW w:w="104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6,777</w:t>
            </w:r>
          </w:p>
        </w:tc>
        <w:tc>
          <w:tcPr>
            <w:tcW w:w="40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6220" w:type="dxa"/>
            <w:vAlign w:val="bottom"/>
          </w:tcPr>
          <w:p>
            <w:pPr>
              <w:ind w:left="440"/>
              <w:spacing w:after="0"/>
              <w:rPr>
                <w:sz w:val="20"/>
                <w:szCs w:val="20"/>
                <w:color w:val="auto"/>
              </w:rPr>
            </w:pPr>
            <w:r>
              <w:rPr>
                <w:rFonts w:ascii="Courier New" w:cs="Courier New" w:eastAsia="Courier New" w:hAnsi="Courier New"/>
                <w:sz w:val="15"/>
                <w:szCs w:val="15"/>
                <w:color w:val="auto"/>
              </w:rPr>
              <w:t>Unrealized gains on securities classified as Available</w:t>
            </w:r>
          </w:p>
        </w:tc>
        <w:tc>
          <w:tcPr>
            <w:tcW w:w="1040" w:type="dxa"/>
            <w:vAlign w:val="bottom"/>
          </w:tcPr>
          <w:p>
            <w:pPr>
              <w:spacing w:after="0"/>
              <w:rPr>
                <w:sz w:val="15"/>
                <w:szCs w:val="15"/>
                <w:color w:val="auto"/>
              </w:rPr>
            </w:pP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5"/>
                <w:szCs w:val="15"/>
                <w:color w:val="auto"/>
              </w:rPr>
            </w:pPr>
          </w:p>
        </w:tc>
        <w:tc>
          <w:tcPr>
            <w:tcW w:w="12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5"/>
                <w:szCs w:val="15"/>
                <w:color w:val="auto"/>
              </w:rPr>
            </w:pPr>
          </w:p>
        </w:tc>
        <w:tc>
          <w:tcPr>
            <w:tcW w:w="12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311</w:t>
            </w:r>
          </w:p>
        </w:tc>
        <w:tc>
          <w:tcPr>
            <w:tcW w:w="0" w:type="dxa"/>
            <w:vAlign w:val="bottom"/>
          </w:tcPr>
          <w:p>
            <w:pPr>
              <w:spacing w:after="0"/>
              <w:rPr>
                <w:sz w:val="1"/>
                <w:szCs w:val="1"/>
                <w:color w:val="auto"/>
              </w:rPr>
            </w:pPr>
          </w:p>
        </w:tc>
      </w:tr>
      <w:tr>
        <w:trPr>
          <w:trHeight w:val="175"/>
        </w:trPr>
        <w:tc>
          <w:tcPr>
            <w:tcW w:w="6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for Sale (net of tax effect of $157)...................</w:t>
            </w:r>
          </w:p>
        </w:tc>
        <w:tc>
          <w:tcPr>
            <w:tcW w:w="10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Cash dividends ($1.25 per share).........................</w:t>
            </w:r>
          </w:p>
        </w:tc>
        <w:tc>
          <w:tcPr>
            <w:tcW w:w="104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(1,625)</w:t>
            </w:r>
          </w:p>
        </w:tc>
        <w:tc>
          <w:tcPr>
            <w:tcW w:w="40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56"/>
        </w:trPr>
        <w:tc>
          <w:tcPr>
            <w:tcW w:w="6220" w:type="dxa"/>
            <w:vAlign w:val="bottom"/>
          </w:tcPr>
          <w:p>
            <w:pPr>
              <w:spacing w:after="0"/>
              <w:rPr>
                <w:sz w:val="22"/>
                <w:szCs w:val="22"/>
                <w:color w:val="auto"/>
              </w:rPr>
            </w:pPr>
          </w:p>
        </w:tc>
        <w:tc>
          <w:tcPr>
            <w:tcW w:w="2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BALANCE AT DECEMBER 31, 1997..................................</w:t>
            </w:r>
          </w:p>
        </w:tc>
        <w:tc>
          <w:tcPr>
            <w:tcW w:w="1040" w:type="dxa"/>
            <w:vAlign w:val="bottom"/>
          </w:tcPr>
          <w:p>
            <w:pPr>
              <w:spacing w:after="0"/>
              <w:rPr>
                <w:sz w:val="23"/>
                <w:szCs w:val="23"/>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12,677</w:t>
            </w:r>
          </w:p>
        </w:tc>
        <w:tc>
          <w:tcPr>
            <w:tcW w:w="400" w:type="dxa"/>
            <w:vAlign w:val="bottom"/>
          </w:tcPr>
          <w:p>
            <w:pPr>
              <w:spacing w:after="0"/>
              <w:rPr>
                <w:sz w:val="23"/>
                <w:szCs w:val="23"/>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35,165</w:t>
            </w:r>
          </w:p>
        </w:tc>
        <w:tc>
          <w:tcPr>
            <w:tcW w:w="40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1,002</w:t>
            </w:r>
          </w:p>
        </w:tc>
        <w:tc>
          <w:tcPr>
            <w:tcW w:w="0" w:type="dxa"/>
            <w:vAlign w:val="bottom"/>
          </w:tcPr>
          <w:p>
            <w:pPr>
              <w:spacing w:after="0"/>
              <w:rPr>
                <w:sz w:val="1"/>
                <w:szCs w:val="1"/>
                <w:color w:val="auto"/>
              </w:rPr>
            </w:pPr>
          </w:p>
        </w:tc>
      </w:tr>
      <w:tr>
        <w:trPr>
          <w:trHeight w:val="175"/>
        </w:trPr>
        <w:tc>
          <w:tcPr>
            <w:tcW w:w="6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Net income for 1998......................................</w:t>
            </w:r>
          </w:p>
        </w:tc>
        <w:tc>
          <w:tcPr>
            <w:tcW w:w="104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7,657</w:t>
            </w:r>
          </w:p>
        </w:tc>
        <w:tc>
          <w:tcPr>
            <w:tcW w:w="40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6220" w:type="dxa"/>
            <w:vAlign w:val="bottom"/>
          </w:tcPr>
          <w:p>
            <w:pPr>
              <w:ind w:left="440"/>
              <w:spacing w:after="0"/>
              <w:rPr>
                <w:sz w:val="20"/>
                <w:szCs w:val="20"/>
                <w:color w:val="auto"/>
              </w:rPr>
            </w:pPr>
            <w:r>
              <w:rPr>
                <w:rFonts w:ascii="Courier New" w:cs="Courier New" w:eastAsia="Courier New" w:hAnsi="Courier New"/>
                <w:sz w:val="15"/>
                <w:szCs w:val="15"/>
                <w:color w:val="auto"/>
              </w:rPr>
              <w:t>Unrealized gains on securities classified as Available</w:t>
            </w:r>
          </w:p>
        </w:tc>
        <w:tc>
          <w:tcPr>
            <w:tcW w:w="1040" w:type="dxa"/>
            <w:vAlign w:val="bottom"/>
          </w:tcPr>
          <w:p>
            <w:pPr>
              <w:spacing w:after="0"/>
              <w:rPr>
                <w:sz w:val="15"/>
                <w:szCs w:val="15"/>
                <w:color w:val="auto"/>
              </w:rPr>
            </w:pP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5"/>
                <w:szCs w:val="15"/>
                <w:color w:val="auto"/>
              </w:rPr>
            </w:pPr>
          </w:p>
        </w:tc>
        <w:tc>
          <w:tcPr>
            <w:tcW w:w="12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5"/>
                <w:szCs w:val="15"/>
                <w:color w:val="auto"/>
              </w:rPr>
            </w:pPr>
          </w:p>
        </w:tc>
        <w:tc>
          <w:tcPr>
            <w:tcW w:w="12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669</w:t>
            </w:r>
          </w:p>
        </w:tc>
        <w:tc>
          <w:tcPr>
            <w:tcW w:w="0" w:type="dxa"/>
            <w:vAlign w:val="bottom"/>
          </w:tcPr>
          <w:p>
            <w:pPr>
              <w:spacing w:after="0"/>
              <w:rPr>
                <w:sz w:val="1"/>
                <w:szCs w:val="1"/>
                <w:color w:val="auto"/>
              </w:rPr>
            </w:pPr>
          </w:p>
        </w:tc>
      </w:tr>
      <w:tr>
        <w:trPr>
          <w:trHeight w:val="175"/>
        </w:trPr>
        <w:tc>
          <w:tcPr>
            <w:tcW w:w="6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for Sale (net of tax effect of $345)...................</w:t>
            </w:r>
          </w:p>
        </w:tc>
        <w:tc>
          <w:tcPr>
            <w:tcW w:w="10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Cash dividends ($1.40 per share).........................</w:t>
            </w:r>
          </w:p>
        </w:tc>
        <w:tc>
          <w:tcPr>
            <w:tcW w:w="104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(1,820)</w:t>
            </w:r>
          </w:p>
        </w:tc>
        <w:tc>
          <w:tcPr>
            <w:tcW w:w="40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56"/>
        </w:trPr>
        <w:tc>
          <w:tcPr>
            <w:tcW w:w="6220" w:type="dxa"/>
            <w:vAlign w:val="bottom"/>
          </w:tcPr>
          <w:p>
            <w:pPr>
              <w:spacing w:after="0"/>
              <w:rPr>
                <w:sz w:val="22"/>
                <w:szCs w:val="22"/>
                <w:color w:val="auto"/>
              </w:rPr>
            </w:pPr>
          </w:p>
        </w:tc>
        <w:tc>
          <w:tcPr>
            <w:tcW w:w="2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22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12,677</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41,002</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1,671</w:t>
            </w:r>
          </w:p>
        </w:tc>
        <w:tc>
          <w:tcPr>
            <w:tcW w:w="0" w:type="dxa"/>
            <w:vAlign w:val="bottom"/>
          </w:tcPr>
          <w:p>
            <w:pPr>
              <w:spacing w:after="0"/>
              <w:rPr>
                <w:sz w:val="1"/>
                <w:szCs w:val="1"/>
                <w:color w:val="auto"/>
              </w:rPr>
            </w:pPr>
          </w:p>
        </w:tc>
      </w:tr>
      <w:tr>
        <w:trPr>
          <w:trHeight w:val="256"/>
        </w:trPr>
        <w:tc>
          <w:tcPr>
            <w:tcW w:w="6220" w:type="dxa"/>
            <w:vAlign w:val="bottom"/>
          </w:tcPr>
          <w:p>
            <w:pPr>
              <w:spacing w:after="0"/>
              <w:rPr>
                <w:sz w:val="22"/>
                <w:szCs w:val="22"/>
                <w:color w:val="auto"/>
              </w:rPr>
            </w:pPr>
          </w:p>
        </w:tc>
        <w:tc>
          <w:tcPr>
            <w:tcW w:w="2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520"/>
          </w:cols>
          <w:pgMar w:left="240" w:top="265" w:right="1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56"/>
        </w:trPr>
        <w:tc>
          <w:tcPr>
            <w:tcW w:w="6400" w:type="dxa"/>
            <w:vAlign w:val="bottom"/>
          </w:tcPr>
          <w:p>
            <w:pPr>
              <w:jc w:val="right"/>
              <w:ind w:right="5884"/>
              <w:spacing w:after="0"/>
              <w:rPr>
                <w:sz w:val="20"/>
                <w:szCs w:val="20"/>
                <w:color w:val="auto"/>
              </w:rPr>
            </w:pPr>
            <w:r>
              <w:rPr>
                <w:rFonts w:ascii="Courier New" w:cs="Courier New" w:eastAsia="Courier New" w:hAnsi="Courier New"/>
                <w:sz w:val="15"/>
                <w:szCs w:val="15"/>
                <w:color w:val="auto"/>
              </w:rPr>
              <w:t>36</w:t>
            </w:r>
          </w:p>
        </w:tc>
        <w:tc>
          <w:tcPr>
            <w:tcW w:w="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6400" w:type="dxa"/>
            <w:vAlign w:val="bottom"/>
          </w:tcPr>
          <w:p>
            <w:pPr>
              <w:jc w:val="right"/>
              <w:ind w:right="1144"/>
              <w:spacing w:after="0"/>
              <w:rPr>
                <w:sz w:val="20"/>
                <w:szCs w:val="20"/>
                <w:color w:val="auto"/>
              </w:rPr>
            </w:pPr>
            <w:r>
              <w:rPr>
                <w:rFonts w:ascii="Courier New" w:cs="Courier New" w:eastAsia="Courier New" w:hAnsi="Courier New"/>
                <w:sz w:val="15"/>
                <w:szCs w:val="15"/>
                <w:color w:val="auto"/>
              </w:rPr>
              <w:t>FARMERS &amp; MERCHANTS BANCORP, INC.</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4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Consolidated Statements of Cash Flows</w:t>
            </w:r>
          </w:p>
        </w:tc>
        <w:tc>
          <w:tcPr>
            <w:tcW w:w="6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for the years ended December 31, 1998, 1997 and 1996</w:t>
            </w:r>
          </w:p>
        </w:tc>
        <w:tc>
          <w:tcPr>
            <w:tcW w:w="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64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680" w:type="dxa"/>
            <w:vAlign w:val="bottom"/>
          </w:tcPr>
          <w:p>
            <w:pPr>
              <w:spacing w:after="0"/>
              <w:rPr>
                <w:sz w:val="24"/>
                <w:szCs w:val="24"/>
                <w:color w:val="auto"/>
              </w:rPr>
            </w:pPr>
          </w:p>
        </w:tc>
        <w:tc>
          <w:tcPr>
            <w:tcW w:w="1180" w:type="dxa"/>
            <w:vAlign w:val="bottom"/>
            <w:vMerge w:val="restart"/>
          </w:tcPr>
          <w:p>
            <w:pPr>
              <w:jc w:val="right"/>
              <w:ind w:right="744"/>
              <w:spacing w:after="0"/>
              <w:rPr>
                <w:sz w:val="20"/>
                <w:szCs w:val="20"/>
                <w:color w:val="auto"/>
              </w:rPr>
            </w:pPr>
            <w:r>
              <w:rPr>
                <w:rFonts w:ascii="Courier New" w:cs="Courier New" w:eastAsia="Courier New" w:hAnsi="Courier New"/>
                <w:sz w:val="15"/>
                <w:szCs w:val="15"/>
                <w:color w:val="auto"/>
                <w:w w:val="94"/>
              </w:rPr>
              <w:t>1998</w:t>
            </w:r>
          </w:p>
        </w:tc>
        <w:tc>
          <w:tcPr>
            <w:tcW w:w="360" w:type="dxa"/>
            <w:vAlign w:val="bottom"/>
          </w:tcPr>
          <w:p>
            <w:pPr>
              <w:spacing w:after="0"/>
              <w:rPr>
                <w:sz w:val="24"/>
                <w:szCs w:val="24"/>
                <w:color w:val="auto"/>
              </w:rPr>
            </w:pPr>
          </w:p>
        </w:tc>
        <w:tc>
          <w:tcPr>
            <w:tcW w:w="1240" w:type="dxa"/>
            <w:vAlign w:val="bottom"/>
            <w:vMerge w:val="restart"/>
          </w:tcPr>
          <w:p>
            <w:pPr>
              <w:jc w:val="right"/>
              <w:ind w:right="704"/>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24"/>
                <w:szCs w:val="24"/>
                <w:color w:val="auto"/>
              </w:rPr>
            </w:pPr>
          </w:p>
        </w:tc>
        <w:tc>
          <w:tcPr>
            <w:tcW w:w="96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5"/>
        </w:trPr>
        <w:tc>
          <w:tcPr>
            <w:tcW w:w="64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6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00" w:type="dxa"/>
            <w:vAlign w:val="bottom"/>
          </w:tcPr>
          <w:p>
            <w:pPr>
              <w:spacing w:after="0"/>
              <w:rPr>
                <w:sz w:val="22"/>
                <w:szCs w:val="22"/>
                <w:color w:val="auto"/>
              </w:rPr>
            </w:pPr>
          </w:p>
        </w:tc>
        <w:tc>
          <w:tcPr>
            <w:tcW w:w="18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Net income...................................................</w:t>
            </w:r>
          </w:p>
        </w:tc>
        <w:tc>
          <w:tcPr>
            <w:tcW w:w="6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7,657</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6,777</w:t>
            </w:r>
          </w:p>
        </w:tc>
        <w:tc>
          <w:tcPr>
            <w:tcW w:w="4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5,483</w:t>
            </w:r>
          </w:p>
        </w:tc>
        <w:tc>
          <w:tcPr>
            <w:tcW w:w="0" w:type="dxa"/>
            <w:vAlign w:val="bottom"/>
          </w:tcPr>
          <w:p>
            <w:pPr>
              <w:spacing w:after="0"/>
              <w:rPr>
                <w:sz w:val="1"/>
                <w:szCs w:val="1"/>
                <w:color w:val="auto"/>
              </w:rPr>
            </w:pPr>
          </w:p>
        </w:tc>
      </w:tr>
      <w:tr>
        <w:trPr>
          <w:trHeight w:val="175"/>
        </w:trPr>
        <w:tc>
          <w:tcPr>
            <w:tcW w:w="640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tcPr>
          <w:p>
            <w:pPr>
              <w:jc w:val="right"/>
              <w:ind w:right="2704"/>
              <w:spacing w:after="0"/>
              <w:rPr>
                <w:sz w:val="20"/>
                <w:szCs w:val="20"/>
                <w:color w:val="auto"/>
              </w:rPr>
            </w:pPr>
            <w:r>
              <w:rPr>
                <w:rFonts w:ascii="Courier New" w:cs="Courier New" w:eastAsia="Courier New" w:hAnsi="Courier New"/>
                <w:sz w:val="15"/>
                <w:szCs w:val="15"/>
                <w:color w:val="auto"/>
              </w:rPr>
              <w:t>Provided by Operating Activities:</w:t>
            </w:r>
          </w:p>
        </w:tc>
        <w:tc>
          <w:tcPr>
            <w:tcW w:w="680" w:type="dxa"/>
            <w:vAlign w:val="bottom"/>
          </w:tcPr>
          <w:p>
            <w:pPr>
              <w:spacing w:after="0"/>
              <w:rPr>
                <w:sz w:val="15"/>
                <w:szCs w:val="15"/>
                <w:color w:val="auto"/>
              </w:rPr>
            </w:pP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943</w:t>
            </w:r>
          </w:p>
        </w:tc>
        <w:tc>
          <w:tcPr>
            <w:tcW w:w="360" w:type="dxa"/>
            <w:vAlign w:val="bottom"/>
          </w:tcPr>
          <w:p>
            <w:pPr>
              <w:spacing w:after="0"/>
              <w:rPr>
                <w:sz w:val="15"/>
                <w:szCs w:val="15"/>
                <w:color w:val="auto"/>
              </w:rPr>
            </w:pP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700</w:t>
            </w:r>
          </w:p>
        </w:tc>
        <w:tc>
          <w:tcPr>
            <w:tcW w:w="440" w:type="dxa"/>
            <w:vAlign w:val="bottom"/>
          </w:tcPr>
          <w:p>
            <w:pPr>
              <w:spacing w:after="0"/>
              <w:rPr>
                <w:sz w:val="15"/>
                <w:szCs w:val="15"/>
                <w:color w:val="auto"/>
              </w:rPr>
            </w:pPr>
          </w:p>
        </w:tc>
        <w:tc>
          <w:tcPr>
            <w:tcW w:w="9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798</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Depreciation.............................................</w:t>
            </w:r>
          </w:p>
        </w:tc>
        <w:tc>
          <w:tcPr>
            <w:tcW w:w="6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Premium amortization.....................................</w:t>
            </w:r>
          </w:p>
        </w:tc>
        <w:tc>
          <w:tcPr>
            <w:tcW w:w="68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512</w:t>
            </w:r>
          </w:p>
        </w:tc>
        <w:tc>
          <w:tcPr>
            <w:tcW w:w="3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470</w:t>
            </w:r>
          </w:p>
        </w:tc>
        <w:tc>
          <w:tcPr>
            <w:tcW w:w="44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582</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Discount amortization....................................</w:t>
            </w:r>
          </w:p>
        </w:tc>
        <w:tc>
          <w:tcPr>
            <w:tcW w:w="6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w:t>
            </w:r>
          </w:p>
        </w:tc>
        <w:tc>
          <w:tcPr>
            <w:tcW w:w="36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(155)</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Provision for loan losses................................</w:t>
            </w:r>
          </w:p>
        </w:tc>
        <w:tc>
          <w:tcPr>
            <w:tcW w:w="68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892</w:t>
            </w:r>
          </w:p>
        </w:tc>
        <w:tc>
          <w:tcPr>
            <w:tcW w:w="3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1,111</w:t>
            </w:r>
          </w:p>
        </w:tc>
        <w:tc>
          <w:tcPr>
            <w:tcW w:w="44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1,068</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Provision for deferred income taxes......................</w:t>
            </w:r>
          </w:p>
        </w:tc>
        <w:tc>
          <w:tcPr>
            <w:tcW w:w="68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52</w:t>
            </w:r>
          </w:p>
        </w:tc>
        <w:tc>
          <w:tcPr>
            <w:tcW w:w="3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43</w:t>
            </w:r>
          </w:p>
        </w:tc>
        <w:tc>
          <w:tcPr>
            <w:tcW w:w="44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266</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(Gain) loss on sale of fixed assets......................</w:t>
            </w:r>
          </w:p>
        </w:tc>
        <w:tc>
          <w:tcPr>
            <w:tcW w:w="68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30</w:t>
            </w:r>
          </w:p>
        </w:tc>
        <w:tc>
          <w:tcPr>
            <w:tcW w:w="3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(Gain) loss on sale of investment securities.............</w:t>
            </w:r>
          </w:p>
        </w:tc>
        <w:tc>
          <w:tcPr>
            <w:tcW w:w="68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5"/>
        </w:trPr>
        <w:tc>
          <w:tcPr>
            <w:tcW w:w="6400" w:type="dxa"/>
            <w:vAlign w:val="bottom"/>
          </w:tcPr>
          <w:p>
            <w:pPr>
              <w:ind w:left="44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680" w:type="dxa"/>
            <w:vAlign w:val="bottom"/>
          </w:tcPr>
          <w:p>
            <w:pPr>
              <w:spacing w:after="0"/>
              <w:rPr>
                <w:sz w:val="15"/>
                <w:szCs w:val="15"/>
                <w:color w:val="auto"/>
              </w:rPr>
            </w:pP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(401)</w:t>
            </w:r>
          </w:p>
        </w:tc>
        <w:tc>
          <w:tcPr>
            <w:tcW w:w="360" w:type="dxa"/>
            <w:vAlign w:val="bottom"/>
          </w:tcPr>
          <w:p>
            <w:pPr>
              <w:spacing w:after="0"/>
              <w:rPr>
                <w:sz w:val="15"/>
                <w:szCs w:val="15"/>
                <w:color w:val="auto"/>
              </w:rPr>
            </w:pPr>
          </w:p>
        </w:tc>
        <w:tc>
          <w:tcPr>
            <w:tcW w:w="12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(350)</w:t>
            </w:r>
          </w:p>
        </w:tc>
        <w:tc>
          <w:tcPr>
            <w:tcW w:w="4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(373)</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Accrued interest receivable and other assets.............</w:t>
            </w:r>
          </w:p>
        </w:tc>
        <w:tc>
          <w:tcPr>
            <w:tcW w:w="6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Accrued interest payable and other liabilities...........</w:t>
            </w:r>
          </w:p>
        </w:tc>
        <w:tc>
          <w:tcPr>
            <w:tcW w:w="6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w:t>
            </w:r>
          </w:p>
        </w:tc>
        <w:tc>
          <w:tcPr>
            <w:tcW w:w="3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181</w:t>
            </w:r>
          </w:p>
        </w:tc>
        <w:tc>
          <w:tcPr>
            <w:tcW w:w="44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w:t>
            </w:r>
          </w:p>
        </w:tc>
        <w:tc>
          <w:tcPr>
            <w:tcW w:w="0" w:type="dxa"/>
            <w:vAlign w:val="bottom"/>
          </w:tcPr>
          <w:p>
            <w:pPr>
              <w:spacing w:after="0"/>
              <w:rPr>
                <w:sz w:val="1"/>
                <w:szCs w:val="1"/>
                <w:color w:val="auto"/>
              </w:rPr>
            </w:pPr>
          </w:p>
        </w:tc>
      </w:tr>
      <w:tr>
        <w:trPr>
          <w:trHeight w:val="175"/>
        </w:trPr>
        <w:tc>
          <w:tcPr>
            <w:tcW w:w="6400" w:type="dxa"/>
            <w:vAlign w:val="bottom"/>
            <w:vMerge w:val="restart"/>
          </w:tcPr>
          <w:p>
            <w:pPr>
              <w:jc w:val="right"/>
              <w:ind w:right="964"/>
              <w:spacing w:after="0"/>
              <w:rPr>
                <w:sz w:val="20"/>
                <w:szCs w:val="20"/>
                <w:color w:val="auto"/>
              </w:rPr>
            </w:pPr>
            <w:r>
              <w:rPr>
                <w:rFonts w:ascii="Courier New" w:cs="Courier New" w:eastAsia="Courier New" w:hAnsi="Courier New"/>
                <w:sz w:val="15"/>
                <w:szCs w:val="15"/>
                <w:color w:val="auto"/>
              </w:rPr>
              <w:t>Net Cash Provided by Operating Activities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9,504</w:t>
            </w:r>
          </w:p>
        </w:tc>
        <w:tc>
          <w:tcPr>
            <w:tcW w:w="16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8,781</w:t>
            </w:r>
          </w:p>
        </w:tc>
        <w:tc>
          <w:tcPr>
            <w:tcW w:w="44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7,784</w:t>
            </w:r>
          </w:p>
        </w:tc>
        <w:tc>
          <w:tcPr>
            <w:tcW w:w="0" w:type="dxa"/>
            <w:vAlign w:val="bottom"/>
          </w:tcPr>
          <w:p>
            <w:pPr>
              <w:spacing w:after="0"/>
              <w:rPr>
                <w:sz w:val="1"/>
                <w:szCs w:val="1"/>
                <w:color w:val="auto"/>
              </w:rPr>
            </w:pPr>
          </w:p>
        </w:tc>
      </w:tr>
      <w:tr>
        <w:trPr>
          <w:trHeight w:val="256"/>
        </w:trPr>
        <w:tc>
          <w:tcPr>
            <w:tcW w:w="640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40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(2,740)</w:t>
            </w:r>
          </w:p>
        </w:tc>
        <w:tc>
          <w:tcPr>
            <w:tcW w:w="360" w:type="dxa"/>
            <w:vAlign w:val="bottom"/>
          </w:tcPr>
          <w:p>
            <w:pPr>
              <w:spacing w:after="0"/>
              <w:rPr>
                <w:sz w:val="8"/>
                <w:szCs w:val="8"/>
                <w:color w:val="auto"/>
              </w:rPr>
            </w:pPr>
          </w:p>
        </w:tc>
        <w:tc>
          <w:tcPr>
            <w:tcW w:w="12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(789)</w:t>
            </w:r>
          </w:p>
        </w:tc>
        <w:tc>
          <w:tcPr>
            <w:tcW w:w="44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(1,175)</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Capital expenditures.........................................</w:t>
            </w:r>
          </w:p>
        </w:tc>
        <w:tc>
          <w:tcPr>
            <w:tcW w:w="6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Proceeds from maturities of available for sale securities....</w:t>
            </w:r>
          </w:p>
        </w:tc>
        <w:tc>
          <w:tcPr>
            <w:tcW w:w="68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22,000</w:t>
            </w:r>
          </w:p>
        </w:tc>
        <w:tc>
          <w:tcPr>
            <w:tcW w:w="3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23,546</w:t>
            </w:r>
          </w:p>
        </w:tc>
        <w:tc>
          <w:tcPr>
            <w:tcW w:w="44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30,890</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Proceeds from sale of available for sale securities..........</w:t>
            </w:r>
          </w:p>
        </w:tc>
        <w:tc>
          <w:tcPr>
            <w:tcW w:w="68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10,363</w:t>
            </w:r>
          </w:p>
        </w:tc>
        <w:tc>
          <w:tcPr>
            <w:tcW w:w="44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255</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Purchase of available for sales securities...................</w:t>
            </w:r>
          </w:p>
        </w:tc>
        <w:tc>
          <w:tcPr>
            <w:tcW w:w="6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(53,051)</w:t>
            </w:r>
          </w:p>
        </w:tc>
        <w:tc>
          <w:tcPr>
            <w:tcW w:w="36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(23,928)</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(48,724)</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Acquisition of stock by stock dividend (non-cash)............</w:t>
            </w:r>
          </w:p>
        </w:tc>
        <w:tc>
          <w:tcPr>
            <w:tcW w:w="6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(177)</w:t>
            </w:r>
          </w:p>
        </w:tc>
        <w:tc>
          <w:tcPr>
            <w:tcW w:w="36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(165)</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Net increase in loans........................................</w:t>
            </w:r>
          </w:p>
        </w:tc>
        <w:tc>
          <w:tcPr>
            <w:tcW w:w="6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(9,946)</w:t>
            </w:r>
          </w:p>
        </w:tc>
        <w:tc>
          <w:tcPr>
            <w:tcW w:w="36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(30,362)</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(30,354)</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Net increase in leases.......................................</w:t>
            </w:r>
          </w:p>
        </w:tc>
        <w:tc>
          <w:tcPr>
            <w:tcW w:w="6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w:t>
            </w:r>
          </w:p>
        </w:tc>
        <w:tc>
          <w:tcPr>
            <w:tcW w:w="36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(173)</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(257)</w:t>
            </w:r>
          </w:p>
        </w:tc>
        <w:tc>
          <w:tcPr>
            <w:tcW w:w="0" w:type="dxa"/>
            <w:vAlign w:val="bottom"/>
          </w:tcPr>
          <w:p>
            <w:pPr>
              <w:spacing w:after="0"/>
              <w:rPr>
                <w:sz w:val="1"/>
                <w:szCs w:val="1"/>
                <w:color w:val="auto"/>
              </w:rPr>
            </w:pPr>
          </w:p>
        </w:tc>
      </w:tr>
      <w:tr>
        <w:trPr>
          <w:trHeight w:val="175"/>
        </w:trPr>
        <w:tc>
          <w:tcPr>
            <w:tcW w:w="6400" w:type="dxa"/>
            <w:vAlign w:val="bottom"/>
            <w:vMerge w:val="restart"/>
          </w:tcPr>
          <w:p>
            <w:pPr>
              <w:jc w:val="right"/>
              <w:ind w:right="1324"/>
              <w:spacing w:after="0"/>
              <w:rPr>
                <w:sz w:val="20"/>
                <w:szCs w:val="20"/>
                <w:color w:val="auto"/>
              </w:rPr>
            </w:pPr>
            <w:r>
              <w:rPr>
                <w:rFonts w:ascii="Courier New" w:cs="Courier New" w:eastAsia="Courier New" w:hAnsi="Courier New"/>
                <w:sz w:val="15"/>
                <w:szCs w:val="15"/>
                <w:color w:val="auto"/>
              </w:rPr>
              <w:t>Net Cash Used by Investing Activities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(43,938)</w:t>
            </w:r>
          </w:p>
        </w:tc>
        <w:tc>
          <w:tcPr>
            <w:tcW w:w="16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(21,508)</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(49,515)</w:t>
            </w:r>
          </w:p>
        </w:tc>
        <w:tc>
          <w:tcPr>
            <w:tcW w:w="0" w:type="dxa"/>
            <w:vAlign w:val="bottom"/>
          </w:tcPr>
          <w:p>
            <w:pPr>
              <w:spacing w:after="0"/>
              <w:rPr>
                <w:sz w:val="1"/>
                <w:szCs w:val="1"/>
                <w:color w:val="auto"/>
              </w:rPr>
            </w:pPr>
          </w:p>
        </w:tc>
      </w:tr>
      <w:tr>
        <w:trPr>
          <w:trHeight w:val="256"/>
        </w:trPr>
        <w:tc>
          <w:tcPr>
            <w:tcW w:w="640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40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50,885</w:t>
            </w:r>
          </w:p>
        </w:tc>
        <w:tc>
          <w:tcPr>
            <w:tcW w:w="360" w:type="dxa"/>
            <w:vAlign w:val="bottom"/>
          </w:tcPr>
          <w:p>
            <w:pPr>
              <w:spacing w:after="0"/>
              <w:rPr>
                <w:sz w:val="8"/>
                <w:szCs w:val="8"/>
                <w:color w:val="auto"/>
              </w:rPr>
            </w:pP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22,921</w:t>
            </w:r>
          </w:p>
        </w:tc>
        <w:tc>
          <w:tcPr>
            <w:tcW w:w="440" w:type="dxa"/>
            <w:vAlign w:val="bottom"/>
          </w:tcPr>
          <w:p>
            <w:pPr>
              <w:spacing w:after="0"/>
              <w:rPr>
                <w:sz w:val="8"/>
                <w:szCs w:val="8"/>
                <w:color w:val="auto"/>
              </w:rPr>
            </w:pPr>
          </w:p>
        </w:tc>
        <w:tc>
          <w:tcPr>
            <w:tcW w:w="9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34,387</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Net increase in deposits.....................................</w:t>
            </w:r>
          </w:p>
        </w:tc>
        <w:tc>
          <w:tcPr>
            <w:tcW w:w="6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Net change in short term borrowings..........................</w:t>
            </w:r>
          </w:p>
        </w:tc>
        <w:tc>
          <w:tcPr>
            <w:tcW w:w="68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318</w:t>
            </w:r>
          </w:p>
        </w:tc>
        <w:tc>
          <w:tcPr>
            <w:tcW w:w="36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(4,165)</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Increase in long-term borrowings.............................</w:t>
            </w:r>
          </w:p>
        </w:tc>
        <w:tc>
          <w:tcPr>
            <w:tcW w:w="68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1,000</w:t>
            </w:r>
          </w:p>
        </w:tc>
        <w:tc>
          <w:tcPr>
            <w:tcW w:w="3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3,000</w:t>
            </w:r>
          </w:p>
        </w:tc>
        <w:tc>
          <w:tcPr>
            <w:tcW w:w="44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Payments on long-term borrowings.............................</w:t>
            </w:r>
          </w:p>
        </w:tc>
        <w:tc>
          <w:tcPr>
            <w:tcW w:w="6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(1,053)</w:t>
            </w:r>
          </w:p>
        </w:tc>
        <w:tc>
          <w:tcPr>
            <w:tcW w:w="36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(707)</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(665)</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Payments of dividends........................................</w:t>
            </w:r>
          </w:p>
        </w:tc>
        <w:tc>
          <w:tcPr>
            <w:tcW w:w="6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(1,820)</w:t>
            </w:r>
          </w:p>
        </w:tc>
        <w:tc>
          <w:tcPr>
            <w:tcW w:w="36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(1,495)</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(1,625)</w:t>
            </w:r>
          </w:p>
        </w:tc>
        <w:tc>
          <w:tcPr>
            <w:tcW w:w="0" w:type="dxa"/>
            <w:vAlign w:val="bottom"/>
          </w:tcPr>
          <w:p>
            <w:pPr>
              <w:spacing w:after="0"/>
              <w:rPr>
                <w:sz w:val="1"/>
                <w:szCs w:val="1"/>
                <w:color w:val="auto"/>
              </w:rPr>
            </w:pPr>
          </w:p>
        </w:tc>
      </w:tr>
      <w:tr>
        <w:trPr>
          <w:trHeight w:val="175"/>
        </w:trPr>
        <w:tc>
          <w:tcPr>
            <w:tcW w:w="6400" w:type="dxa"/>
            <w:vAlign w:val="bottom"/>
            <w:vMerge w:val="restart"/>
          </w:tcPr>
          <w:p>
            <w:pPr>
              <w:jc w:val="right"/>
              <w:ind w:right="964"/>
              <w:spacing w:after="0"/>
              <w:rPr>
                <w:sz w:val="20"/>
                <w:szCs w:val="20"/>
                <w:color w:val="auto"/>
              </w:rPr>
            </w:pPr>
            <w:r>
              <w:rPr>
                <w:rFonts w:ascii="Courier New" w:cs="Courier New" w:eastAsia="Courier New" w:hAnsi="Courier New"/>
                <w:sz w:val="15"/>
                <w:szCs w:val="15"/>
                <w:color w:val="auto"/>
              </w:rPr>
              <w:t>Net Cash Provided by Financing Activities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49,330</w:t>
            </w:r>
          </w:p>
        </w:tc>
        <w:tc>
          <w:tcPr>
            <w:tcW w:w="16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19,554</w:t>
            </w:r>
          </w:p>
        </w:tc>
        <w:tc>
          <w:tcPr>
            <w:tcW w:w="44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31,941</w:t>
            </w:r>
          </w:p>
        </w:tc>
        <w:tc>
          <w:tcPr>
            <w:tcW w:w="0" w:type="dxa"/>
            <w:vAlign w:val="bottom"/>
          </w:tcPr>
          <w:p>
            <w:pPr>
              <w:spacing w:after="0"/>
              <w:rPr>
                <w:sz w:val="1"/>
                <w:szCs w:val="1"/>
                <w:color w:val="auto"/>
              </w:rPr>
            </w:pPr>
          </w:p>
        </w:tc>
      </w:tr>
      <w:tr>
        <w:trPr>
          <w:trHeight w:val="175"/>
        </w:trPr>
        <w:tc>
          <w:tcPr>
            <w:tcW w:w="6400" w:type="dxa"/>
            <w:vAlign w:val="bottom"/>
            <w:vMerge w:val="restart"/>
          </w:tcPr>
          <w:p>
            <w:pPr>
              <w:spacing w:after="0"/>
              <w:rPr>
                <w:sz w:val="20"/>
                <w:szCs w:val="20"/>
                <w:color w:val="auto"/>
              </w:rPr>
            </w:pPr>
            <w:r>
              <w:rPr>
                <w:rFonts w:ascii="Courier New" w:cs="Courier New" w:eastAsia="Courier New" w:hAnsi="Courier New"/>
                <w:sz w:val="15"/>
                <w:szCs w:val="15"/>
                <w:color w:val="auto"/>
              </w:rPr>
              <w:t>Net change in cash and cash equivalents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14,896</w:t>
            </w:r>
          </w:p>
        </w:tc>
        <w:tc>
          <w:tcPr>
            <w:tcW w:w="3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6,827</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(9,790)</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Cash and cash equivalents - beginning of the year.................</w:t>
            </w:r>
          </w:p>
        </w:tc>
        <w:tc>
          <w:tcPr>
            <w:tcW w:w="68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22,798</w:t>
            </w:r>
          </w:p>
        </w:tc>
        <w:tc>
          <w:tcPr>
            <w:tcW w:w="3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15,971</w:t>
            </w:r>
          </w:p>
        </w:tc>
        <w:tc>
          <w:tcPr>
            <w:tcW w:w="44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25,761</w:t>
            </w:r>
          </w:p>
        </w:tc>
        <w:tc>
          <w:tcPr>
            <w:tcW w:w="0" w:type="dxa"/>
            <w:vAlign w:val="bottom"/>
          </w:tcPr>
          <w:p>
            <w:pPr>
              <w:spacing w:after="0"/>
              <w:rPr>
                <w:sz w:val="1"/>
                <w:szCs w:val="1"/>
                <w:color w:val="auto"/>
              </w:rPr>
            </w:pPr>
          </w:p>
        </w:tc>
      </w:tr>
      <w:tr>
        <w:trPr>
          <w:trHeight w:val="175"/>
        </w:trPr>
        <w:tc>
          <w:tcPr>
            <w:tcW w:w="6400" w:type="dxa"/>
            <w:vAlign w:val="bottom"/>
            <w:vMerge w:val="restart"/>
          </w:tcPr>
          <w:p>
            <w:pPr>
              <w:spacing w:after="0"/>
              <w:rPr>
                <w:sz w:val="20"/>
                <w:szCs w:val="20"/>
                <w:color w:val="auto"/>
              </w:rPr>
            </w:pPr>
            <w:r>
              <w:rPr>
                <w:rFonts w:ascii="Courier New" w:cs="Courier New" w:eastAsia="Courier New" w:hAnsi="Courier New"/>
                <w:sz w:val="15"/>
                <w:szCs w:val="15"/>
                <w:color w:val="auto"/>
              </w:rPr>
              <w:t>CASH AND CASH EQUIVALENTS - END OF THE YEAR</w:t>
            </w:r>
          </w:p>
        </w:tc>
        <w:tc>
          <w:tcPr>
            <w:tcW w:w="680" w:type="dxa"/>
            <w:vAlign w:val="bottom"/>
            <w:vMerge w:val="restart"/>
          </w:tcPr>
          <w:p>
            <w:pPr>
              <w:jc w:val="right"/>
              <w:spacing w:after="0"/>
              <w:rPr>
                <w:sz w:val="20"/>
                <w:szCs w:val="20"/>
                <w:color w:val="auto"/>
              </w:rPr>
            </w:pPr>
            <w:r>
              <w:rPr>
                <w:rFonts w:ascii="Courier New" w:cs="Courier New" w:eastAsia="Courier New" w:hAnsi="Courier New"/>
                <w:sz w:val="22"/>
                <w:szCs w:val="22"/>
                <w:color w:val="auto"/>
                <w:w w:val="74"/>
                <w:vertAlign w:val="subscript"/>
              </w:rPr>
              <w:t>$</w:t>
            </w:r>
            <w:r>
              <w:rPr>
                <w:rFonts w:ascii="Courier New" w:cs="Courier New" w:eastAsia="Courier New" w:hAnsi="Courier New"/>
                <w:sz w:val="12"/>
                <w:szCs w:val="12"/>
                <w:color w:val="auto"/>
                <w:w w:val="74"/>
              </w:rPr>
              <w:t>-----------</w:t>
            </w: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37,694</w:t>
            </w:r>
          </w:p>
        </w:tc>
        <w:tc>
          <w:tcPr>
            <w:tcW w:w="16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22,798</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15,971</w:t>
            </w:r>
          </w:p>
        </w:tc>
        <w:tc>
          <w:tcPr>
            <w:tcW w:w="0" w:type="dxa"/>
            <w:vAlign w:val="bottom"/>
          </w:tcPr>
          <w:p>
            <w:pPr>
              <w:spacing w:after="0"/>
              <w:rPr>
                <w:sz w:val="1"/>
                <w:szCs w:val="1"/>
                <w:color w:val="auto"/>
              </w:rPr>
            </w:pPr>
          </w:p>
        </w:tc>
      </w:tr>
      <w:tr>
        <w:trPr>
          <w:trHeight w:val="256"/>
        </w:trPr>
        <w:tc>
          <w:tcPr>
            <w:tcW w:w="6400" w:type="dxa"/>
            <w:vAlign w:val="bottom"/>
            <w:vMerge w:val="restart"/>
          </w:tcPr>
          <w:p>
            <w:pPr>
              <w:spacing w:after="0"/>
              <w:rPr>
                <w:sz w:val="20"/>
                <w:szCs w:val="20"/>
                <w:color w:val="auto"/>
              </w:rPr>
            </w:pPr>
            <w:r>
              <w:rPr>
                <w:rFonts w:ascii="Courier New" w:cs="Courier New" w:eastAsia="Courier New" w:hAnsi="Courier New"/>
                <w:sz w:val="15"/>
                <w:szCs w:val="15"/>
                <w:color w:val="auto"/>
              </w:rPr>
              <w:t>RECONCILIATION OF CASH AND CASH EQUIVALENTS:</w:t>
            </w:r>
          </w:p>
        </w:tc>
        <w:tc>
          <w:tcPr>
            <w:tcW w:w="18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2"/>
                <w:szCs w:val="22"/>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93"/>
        </w:trPr>
        <w:tc>
          <w:tcPr>
            <w:tcW w:w="6400" w:type="dxa"/>
            <w:vAlign w:val="bottom"/>
            <w:vMerge w:val="continue"/>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18,549</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16,213</w:t>
            </w:r>
          </w:p>
        </w:tc>
        <w:tc>
          <w:tcPr>
            <w:tcW w:w="4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15,871</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Cash and cash due from banks.................................</w:t>
            </w:r>
          </w:p>
        </w:tc>
        <w:tc>
          <w:tcPr>
            <w:tcW w:w="6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Interest bearing deposits....................................</w:t>
            </w:r>
          </w:p>
        </w:tc>
        <w:tc>
          <w:tcPr>
            <w:tcW w:w="68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Federal funds sold...........................................</w:t>
            </w:r>
          </w:p>
        </w:tc>
        <w:tc>
          <w:tcPr>
            <w:tcW w:w="68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19,045</w:t>
            </w:r>
          </w:p>
        </w:tc>
        <w:tc>
          <w:tcPr>
            <w:tcW w:w="3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6,485</w:t>
            </w:r>
          </w:p>
        </w:tc>
        <w:tc>
          <w:tcPr>
            <w:tcW w:w="44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64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22"/>
                <w:szCs w:val="22"/>
                <w:color w:val="auto"/>
                <w:w w:val="74"/>
                <w:vertAlign w:val="subscript"/>
              </w:rPr>
              <w:t>$</w:t>
            </w:r>
            <w:r>
              <w:rPr>
                <w:rFonts w:ascii="Courier New" w:cs="Courier New" w:eastAsia="Courier New" w:hAnsi="Courier New"/>
                <w:sz w:val="12"/>
                <w:szCs w:val="12"/>
                <w:color w:val="auto"/>
                <w:w w:val="74"/>
              </w:rPr>
              <w:t>-----------</w:t>
            </w: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37,694</w:t>
            </w:r>
          </w:p>
        </w:tc>
        <w:tc>
          <w:tcPr>
            <w:tcW w:w="16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4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22,798</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15,971</w:t>
            </w:r>
          </w:p>
        </w:tc>
        <w:tc>
          <w:tcPr>
            <w:tcW w:w="0" w:type="dxa"/>
            <w:vAlign w:val="bottom"/>
          </w:tcPr>
          <w:p>
            <w:pPr>
              <w:spacing w:after="0"/>
              <w:rPr>
                <w:sz w:val="1"/>
                <w:szCs w:val="1"/>
                <w:color w:val="auto"/>
              </w:rPr>
            </w:pPr>
          </w:p>
        </w:tc>
      </w:tr>
      <w:tr>
        <w:trPr>
          <w:trHeight w:val="256"/>
        </w:trPr>
        <w:tc>
          <w:tcPr>
            <w:tcW w:w="6400" w:type="dxa"/>
            <w:vAlign w:val="bottom"/>
            <w:vMerge w:val="restart"/>
          </w:tcPr>
          <w:p>
            <w:pPr>
              <w:spacing w:after="0"/>
              <w:rPr>
                <w:sz w:val="20"/>
                <w:szCs w:val="20"/>
                <w:color w:val="auto"/>
              </w:rPr>
            </w:pPr>
            <w:r>
              <w:rPr>
                <w:rFonts w:ascii="Courier New" w:cs="Courier New" w:eastAsia="Courier New" w:hAnsi="Courier New"/>
                <w:sz w:val="15"/>
                <w:szCs w:val="15"/>
                <w:color w:val="auto"/>
              </w:rPr>
              <w:t>SUPPLEMENTARY CASH FLOW DISCLOSURES:</w:t>
            </w:r>
          </w:p>
        </w:tc>
        <w:tc>
          <w:tcPr>
            <w:tcW w:w="18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40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6400" w:type="dxa"/>
            <w:vAlign w:val="bottom"/>
          </w:tcPr>
          <w:p>
            <w:pPr>
              <w:ind w:left="440"/>
              <w:spacing w:after="0"/>
              <w:rPr>
                <w:sz w:val="20"/>
                <w:szCs w:val="20"/>
                <w:color w:val="auto"/>
              </w:rPr>
            </w:pPr>
            <w:r>
              <w:rPr>
                <w:rFonts w:ascii="Courier New" w:cs="Courier New" w:eastAsia="Courier New" w:hAnsi="Courier New"/>
                <w:sz w:val="15"/>
                <w:szCs w:val="15"/>
                <w:color w:val="auto"/>
              </w:rPr>
              <w:t>Cash paid during the year for:</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22,020</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21,136</w:t>
            </w:r>
          </w:p>
        </w:tc>
        <w:tc>
          <w:tcPr>
            <w:tcW w:w="4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20,969</w:t>
            </w:r>
          </w:p>
        </w:tc>
        <w:tc>
          <w:tcPr>
            <w:tcW w:w="0" w:type="dxa"/>
            <w:vAlign w:val="bottom"/>
          </w:tcPr>
          <w:p>
            <w:pPr>
              <w:spacing w:after="0"/>
              <w:rPr>
                <w:sz w:val="1"/>
                <w:szCs w:val="1"/>
                <w:color w:val="auto"/>
              </w:rPr>
            </w:pPr>
          </w:p>
        </w:tc>
      </w:tr>
      <w:tr>
        <w:trPr>
          <w:trHeight w:val="175"/>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Interest (net of amount capitalized).....................</w:t>
            </w:r>
          </w:p>
        </w:tc>
        <w:tc>
          <w:tcPr>
            <w:tcW w:w="6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Income taxes.............................................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3,280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2,652</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ectPr>
          <w:pgSz w:w="11900" w:h="16838" w:orient="portrait"/>
          <w:cols w:equalWidth="0" w:num="1">
            <w:col w:w="11260"/>
          </w:cols>
          <w:pgMar w:left="240" w:top="26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260"/>
          </w:cols>
          <w:pgMar w:left="240" w:top="265" w:right="399" w:bottom="1440" w:gutter="0" w:footer="0" w:header="0"/>
          <w:type w:val="continuous"/>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37</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29"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5"/>
          <w:szCs w:val="15"/>
          <w:color w:val="auto"/>
        </w:rPr>
        <w:t>SUMMARY OF SIGNIFICANT ACCOUNTING AND REPORTING POLICIES</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CONSOLIDATION POLICY:</w:t>
      </w:r>
    </w:p>
    <w:p>
      <w:pPr>
        <w:spacing w:after="0" w:line="180" w:lineRule="exact"/>
        <w:rPr>
          <w:sz w:val="20"/>
          <w:szCs w:val="20"/>
          <w:color w:val="auto"/>
        </w:rPr>
      </w:pPr>
    </w:p>
    <w:p>
      <w:pPr>
        <w:ind w:left="1180" w:right="3139"/>
        <w:spacing w:after="0" w:line="277" w:lineRule="auto"/>
        <w:rPr>
          <w:sz w:val="20"/>
          <w:szCs w:val="20"/>
          <w:color w:val="auto"/>
        </w:rPr>
      </w:pPr>
      <w:r>
        <w:rPr>
          <w:rFonts w:ascii="Courier New" w:cs="Courier New" w:eastAsia="Courier New" w:hAnsi="Courier New"/>
          <w:sz w:val="15"/>
          <w:szCs w:val="15"/>
          <w:color w:val="auto"/>
        </w:rPr>
        <w:t>The consolidated financial statements include the accounts of Farmers &amp; Merchants Bancorp, Inc. and its wholly-owned subsidiaries, The Farmers &amp; Merchants State Bank (the Bank), a commercial banking institution, and the Farmers &amp; Merchants Life Insurance Company, a life, accident and health insurance company.</w:t>
      </w:r>
    </w:p>
    <w:p>
      <w:pPr>
        <w:spacing w:after="0" w:line="68"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NATURE OF ACTIVITIES:</w:t>
      </w:r>
    </w:p>
    <w:p>
      <w:pPr>
        <w:spacing w:after="0" w:line="180" w:lineRule="exact"/>
        <w:rPr>
          <w:sz w:val="20"/>
          <w:szCs w:val="20"/>
          <w:color w:val="auto"/>
        </w:rPr>
      </w:pPr>
    </w:p>
    <w:p>
      <w:pPr>
        <w:ind w:left="1180" w:right="3139"/>
        <w:spacing w:after="0" w:line="277" w:lineRule="auto"/>
        <w:rPr>
          <w:sz w:val="20"/>
          <w:szCs w:val="20"/>
          <w:color w:val="auto"/>
        </w:rPr>
      </w:pPr>
      <w:r>
        <w:rPr>
          <w:rFonts w:ascii="Courier New" w:cs="Courier New" w:eastAsia="Courier New" w:hAnsi="Courier New"/>
          <w:sz w:val="15"/>
          <w:szCs w:val="15"/>
          <w:color w:val="auto"/>
        </w:rPr>
        <w:t>The consolidated income of Farmers &amp; Merchants Bancorp, Inc. is principally from income of the bank subsidiary, The Farmers &amp; Merchants State Bank. The subsidiary Bank grants agribusiness, commercial, consumer and residential loans to customers primarily in northwest Ohio.</w:t>
      </w:r>
    </w:p>
    <w:p>
      <w:pPr>
        <w:spacing w:after="0" w:line="68"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ESTIMATES:</w:t>
      </w:r>
    </w:p>
    <w:p>
      <w:pPr>
        <w:spacing w:after="0" w:line="180" w:lineRule="exact"/>
        <w:rPr>
          <w:sz w:val="20"/>
          <w:szCs w:val="20"/>
          <w:color w:val="auto"/>
        </w:rPr>
      </w:pPr>
    </w:p>
    <w:p>
      <w:pPr>
        <w:ind w:left="1180" w:right="3039"/>
        <w:spacing w:after="0" w:line="267"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CASH AND CASH EQUIVALENTS:</w:t>
      </w:r>
    </w:p>
    <w:p>
      <w:pPr>
        <w:spacing w:after="0" w:line="180" w:lineRule="exact"/>
        <w:rPr>
          <w:sz w:val="20"/>
          <w:szCs w:val="20"/>
          <w:color w:val="auto"/>
        </w:rPr>
      </w:pPr>
    </w:p>
    <w:p>
      <w:pPr>
        <w:ind w:left="1180" w:right="3039"/>
        <w:spacing w:after="0" w:line="277" w:lineRule="auto"/>
        <w:rPr>
          <w:sz w:val="20"/>
          <w:szCs w:val="20"/>
          <w:color w:val="auto"/>
        </w:rPr>
      </w:pPr>
      <w:r>
        <w:rPr>
          <w:rFonts w:ascii="Courier New" w:cs="Courier New" w:eastAsia="Courier New" w:hAnsi="Courier New"/>
          <w:sz w:val="15"/>
          <w:szCs w:val="15"/>
          <w:color w:val="auto"/>
        </w:rPr>
        <w:t>For purposes of the statement of cash flows, the company considers all highly liquid debt instruments purchased with a maturity of three months or less to be cash equivalents. This includes cash on hand, amounts due from banks, and federal funds sold. Generally, federal funds are purchased and sold for one day periods.</w:t>
      </w:r>
    </w:p>
    <w:p>
      <w:pPr>
        <w:spacing w:after="0" w:line="68"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INVESTMENT SECURITIES:</w:t>
      </w:r>
    </w:p>
    <w:p>
      <w:pPr>
        <w:spacing w:after="0" w:line="180" w:lineRule="exact"/>
        <w:rPr>
          <w:sz w:val="20"/>
          <w:szCs w:val="20"/>
          <w:color w:val="auto"/>
        </w:rPr>
      </w:pPr>
    </w:p>
    <w:p>
      <w:pPr>
        <w:ind w:left="1180" w:right="2959"/>
        <w:spacing w:after="0" w:line="277" w:lineRule="auto"/>
        <w:rPr>
          <w:sz w:val="20"/>
          <w:szCs w:val="20"/>
          <w:color w:val="auto"/>
        </w:rPr>
      </w:pPr>
      <w:r>
        <w:rPr>
          <w:rFonts w:ascii="Courier New" w:cs="Courier New" w:eastAsia="Courier New" w:hAnsi="Courier New"/>
          <w:sz w:val="15"/>
          <w:szCs w:val="15"/>
          <w:color w:val="auto"/>
        </w:rPr>
        <w:t>Securities, when purchased, are designated as Investment Securities Available for Sale and are carried at market value. They remain in that category until they are sold or mature. The specific identification method is used in determining the cost of securities sold.</w:t>
      </w:r>
    </w:p>
    <w:p>
      <w:pPr>
        <w:spacing w:after="0" w:line="68" w:lineRule="exact"/>
        <w:rPr>
          <w:sz w:val="20"/>
          <w:szCs w:val="20"/>
          <w:color w:val="auto"/>
        </w:rPr>
      </w:pPr>
    </w:p>
    <w:p>
      <w:pPr>
        <w:ind w:left="1180" w:right="3039"/>
        <w:spacing w:after="0" w:line="307" w:lineRule="auto"/>
        <w:rPr>
          <w:sz w:val="20"/>
          <w:szCs w:val="20"/>
          <w:color w:val="auto"/>
        </w:rPr>
      </w:pPr>
      <w:r>
        <w:rPr>
          <w:rFonts w:ascii="Courier New" w:cs="Courier New" w:eastAsia="Courier New" w:hAnsi="Courier New"/>
          <w:sz w:val="15"/>
          <w:szCs w:val="15"/>
          <w:color w:val="auto"/>
        </w:rPr>
        <w:t>Unrealized holding gains and losses, net of tax, on securities classified as Available for Sale are reported as a net amount as a separate component of shareholders' equity until realized.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65" w:right="1440" w:bottom="1440" w:gutter="0" w:footer="0" w:header="0"/>
        </w:sectPr>
      </w:pPr>
    </w:p>
    <w:bookmarkStart w:id="42" w:name="page43"/>
    <w:bookmarkEnd w:id="42"/>
    <w:p>
      <w:pPr>
        <w:ind w:left="180"/>
        <w:spacing w:after="0"/>
        <w:rPr>
          <w:sz w:val="20"/>
          <w:szCs w:val="20"/>
          <w:color w:val="auto"/>
        </w:rPr>
      </w:pPr>
      <w:r>
        <w:rPr>
          <w:rFonts w:ascii="Courier New" w:cs="Courier New" w:eastAsia="Courier New" w:hAnsi="Courier New"/>
          <w:sz w:val="15"/>
          <w:szCs w:val="15"/>
          <w:color w:val="auto"/>
        </w:rPr>
        <w:t>38</w:t>
      </w:r>
    </w:p>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54" w:lineRule="exact"/>
        <w:rPr>
          <w:sz w:val="20"/>
          <w:szCs w:val="20"/>
          <w:color w:val="auto"/>
        </w:rPr>
      </w:pPr>
    </w:p>
    <w:p>
      <w:pPr>
        <w:ind w:left="820" w:right="4219" w:hanging="1090"/>
        <w:spacing w:after="0" w:line="368" w:lineRule="auto"/>
        <w:tabs>
          <w:tab w:leader="none" w:pos="80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5"/>
          <w:szCs w:val="15"/>
          <w:color w:val="auto"/>
        </w:rPr>
        <w:t>SUMMARY OF SIGNIFICANT ACCOUNTING AND REPORTING POLICIES (Continued)</w:t>
      </w:r>
    </w:p>
    <w:p>
      <w:pPr>
        <w:spacing w:after="0" w:line="3"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LOANS:</w:t>
      </w:r>
    </w:p>
    <w:p>
      <w:pPr>
        <w:spacing w:after="0" w:line="180" w:lineRule="exact"/>
        <w:rPr>
          <w:sz w:val="20"/>
          <w:szCs w:val="20"/>
          <w:color w:val="auto"/>
        </w:rPr>
      </w:pPr>
    </w:p>
    <w:p>
      <w:pPr>
        <w:ind w:left="1100" w:right="2959"/>
        <w:spacing w:after="0" w:line="277" w:lineRule="auto"/>
        <w:rPr>
          <w:sz w:val="20"/>
          <w:szCs w:val="20"/>
          <w:color w:val="auto"/>
        </w:rPr>
      </w:pPr>
      <w:r>
        <w:rPr>
          <w:rFonts w:ascii="Courier New" w:cs="Courier New" w:eastAsia="Courier New" w:hAnsi="Courier New"/>
          <w:sz w:val="15"/>
          <w:szCs w:val="15"/>
          <w:color w:val="auto"/>
        </w:rPr>
        <w:t>Loans are stated at the amount of unpaid principal, reduced by unearned discounts and deferred loan fees and costs, as well as, by the allowance for loan losses. Interest on commercial, installment, and real estate loans is accrued on a daily basis based on the principal outstanding.</w:t>
      </w:r>
    </w:p>
    <w:p>
      <w:pPr>
        <w:spacing w:after="0" w:line="68" w:lineRule="exact"/>
        <w:rPr>
          <w:sz w:val="20"/>
          <w:szCs w:val="20"/>
          <w:color w:val="auto"/>
        </w:rPr>
      </w:pPr>
    </w:p>
    <w:p>
      <w:pPr>
        <w:ind w:left="1100" w:right="3039"/>
        <w:spacing w:after="0" w:line="262" w:lineRule="auto"/>
        <w:rPr>
          <w:sz w:val="20"/>
          <w:szCs w:val="20"/>
          <w:color w:val="auto"/>
        </w:rPr>
      </w:pPr>
      <w:r>
        <w:rPr>
          <w:rFonts w:ascii="Courier New" w:cs="Courier New" w:eastAsia="Courier New" w:hAnsi="Courier New"/>
          <w:sz w:val="15"/>
          <w:szCs w:val="15"/>
          <w:color w:val="auto"/>
        </w:rPr>
        <w:t>Generally, a loan (including a loan considered impaired under Statement 114, "Accounting by Creditors for Impairment of a Loan") is classified as nonaccrual and the accrual of interest income is generally discontinued when a loan becomes 90 days past due as to principal or interest and these loans are placed on a "cash basis" for purposes of income recognition. Management may elect to continue the accrual of interest when the estimated net realizable value of collateral is sufficient to cover the principal and accrued interest, and the loan is in the process of collection.</w:t>
      </w:r>
    </w:p>
    <w:p>
      <w:pPr>
        <w:spacing w:after="0" w:line="78" w:lineRule="exact"/>
        <w:rPr>
          <w:sz w:val="20"/>
          <w:szCs w:val="20"/>
          <w:color w:val="auto"/>
        </w:rPr>
      </w:pPr>
    </w:p>
    <w:p>
      <w:pPr>
        <w:ind w:left="1100" w:right="3039"/>
        <w:spacing w:after="0" w:line="368" w:lineRule="auto"/>
        <w:rPr>
          <w:sz w:val="20"/>
          <w:szCs w:val="20"/>
          <w:color w:val="auto"/>
        </w:rPr>
      </w:pPr>
      <w:r>
        <w:rPr>
          <w:rFonts w:ascii="Courier New" w:cs="Courier New" w:eastAsia="Courier New" w:hAnsi="Courier New"/>
          <w:sz w:val="15"/>
          <w:szCs w:val="15"/>
          <w:color w:val="auto"/>
        </w:rPr>
        <w:t>Loans held for resale are valued at the lower of aggregate cost or market, market determined by current market quotations.</w:t>
      </w:r>
    </w:p>
    <w:p>
      <w:pPr>
        <w:spacing w:after="0" w:line="3" w:lineRule="exact"/>
        <w:rPr>
          <w:sz w:val="20"/>
          <w:szCs w:val="20"/>
          <w:color w:val="auto"/>
        </w:rPr>
      </w:pPr>
    </w:p>
    <w:p>
      <w:pPr>
        <w:ind w:left="1100" w:right="2959"/>
        <w:spacing w:after="0" w:line="271" w:lineRule="auto"/>
        <w:rPr>
          <w:sz w:val="20"/>
          <w:szCs w:val="20"/>
          <w:color w:val="auto"/>
        </w:rPr>
      </w:pPr>
      <w:r>
        <w:rPr>
          <w:rFonts w:ascii="Courier New" w:cs="Courier New" w:eastAsia="Courier New" w:hAnsi="Courier New"/>
          <w:sz w:val="15"/>
          <w:szCs w:val="15"/>
          <w:color w:val="auto"/>
        </w:rPr>
        <w:t>Loan origination and commitment fees and certain direct loan origination costs are deferred and amortized as a net adjustment to the related loan's yield. The Bank is generally amortizing these costs over the contractual life of such loans. Fees related to standby letters of credit are recognized at the beginning of commitment period.</w:t>
      </w:r>
    </w:p>
    <w:p>
      <w:pPr>
        <w:spacing w:after="0" w:line="7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ALLOWANCE FOR LOAN LOSSES:</w:t>
      </w:r>
    </w:p>
    <w:p>
      <w:pPr>
        <w:spacing w:after="0" w:line="180" w:lineRule="exact"/>
        <w:rPr>
          <w:sz w:val="20"/>
          <w:szCs w:val="20"/>
          <w:color w:val="auto"/>
        </w:rPr>
      </w:pPr>
    </w:p>
    <w:p>
      <w:pPr>
        <w:ind w:left="1100" w:right="2959"/>
        <w:spacing w:after="0" w:line="287" w:lineRule="auto"/>
        <w:rPr>
          <w:sz w:val="20"/>
          <w:szCs w:val="20"/>
          <w:color w:val="auto"/>
        </w:rPr>
      </w:pPr>
      <w:r>
        <w:rPr>
          <w:rFonts w:ascii="Courier New" w:cs="Courier New" w:eastAsia="Courier New" w:hAnsi="Courier New"/>
          <w:sz w:val="15"/>
          <w:szCs w:val="15"/>
          <w:color w:val="auto"/>
        </w:rPr>
        <w:t>The allowance for possible loan losses is established through a provision for loan losses charged against income. Loans deemed to be uncollectible are charged against the allowance for loan losses, and subsequent recoveries, if any, are credited to the allowance.</w:t>
      </w:r>
    </w:p>
    <w:p>
      <w:pPr>
        <w:spacing w:after="0" w:line="61" w:lineRule="exact"/>
        <w:rPr>
          <w:sz w:val="20"/>
          <w:szCs w:val="20"/>
          <w:color w:val="auto"/>
        </w:rPr>
      </w:pPr>
    </w:p>
    <w:p>
      <w:pPr>
        <w:ind w:left="1100" w:right="2959"/>
        <w:spacing w:after="0" w:line="262" w:lineRule="auto"/>
        <w:rPr>
          <w:sz w:val="20"/>
          <w:szCs w:val="20"/>
          <w:color w:val="auto"/>
        </w:rPr>
      </w:pPr>
      <w:r>
        <w:rPr>
          <w:rFonts w:ascii="Courier New" w:cs="Courier New" w:eastAsia="Courier New" w:hAnsi="Courier New"/>
          <w:sz w:val="15"/>
          <w:szCs w:val="15"/>
          <w:color w:val="auto"/>
        </w:rPr>
        <w:t>Beginning in 1995, the Bank adopted Statement 114. Under the Standard when a loan is deemed to be impaired, that is, based on current information and events, it is probable that not all amounts due according to the contractual terms of the loan agreement will be collectible, the impairment is measured based on either the present value of expected future cash flows discounted at the loan's effective rate, the loan's observable market price, or the fair value of the collateral if the loan is collateral dependent. This impairment is credited to the allowance for loan losses.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265" w:right="1440" w:bottom="1440" w:gutter="0" w:footer="0" w:header="0"/>
        </w:sectPr>
      </w:pPr>
    </w:p>
    <w:bookmarkStart w:id="43" w:name="page44"/>
    <w:bookmarkEnd w:id="43"/>
    <w:p>
      <w:pPr>
        <w:ind w:left="180"/>
        <w:spacing w:after="0"/>
        <w:rPr>
          <w:sz w:val="20"/>
          <w:szCs w:val="20"/>
          <w:color w:val="auto"/>
        </w:rPr>
      </w:pPr>
      <w:r>
        <w:rPr>
          <w:rFonts w:ascii="Courier New" w:cs="Courier New" w:eastAsia="Courier New" w:hAnsi="Courier New"/>
          <w:sz w:val="15"/>
          <w:szCs w:val="15"/>
          <w:color w:val="auto"/>
        </w:rPr>
        <w:t>39</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5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54" w:lineRule="exact"/>
        <w:rPr>
          <w:sz w:val="20"/>
          <w:szCs w:val="20"/>
          <w:color w:val="auto"/>
        </w:rPr>
      </w:pPr>
    </w:p>
    <w:p>
      <w:pPr>
        <w:ind w:left="820" w:right="4219" w:hanging="1090"/>
        <w:spacing w:after="0" w:line="368" w:lineRule="auto"/>
        <w:tabs>
          <w:tab w:leader="none" w:pos="80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5"/>
          <w:szCs w:val="15"/>
          <w:color w:val="auto"/>
        </w:rPr>
        <w:t>SUMMARY OF SIGNIFICANT ACCOUNTING AND REPORTING POLICIES (Continued)</w:t>
      </w:r>
    </w:p>
    <w:p>
      <w:pPr>
        <w:spacing w:after="0" w:line="3"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ALLOWANCE FOR LOAN LOSSES: (Continued)</w:t>
      </w:r>
    </w:p>
    <w:p>
      <w:pPr>
        <w:spacing w:after="0" w:line="180" w:lineRule="exact"/>
        <w:rPr>
          <w:sz w:val="20"/>
          <w:szCs w:val="20"/>
          <w:color w:val="auto"/>
        </w:rPr>
      </w:pPr>
    </w:p>
    <w:p>
      <w:pPr>
        <w:ind w:left="1100" w:right="2959"/>
        <w:spacing w:after="0" w:line="257" w:lineRule="auto"/>
        <w:rPr>
          <w:sz w:val="20"/>
          <w:szCs w:val="20"/>
          <w:color w:val="auto"/>
        </w:rPr>
      </w:pPr>
      <w:r>
        <w:rPr>
          <w:rFonts w:ascii="Courier New" w:cs="Courier New" w:eastAsia="Courier New" w:hAnsi="Courier New"/>
          <w:sz w:val="15"/>
          <w:szCs w:val="15"/>
          <w:color w:val="auto"/>
        </w:rPr>
        <w:t>The allowance for loan losses is maintained at a level believed to be adequate by management to absorb estimated future loan losses for on and off balance sheet credit exposure. Management's evaluation of the adequacy of the allowance is based on the Bank's past loan loss experience, known and inherent risks in the portfolio, adverse situations that may affect the borrowers ability to repay (including the timing of future payments), the estimated value of any underlying collateral, composition of the loan portfolio, current economic conditions, and other relevant factors. This evaluation is inherently subjective as it may require material estimates including the amount and timing of future cash flows expected to be received on impaired loans that may be susceptible to significant change.</w:t>
      </w:r>
    </w:p>
    <w:p>
      <w:pPr>
        <w:spacing w:after="0" w:line="8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SERVICING ASSETS AND LIABILITIES:</w:t>
      </w:r>
    </w:p>
    <w:p>
      <w:pPr>
        <w:spacing w:after="0" w:line="180" w:lineRule="exact"/>
        <w:rPr>
          <w:sz w:val="20"/>
          <w:szCs w:val="20"/>
          <w:color w:val="auto"/>
        </w:rPr>
      </w:pPr>
    </w:p>
    <w:p>
      <w:pPr>
        <w:ind w:left="1100" w:right="2959"/>
        <w:spacing w:after="0" w:line="262" w:lineRule="auto"/>
        <w:rPr>
          <w:sz w:val="20"/>
          <w:szCs w:val="20"/>
          <w:color w:val="auto"/>
        </w:rPr>
      </w:pPr>
      <w:r>
        <w:rPr>
          <w:rFonts w:ascii="Courier New" w:cs="Courier New" w:eastAsia="Courier New" w:hAnsi="Courier New"/>
          <w:sz w:val="15"/>
          <w:szCs w:val="15"/>
          <w:color w:val="auto"/>
        </w:rPr>
        <w:t>The Financial Accounting Standards Board (FASB) issued Statement of Financial Accounting Standards No. 125, "Accounting for Transfers and Servicing of Financial Assets and Extinquishments of Liabilities". FAS 125 requires that each time an entity undertakes an obligation to service financial assets, it shall recognize either a servicing asset or a servicing liability for that servicing contract at its fair market value. Servicing assets and liabilities are to be amortized in proportion to and over the period of estimated net servicing income.</w:t>
      </w:r>
    </w:p>
    <w:p>
      <w:pPr>
        <w:spacing w:after="0" w:line="7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FINANCE LEASES:</w:t>
      </w:r>
    </w:p>
    <w:p>
      <w:pPr>
        <w:spacing w:after="0" w:line="180" w:lineRule="exact"/>
        <w:rPr>
          <w:sz w:val="20"/>
          <w:szCs w:val="20"/>
          <w:color w:val="auto"/>
        </w:rPr>
      </w:pPr>
    </w:p>
    <w:p>
      <w:pPr>
        <w:ind w:left="1100" w:right="2959"/>
        <w:spacing w:after="0" w:line="262" w:lineRule="auto"/>
        <w:rPr>
          <w:sz w:val="20"/>
          <w:szCs w:val="20"/>
          <w:color w:val="auto"/>
        </w:rPr>
      </w:pPr>
      <w:r>
        <w:rPr>
          <w:rFonts w:ascii="Courier New" w:cs="Courier New" w:eastAsia="Courier New" w:hAnsi="Courier New"/>
          <w:sz w:val="15"/>
          <w:szCs w:val="15"/>
          <w:color w:val="auto"/>
        </w:rPr>
        <w:t>Finance leases are recorded at the sum of the minimum lease payments less any executory costs and profit thereon to be paid and any unguaranteed residual value. If the residual is guaranteed, it is included in the minimum lease payments. The difference between the gross investment in the lease and the cost is recorded as unearned income, which is amortized over the lease term by the interest method. The unearned interest is included in the balance sheet as a deduction from the related gross investment, which results in the net investment in the lease.</w:t>
      </w:r>
    </w:p>
    <w:p>
      <w:pPr>
        <w:spacing w:after="0" w:line="7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BANK PREMISES AND EQUIPMENT:</w:t>
      </w:r>
    </w:p>
    <w:p>
      <w:pPr>
        <w:spacing w:after="0" w:line="180" w:lineRule="exact"/>
        <w:rPr>
          <w:sz w:val="20"/>
          <w:szCs w:val="20"/>
          <w:color w:val="auto"/>
        </w:rPr>
      </w:pPr>
    </w:p>
    <w:p>
      <w:pPr>
        <w:ind w:left="1100" w:right="3139"/>
        <w:spacing w:after="0" w:line="277" w:lineRule="auto"/>
        <w:rPr>
          <w:sz w:val="20"/>
          <w:szCs w:val="20"/>
          <w:color w:val="auto"/>
        </w:rPr>
      </w:pPr>
      <w:r>
        <w:rPr>
          <w:rFonts w:ascii="Courier New" w:cs="Courier New" w:eastAsia="Courier New" w:hAnsi="Courier New"/>
          <w:sz w:val="15"/>
          <w:szCs w:val="15"/>
          <w:color w:val="auto"/>
        </w:rPr>
        <w:t>Bank premises and equipment are stated at cost less accumulated depreciation. Depreciation is based on the estimated useful lives of the various properties and is computed using accelerated methods. Costs for maintenance and repairs are charged to operations as incurred.</w:t>
      </w: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265" w:right="1440" w:bottom="1440" w:gutter="0" w:footer="0" w:header="0"/>
        </w:sectPr>
      </w:pPr>
    </w:p>
    <w:bookmarkStart w:id="44" w:name="page45"/>
    <w:bookmarkEnd w:id="44"/>
    <w:p>
      <w:pPr>
        <w:ind w:left="180"/>
        <w:spacing w:after="0"/>
        <w:rPr>
          <w:sz w:val="20"/>
          <w:szCs w:val="20"/>
          <w:color w:val="auto"/>
        </w:rPr>
      </w:pPr>
      <w:r>
        <w:rPr>
          <w:rFonts w:ascii="Courier New" w:cs="Courier New" w:eastAsia="Courier New" w:hAnsi="Courier New"/>
          <w:sz w:val="15"/>
          <w:szCs w:val="15"/>
          <w:color w:val="auto"/>
        </w:rPr>
        <w:t>40</w:t>
      </w:r>
    </w:p>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54" w:lineRule="exact"/>
        <w:rPr>
          <w:sz w:val="20"/>
          <w:szCs w:val="20"/>
          <w:color w:val="auto"/>
        </w:rPr>
      </w:pPr>
    </w:p>
    <w:p>
      <w:pPr>
        <w:ind w:left="740" w:right="4319" w:hanging="999"/>
        <w:spacing w:after="0" w:line="368" w:lineRule="auto"/>
        <w:tabs>
          <w:tab w:leader="none" w:pos="720" w:val="left"/>
        </w:tabs>
        <w:rPr>
          <w:sz w:val="20"/>
          <w:szCs w:val="20"/>
          <w:color w:val="auto"/>
        </w:rPr>
      </w:pPr>
      <w:r>
        <w:rPr>
          <w:rFonts w:ascii="Courier New" w:cs="Courier New" w:eastAsia="Courier New" w:hAnsi="Courier New"/>
          <w:sz w:val="15"/>
          <w:szCs w:val="15"/>
          <w:color w:val="auto"/>
        </w:rPr>
        <w:t>NOTE 1.</w:t>
        <w:tab/>
        <w:t>SUMMARY OF SIGNIFICANT ACCOUNTING AND REPORTING POLICIES (Continued)</w:t>
      </w:r>
    </w:p>
    <w:p>
      <w:pPr>
        <w:spacing w:after="0" w:line="3"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80" w:lineRule="exact"/>
        <w:rPr>
          <w:sz w:val="20"/>
          <w:szCs w:val="20"/>
          <w:color w:val="auto"/>
        </w:rPr>
      </w:pPr>
    </w:p>
    <w:p>
      <w:pPr>
        <w:ind w:left="1100" w:right="2959"/>
        <w:spacing w:after="0" w:line="254" w:lineRule="auto"/>
        <w:rPr>
          <w:sz w:val="20"/>
          <w:szCs w:val="20"/>
          <w:color w:val="auto"/>
        </w:rPr>
      </w:pPr>
      <w:r>
        <w:rPr>
          <w:rFonts w:ascii="Courier New" w:cs="Courier New" w:eastAsia="Courier New" w:hAnsi="Courier New"/>
          <w:sz w:val="15"/>
          <w:szCs w:val="15"/>
          <w:color w:val="auto"/>
        </w:rPr>
        <w:t>FASB Statement No. 107, "Disclosures about Fair Value of Financial Instruments", requires disclosure of the fair value information about financial instruments, both assets and liabilities, whether or not recognized in the balance sheet, for which it is practicable to estimate that value. In cases where quoted market prices are not available, fair values are based on estimates using present value or other valuation techniques. Those techniques are significantly affected by assumptions used, including the discount rate and estimates of cash flows. In that regard, the derived fair value estimates cannot be substantiated by comparison to independent markets and, in many cases, could not be realized in immediate settlement of the instrument. FASB Statement No. 107 excludes certain financial instruments and all nonfinancial instruments from its disclosure requirements. Accordingly, the aggregate fair value amounts presented do not represent the underlying value of the Company.</w:t>
      </w:r>
    </w:p>
    <w:p>
      <w:pPr>
        <w:spacing w:after="0" w:line="94"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FEDERAL INCOME TAX:</w:t>
      </w:r>
    </w:p>
    <w:p>
      <w:pPr>
        <w:spacing w:after="0" w:line="180" w:lineRule="exact"/>
        <w:rPr>
          <w:sz w:val="20"/>
          <w:szCs w:val="20"/>
          <w:color w:val="auto"/>
        </w:rPr>
      </w:pPr>
    </w:p>
    <w:p>
      <w:pPr>
        <w:ind w:left="1100" w:right="2959"/>
        <w:spacing w:after="0" w:line="271" w:lineRule="auto"/>
        <w:rPr>
          <w:sz w:val="20"/>
          <w:szCs w:val="20"/>
          <w:color w:val="auto"/>
        </w:rPr>
      </w:pPr>
      <w:r>
        <w:rPr>
          <w:rFonts w:ascii="Courier New" w:cs="Courier New" w:eastAsia="Courier New" w:hAnsi="Courier New"/>
          <w:sz w:val="15"/>
          <w:szCs w:val="15"/>
          <w:color w:val="auto"/>
        </w:rPr>
        <w:t>The provision for federal income taxes is based on reported income and expense, adjusted for permanent differences between reported income and taxable income. The deferred portion of the provision relates to those items of income and expense in the financial statements that are recognized in different time periods for income tax purposes.</w:t>
      </w:r>
    </w:p>
    <w:p>
      <w:pPr>
        <w:spacing w:after="0" w:line="7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EARNINGS PER SHARE:</w:t>
      </w:r>
    </w:p>
    <w:p>
      <w:pPr>
        <w:spacing w:after="0" w:line="180" w:lineRule="exact"/>
        <w:rPr>
          <w:sz w:val="20"/>
          <w:szCs w:val="20"/>
          <w:color w:val="auto"/>
        </w:rPr>
      </w:pPr>
    </w:p>
    <w:p>
      <w:pPr>
        <w:ind w:left="1100" w:right="3039"/>
        <w:spacing w:after="0" w:line="287" w:lineRule="auto"/>
        <w:rPr>
          <w:sz w:val="20"/>
          <w:szCs w:val="20"/>
          <w:color w:val="auto"/>
        </w:rPr>
      </w:pPr>
      <w:r>
        <w:rPr>
          <w:rFonts w:ascii="Courier New" w:cs="Courier New" w:eastAsia="Courier New" w:hAnsi="Courier New"/>
          <w:sz w:val="15"/>
          <w:szCs w:val="15"/>
          <w:color w:val="auto"/>
        </w:rPr>
        <w:t>Earnings per share are computed based on the weighted average number of shares of common stock outstanding during each year, and any stock splits or dividends are retroactively recognized in all periods presented in the financial statements.</w:t>
      </w:r>
    </w:p>
    <w:p>
      <w:pPr>
        <w:spacing w:after="0" w:line="6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COMPREHENSIVE INCOME:</w:t>
      </w:r>
    </w:p>
    <w:p>
      <w:pPr>
        <w:spacing w:after="0" w:line="180" w:lineRule="exact"/>
        <w:rPr>
          <w:sz w:val="20"/>
          <w:szCs w:val="20"/>
          <w:color w:val="auto"/>
        </w:rPr>
      </w:pPr>
    </w:p>
    <w:p>
      <w:pPr>
        <w:ind w:left="1100" w:right="3039"/>
        <w:spacing w:after="0" w:line="255" w:lineRule="auto"/>
        <w:rPr>
          <w:sz w:val="20"/>
          <w:szCs w:val="20"/>
          <w:color w:val="auto"/>
        </w:rPr>
      </w:pPr>
      <w:r>
        <w:rPr>
          <w:rFonts w:ascii="Courier New" w:cs="Courier New" w:eastAsia="Courier New" w:hAnsi="Courier New"/>
          <w:sz w:val="15"/>
          <w:szCs w:val="15"/>
          <w:color w:val="auto"/>
        </w:rPr>
        <w:t>The Financial Accounting Standards Board has issued Statement No. 130, Reporting Comprehensive Income, that the Company is required to adopt for its year ended December 31, 1998. This pronouncement is not expected to have a significant impact on the Company's financial statements. The Statement establishes standards for reporting and presentation of comprehensive income and its components. The Statement requires that items recognized as components of comprehensive income be reported in the financial statements. The Statement also requires that a company classify items of other comprehensive income by their nature in the financial statements, and display the accumulated balance of other comprehensive income separately from retained earnings in the equity section of a statement of financial position. Comprehensive income of the Company currently consists of unrealized gains and losses on securities available for sale.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265"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41</w:t>
      </w:r>
    </w:p>
    <w:p>
      <w:pPr>
        <w:spacing w:after="0" w:line="180" w:lineRule="exact"/>
        <w:rPr>
          <w:sz w:val="20"/>
          <w:szCs w:val="20"/>
          <w:color w:val="auto"/>
        </w:rPr>
      </w:pPr>
    </w:p>
    <w:p>
      <w:pPr>
        <w:jc w:val="center"/>
        <w:ind w:right="3000"/>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2.</w:t>
        <w:tab/>
        <w:t>CASH AND FEDERAL FUNDS SOLD</w:t>
      </w:r>
    </w:p>
    <w:p>
      <w:pPr>
        <w:spacing w:after="0" w:line="180" w:lineRule="exact"/>
        <w:rPr>
          <w:sz w:val="20"/>
          <w:szCs w:val="20"/>
          <w:color w:val="auto"/>
        </w:rPr>
      </w:pPr>
    </w:p>
    <w:p>
      <w:pPr>
        <w:jc w:val="both"/>
        <w:ind w:left="1180" w:right="3280"/>
        <w:spacing w:after="0" w:line="287" w:lineRule="auto"/>
        <w:rPr>
          <w:sz w:val="20"/>
          <w:szCs w:val="20"/>
          <w:color w:val="auto"/>
        </w:rPr>
      </w:pPr>
      <w:r>
        <w:rPr>
          <w:rFonts w:ascii="Courier New" w:cs="Courier New" w:eastAsia="Courier New" w:hAnsi="Courier New"/>
          <w:sz w:val="15"/>
          <w:szCs w:val="15"/>
          <w:color w:val="auto"/>
        </w:rPr>
        <w:t>Banks are required to maintain reserve funds in vault cash and/or on deposit with the Federal Reserve Bank. The aggregate reserves required at December 31, 1998 and 1997 were $5.1 million and $3.7 million, respectively.</w:t>
      </w:r>
    </w:p>
    <w:p>
      <w:pPr>
        <w:spacing w:after="0" w:line="61"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3.</w:t>
        <w:tab/>
        <w:t>INVESTMENT SECURITIES</w:t>
      </w:r>
    </w:p>
    <w:p>
      <w:pPr>
        <w:spacing w:after="0" w:line="180" w:lineRule="exact"/>
        <w:rPr>
          <w:sz w:val="20"/>
          <w:szCs w:val="20"/>
          <w:color w:val="auto"/>
        </w:rPr>
      </w:pPr>
    </w:p>
    <w:p>
      <w:pPr>
        <w:ind w:left="1180" w:right="3360"/>
        <w:spacing w:after="0" w:line="277" w:lineRule="auto"/>
        <w:rPr>
          <w:sz w:val="20"/>
          <w:szCs w:val="20"/>
          <w:color w:val="auto"/>
        </w:rPr>
      </w:pPr>
      <w:r>
        <w:rPr>
          <w:rFonts w:ascii="Courier New" w:cs="Courier New" w:eastAsia="Courier New" w:hAnsi="Courier New"/>
          <w:sz w:val="15"/>
          <w:szCs w:val="15"/>
          <w:color w:val="auto"/>
        </w:rPr>
        <w:t>The amortized cost and estimated market values of investments in securities as of December 31, 1998 and 1997 are detailed below. Fair market values are based on quoted market prices or dealer quotes except for domestic corporations stocks and Federal Home Loan Bank stock which are recorded at cost.</w:t>
      </w:r>
    </w:p>
    <w:p>
      <w:pPr>
        <w:spacing w:after="0" w:line="200" w:lineRule="exact"/>
        <w:rPr>
          <w:sz w:val="20"/>
          <w:szCs w:val="20"/>
          <w:color w:val="auto"/>
        </w:rPr>
      </w:pPr>
    </w:p>
    <w:p>
      <w:pPr>
        <w:spacing w:after="0" w:line="218" w:lineRule="exact"/>
        <w:rPr>
          <w:sz w:val="20"/>
          <w:szCs w:val="20"/>
          <w:color w:val="auto"/>
        </w:rPr>
      </w:pPr>
    </w:p>
    <w:tbl>
      <w:tblPr>
        <w:tblLayout w:type="fixed"/>
        <w:tblInd w:w="118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63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Gross</w:t>
            </w:r>
          </w:p>
        </w:tc>
        <w:tc>
          <w:tcPr>
            <w:tcW w:w="540" w:type="dxa"/>
            <w:vAlign w:val="bottom"/>
          </w:tcPr>
          <w:p>
            <w:pPr>
              <w:spacing w:after="0"/>
              <w:rPr>
                <w:sz w:val="15"/>
                <w:szCs w:val="15"/>
                <w:color w:val="auto"/>
              </w:rPr>
            </w:pPr>
          </w:p>
        </w:tc>
        <w:tc>
          <w:tcPr>
            <w:tcW w:w="13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Gross</w:t>
            </w:r>
          </w:p>
        </w:tc>
        <w:tc>
          <w:tcPr>
            <w:tcW w:w="36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Gross</w:t>
            </w:r>
          </w:p>
        </w:tc>
        <w:tc>
          <w:tcPr>
            <w:tcW w:w="46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Gross</w:t>
            </w:r>
          </w:p>
        </w:tc>
        <w:tc>
          <w:tcPr>
            <w:tcW w:w="0" w:type="dxa"/>
            <w:vAlign w:val="bottom"/>
          </w:tcPr>
          <w:p>
            <w:pPr>
              <w:spacing w:after="0"/>
              <w:rPr>
                <w:sz w:val="1"/>
                <w:szCs w:val="1"/>
                <w:color w:val="auto"/>
              </w:rPr>
            </w:pPr>
          </w:p>
        </w:tc>
      </w:tr>
      <w:tr>
        <w:trPr>
          <w:trHeight w:val="175"/>
        </w:trPr>
        <w:tc>
          <w:tcPr>
            <w:tcW w:w="282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7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Amortized</w:t>
            </w:r>
          </w:p>
        </w:tc>
        <w:tc>
          <w:tcPr>
            <w:tcW w:w="540" w:type="dxa"/>
            <w:vAlign w:val="bottom"/>
          </w:tcPr>
          <w:p>
            <w:pPr>
              <w:spacing w:after="0"/>
              <w:rPr>
                <w:sz w:val="15"/>
                <w:szCs w:val="15"/>
                <w:color w:val="auto"/>
              </w:rPr>
            </w:pP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Unrealized</w:t>
            </w: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Unrealized</w:t>
            </w:r>
          </w:p>
        </w:tc>
        <w:tc>
          <w:tcPr>
            <w:tcW w:w="46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Market</w:t>
            </w:r>
          </w:p>
        </w:tc>
        <w:tc>
          <w:tcPr>
            <w:tcW w:w="0" w:type="dxa"/>
            <w:vAlign w:val="bottom"/>
          </w:tcPr>
          <w:p>
            <w:pPr>
              <w:spacing w:after="0"/>
              <w:rPr>
                <w:sz w:val="1"/>
                <w:szCs w:val="1"/>
                <w:color w:val="auto"/>
              </w:rPr>
            </w:pPr>
          </w:p>
        </w:tc>
      </w:tr>
      <w:tr>
        <w:trPr>
          <w:trHeight w:val="175"/>
        </w:trPr>
        <w:tc>
          <w:tcPr>
            <w:tcW w:w="28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Cost</w:t>
            </w:r>
          </w:p>
        </w:tc>
        <w:tc>
          <w:tcPr>
            <w:tcW w:w="54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Gains</w:t>
            </w:r>
          </w:p>
        </w:tc>
        <w:tc>
          <w:tcPr>
            <w:tcW w:w="36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Losses</w:t>
            </w:r>
          </w:p>
        </w:tc>
        <w:tc>
          <w:tcPr>
            <w:tcW w:w="46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2"/>
                <w:szCs w:val="22"/>
                <w:color w:val="auto"/>
              </w:rPr>
            </w:pPr>
          </w:p>
        </w:tc>
        <w:tc>
          <w:tcPr>
            <w:tcW w:w="18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2820" w:type="dxa"/>
            <w:vAlign w:val="bottom"/>
          </w:tcPr>
          <w:p>
            <w:pPr>
              <w:spacing w:after="0"/>
              <w:rPr>
                <w:sz w:val="20"/>
                <w:szCs w:val="20"/>
                <w:color w:val="auto"/>
              </w:rPr>
            </w:pPr>
            <w:r>
              <w:rPr>
                <w:rFonts w:ascii="Courier New" w:cs="Courier New" w:eastAsia="Courier New" w:hAnsi="Courier New"/>
                <w:sz w:val="15"/>
                <w:szCs w:val="15"/>
                <w:color w:val="auto"/>
              </w:rPr>
              <w:t>Available for Sale:</w:t>
            </w:r>
          </w:p>
        </w:tc>
        <w:tc>
          <w:tcPr>
            <w:tcW w:w="7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16,792</w:t>
            </w:r>
          </w:p>
        </w:tc>
        <w:tc>
          <w:tcPr>
            <w:tcW w:w="5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320</w:t>
            </w:r>
          </w:p>
        </w:tc>
        <w:tc>
          <w:tcPr>
            <w:tcW w:w="3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4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17,112</w:t>
            </w:r>
          </w:p>
        </w:tc>
        <w:tc>
          <w:tcPr>
            <w:tcW w:w="0" w:type="dxa"/>
            <w:vAlign w:val="bottom"/>
          </w:tcPr>
          <w:p>
            <w:pPr>
              <w:spacing w:after="0"/>
              <w:rPr>
                <w:sz w:val="1"/>
                <w:szCs w:val="1"/>
                <w:color w:val="auto"/>
              </w:rPr>
            </w:pPr>
          </w:p>
        </w:tc>
      </w:tr>
      <w:tr>
        <w:trPr>
          <w:trHeight w:val="175"/>
        </w:trPr>
        <w:tc>
          <w:tcPr>
            <w:tcW w:w="2820" w:type="dxa"/>
            <w:vAlign w:val="bottom"/>
          </w:tcPr>
          <w:p>
            <w:pPr>
              <w:ind w:left="360"/>
              <w:spacing w:after="0"/>
              <w:rPr>
                <w:sz w:val="20"/>
                <w:szCs w:val="20"/>
                <w:color w:val="auto"/>
              </w:rPr>
            </w:pPr>
            <w:r>
              <w:rPr>
                <w:rFonts w:ascii="Courier New" w:cs="Courier New" w:eastAsia="Courier New" w:hAnsi="Courier New"/>
                <w:sz w:val="15"/>
                <w:szCs w:val="15"/>
                <w:color w:val="auto"/>
              </w:rPr>
              <w:t>U.S. Treasury</w:t>
            </w:r>
          </w:p>
        </w:tc>
        <w:tc>
          <w:tcPr>
            <w:tcW w:w="7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360"/>
              <w:spacing w:after="0"/>
              <w:rPr>
                <w:sz w:val="20"/>
                <w:szCs w:val="20"/>
                <w:color w:val="auto"/>
              </w:rPr>
            </w:pPr>
            <w:r>
              <w:rPr>
                <w:rFonts w:ascii="Courier New" w:cs="Courier New" w:eastAsia="Courier New" w:hAnsi="Courier New"/>
                <w:sz w:val="15"/>
                <w:szCs w:val="15"/>
                <w:color w:val="auto"/>
              </w:rPr>
              <w:t>U.S. Government</w:t>
            </w:r>
          </w:p>
        </w:tc>
        <w:tc>
          <w:tcPr>
            <w:tcW w:w="720" w:type="dxa"/>
            <w:vAlign w:val="bottom"/>
          </w:tcPr>
          <w:p>
            <w:pPr>
              <w:spacing w:after="0"/>
              <w:rPr>
                <w:sz w:val="15"/>
                <w:szCs w:val="15"/>
                <w:color w:val="auto"/>
              </w:rPr>
            </w:pPr>
          </w:p>
        </w:tc>
        <w:tc>
          <w:tcPr>
            <w:tcW w:w="1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37,978</w:t>
            </w:r>
          </w:p>
        </w:tc>
        <w:tc>
          <w:tcPr>
            <w:tcW w:w="540" w:type="dxa"/>
            <w:vAlign w:val="bottom"/>
          </w:tcPr>
          <w:p>
            <w:pPr>
              <w:spacing w:after="0"/>
              <w:rPr>
                <w:sz w:val="15"/>
                <w:szCs w:val="15"/>
                <w:color w:val="auto"/>
              </w:rPr>
            </w:pPr>
          </w:p>
        </w:tc>
        <w:tc>
          <w:tcPr>
            <w:tcW w:w="13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614</w:t>
            </w:r>
          </w:p>
        </w:tc>
        <w:tc>
          <w:tcPr>
            <w:tcW w:w="360" w:type="dxa"/>
            <w:vAlign w:val="bottom"/>
          </w:tcPr>
          <w:p>
            <w:pPr>
              <w:spacing w:after="0"/>
              <w:rPr>
                <w:sz w:val="15"/>
                <w:szCs w:val="15"/>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18</w:t>
            </w:r>
          </w:p>
        </w:tc>
        <w:tc>
          <w:tcPr>
            <w:tcW w:w="4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38,574</w:t>
            </w:r>
          </w:p>
        </w:tc>
        <w:tc>
          <w:tcPr>
            <w:tcW w:w="0" w:type="dxa"/>
            <w:vAlign w:val="bottom"/>
          </w:tcPr>
          <w:p>
            <w:pPr>
              <w:spacing w:after="0"/>
              <w:rPr>
                <w:sz w:val="1"/>
                <w:szCs w:val="1"/>
                <w:color w:val="auto"/>
              </w:rPr>
            </w:pPr>
          </w:p>
        </w:tc>
      </w:tr>
      <w:tr>
        <w:trPr>
          <w:trHeight w:val="175"/>
        </w:trPr>
        <w:tc>
          <w:tcPr>
            <w:tcW w:w="2820" w:type="dxa"/>
            <w:vAlign w:val="bottom"/>
          </w:tcPr>
          <w:p>
            <w:pPr>
              <w:ind w:left="640"/>
              <w:spacing w:after="0"/>
              <w:rPr>
                <w:sz w:val="20"/>
                <w:szCs w:val="20"/>
                <w:color w:val="auto"/>
              </w:rPr>
            </w:pPr>
            <w:r>
              <w:rPr>
                <w:rFonts w:ascii="Courier New" w:cs="Courier New" w:eastAsia="Courier New" w:hAnsi="Courier New"/>
                <w:sz w:val="15"/>
                <w:szCs w:val="15"/>
                <w:color w:val="auto"/>
              </w:rPr>
              <w:t>agency</w:t>
            </w:r>
          </w:p>
        </w:tc>
        <w:tc>
          <w:tcPr>
            <w:tcW w:w="7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360"/>
              <w:spacing w:after="0"/>
              <w:rPr>
                <w:sz w:val="20"/>
                <w:szCs w:val="20"/>
                <w:color w:val="auto"/>
              </w:rPr>
            </w:pPr>
            <w:r>
              <w:rPr>
                <w:rFonts w:ascii="Courier New" w:cs="Courier New" w:eastAsia="Courier New" w:hAnsi="Courier New"/>
                <w:sz w:val="15"/>
                <w:szCs w:val="15"/>
                <w:color w:val="auto"/>
              </w:rPr>
              <w:t>Mortgage-Backed</w:t>
            </w:r>
          </w:p>
        </w:tc>
        <w:tc>
          <w:tcPr>
            <w:tcW w:w="7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10,986</w:t>
            </w:r>
          </w:p>
        </w:tc>
        <w:tc>
          <w:tcPr>
            <w:tcW w:w="540" w:type="dxa"/>
            <w:vAlign w:val="bottom"/>
          </w:tcPr>
          <w:p>
            <w:pPr>
              <w:spacing w:after="0"/>
              <w:rPr>
                <w:sz w:val="15"/>
                <w:szCs w:val="15"/>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56</w:t>
            </w:r>
          </w:p>
        </w:tc>
        <w:tc>
          <w:tcPr>
            <w:tcW w:w="36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10,993</w:t>
            </w:r>
          </w:p>
        </w:tc>
        <w:tc>
          <w:tcPr>
            <w:tcW w:w="0" w:type="dxa"/>
            <w:vAlign w:val="bottom"/>
          </w:tcPr>
          <w:p>
            <w:pPr>
              <w:spacing w:after="0"/>
              <w:rPr>
                <w:sz w:val="1"/>
                <w:szCs w:val="1"/>
                <w:color w:val="auto"/>
              </w:rPr>
            </w:pPr>
          </w:p>
        </w:tc>
      </w:tr>
      <w:tr>
        <w:trPr>
          <w:trHeight w:val="175"/>
        </w:trPr>
        <w:tc>
          <w:tcPr>
            <w:tcW w:w="2820" w:type="dxa"/>
            <w:vAlign w:val="bottom"/>
          </w:tcPr>
          <w:p>
            <w:pPr>
              <w:ind w:left="360"/>
              <w:spacing w:after="0"/>
              <w:rPr>
                <w:sz w:val="20"/>
                <w:szCs w:val="20"/>
                <w:color w:val="auto"/>
              </w:rPr>
            </w:pPr>
            <w:r>
              <w:rPr>
                <w:rFonts w:ascii="Courier New" w:cs="Courier New" w:eastAsia="Courier New" w:hAnsi="Courier New"/>
                <w:sz w:val="15"/>
                <w:szCs w:val="15"/>
                <w:color w:val="auto"/>
              </w:rPr>
              <w:t>State and political</w:t>
            </w:r>
          </w:p>
        </w:tc>
        <w:tc>
          <w:tcPr>
            <w:tcW w:w="720" w:type="dxa"/>
            <w:vAlign w:val="bottom"/>
          </w:tcPr>
          <w:p>
            <w:pPr>
              <w:spacing w:after="0"/>
              <w:rPr>
                <w:sz w:val="15"/>
                <w:szCs w:val="15"/>
                <w:color w:val="auto"/>
              </w:rPr>
            </w:pPr>
          </w:p>
        </w:tc>
        <w:tc>
          <w:tcPr>
            <w:tcW w:w="1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34,119</w:t>
            </w:r>
          </w:p>
        </w:tc>
        <w:tc>
          <w:tcPr>
            <w:tcW w:w="540" w:type="dxa"/>
            <w:vAlign w:val="bottom"/>
          </w:tcPr>
          <w:p>
            <w:pPr>
              <w:spacing w:after="0"/>
              <w:rPr>
                <w:sz w:val="15"/>
                <w:szCs w:val="15"/>
                <w:color w:val="auto"/>
              </w:rPr>
            </w:pPr>
          </w:p>
        </w:tc>
        <w:tc>
          <w:tcPr>
            <w:tcW w:w="13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1,413</w:t>
            </w:r>
          </w:p>
        </w:tc>
        <w:tc>
          <w:tcPr>
            <w:tcW w:w="360" w:type="dxa"/>
            <w:vAlign w:val="bottom"/>
          </w:tcPr>
          <w:p>
            <w:pPr>
              <w:spacing w:after="0"/>
              <w:rPr>
                <w:sz w:val="15"/>
                <w:szCs w:val="15"/>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12</w:t>
            </w:r>
          </w:p>
        </w:tc>
        <w:tc>
          <w:tcPr>
            <w:tcW w:w="4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35,520</w:t>
            </w:r>
          </w:p>
        </w:tc>
        <w:tc>
          <w:tcPr>
            <w:tcW w:w="0" w:type="dxa"/>
            <w:vAlign w:val="bottom"/>
          </w:tcPr>
          <w:p>
            <w:pPr>
              <w:spacing w:after="0"/>
              <w:rPr>
                <w:sz w:val="1"/>
                <w:szCs w:val="1"/>
                <w:color w:val="auto"/>
              </w:rPr>
            </w:pPr>
          </w:p>
        </w:tc>
      </w:tr>
      <w:tr>
        <w:trPr>
          <w:trHeight w:val="175"/>
        </w:trPr>
        <w:tc>
          <w:tcPr>
            <w:tcW w:w="2820" w:type="dxa"/>
            <w:vAlign w:val="bottom"/>
          </w:tcPr>
          <w:p>
            <w:pPr>
              <w:ind w:left="640"/>
              <w:spacing w:after="0"/>
              <w:rPr>
                <w:sz w:val="20"/>
                <w:szCs w:val="20"/>
                <w:color w:val="auto"/>
              </w:rPr>
            </w:pPr>
            <w:r>
              <w:rPr>
                <w:rFonts w:ascii="Courier New" w:cs="Courier New" w:eastAsia="Courier New" w:hAnsi="Courier New"/>
                <w:sz w:val="15"/>
                <w:szCs w:val="15"/>
                <w:color w:val="auto"/>
              </w:rPr>
              <w:t>subdivisions</w:t>
            </w:r>
          </w:p>
        </w:tc>
        <w:tc>
          <w:tcPr>
            <w:tcW w:w="7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360"/>
              <w:spacing w:after="0"/>
              <w:rPr>
                <w:sz w:val="20"/>
                <w:szCs w:val="20"/>
                <w:color w:val="auto"/>
              </w:rPr>
            </w:pPr>
            <w:r>
              <w:rPr>
                <w:rFonts w:ascii="Courier New" w:cs="Courier New" w:eastAsia="Courier New" w:hAnsi="Courier New"/>
                <w:sz w:val="15"/>
                <w:szCs w:val="15"/>
                <w:color w:val="auto"/>
              </w:rPr>
              <w:t>Obligation of</w:t>
            </w: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640"/>
              <w:spacing w:after="0"/>
              <w:rPr>
                <w:sz w:val="20"/>
                <w:szCs w:val="20"/>
                <w:color w:val="auto"/>
              </w:rPr>
            </w:pPr>
            <w:r>
              <w:rPr>
                <w:rFonts w:ascii="Courier New" w:cs="Courier New" w:eastAsia="Courier New" w:hAnsi="Courier New"/>
                <w:sz w:val="15"/>
                <w:szCs w:val="15"/>
                <w:color w:val="auto"/>
              </w:rPr>
              <w:t>domestic</w:t>
            </w:r>
          </w:p>
        </w:tc>
        <w:tc>
          <w:tcPr>
            <w:tcW w:w="720" w:type="dxa"/>
            <w:vAlign w:val="bottom"/>
          </w:tcPr>
          <w:p>
            <w:pPr>
              <w:spacing w:after="0"/>
              <w:rPr>
                <w:sz w:val="15"/>
                <w:szCs w:val="15"/>
                <w:color w:val="auto"/>
              </w:rPr>
            </w:pPr>
          </w:p>
        </w:tc>
        <w:tc>
          <w:tcPr>
            <w:tcW w:w="1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18,905</w:t>
            </w:r>
          </w:p>
        </w:tc>
        <w:tc>
          <w:tcPr>
            <w:tcW w:w="540" w:type="dxa"/>
            <w:vAlign w:val="bottom"/>
          </w:tcPr>
          <w:p>
            <w:pPr>
              <w:spacing w:after="0"/>
              <w:rPr>
                <w:sz w:val="15"/>
                <w:szCs w:val="15"/>
                <w:color w:val="auto"/>
              </w:rPr>
            </w:pPr>
          </w:p>
        </w:tc>
        <w:tc>
          <w:tcPr>
            <w:tcW w:w="13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210</w:t>
            </w:r>
          </w:p>
        </w:tc>
        <w:tc>
          <w:tcPr>
            <w:tcW w:w="360" w:type="dxa"/>
            <w:vAlign w:val="bottom"/>
          </w:tcPr>
          <w:p>
            <w:pPr>
              <w:spacing w:after="0"/>
              <w:rPr>
                <w:sz w:val="15"/>
                <w:szCs w:val="15"/>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19,115</w:t>
            </w:r>
          </w:p>
        </w:tc>
        <w:tc>
          <w:tcPr>
            <w:tcW w:w="0" w:type="dxa"/>
            <w:vAlign w:val="bottom"/>
          </w:tcPr>
          <w:p>
            <w:pPr>
              <w:spacing w:after="0"/>
              <w:rPr>
                <w:sz w:val="1"/>
                <w:szCs w:val="1"/>
                <w:color w:val="auto"/>
              </w:rPr>
            </w:pPr>
          </w:p>
        </w:tc>
      </w:tr>
      <w:tr>
        <w:trPr>
          <w:trHeight w:val="175"/>
        </w:trPr>
        <w:tc>
          <w:tcPr>
            <w:tcW w:w="2820" w:type="dxa"/>
            <w:vAlign w:val="bottom"/>
          </w:tcPr>
          <w:p>
            <w:pPr>
              <w:ind w:left="640"/>
              <w:spacing w:after="0"/>
              <w:rPr>
                <w:sz w:val="20"/>
                <w:szCs w:val="20"/>
                <w:color w:val="auto"/>
              </w:rPr>
            </w:pPr>
            <w:r>
              <w:rPr>
                <w:rFonts w:ascii="Courier New" w:cs="Courier New" w:eastAsia="Courier New" w:hAnsi="Courier New"/>
                <w:sz w:val="15"/>
                <w:szCs w:val="15"/>
                <w:color w:val="auto"/>
              </w:rPr>
              <w:t>corporations</w:t>
            </w:r>
          </w:p>
        </w:tc>
        <w:tc>
          <w:tcPr>
            <w:tcW w:w="7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360"/>
              <w:spacing w:after="0"/>
              <w:rPr>
                <w:sz w:val="20"/>
                <w:szCs w:val="20"/>
                <w:color w:val="auto"/>
              </w:rPr>
            </w:pPr>
            <w:r>
              <w:rPr>
                <w:rFonts w:ascii="Courier New" w:cs="Courier New" w:eastAsia="Courier New" w:hAnsi="Courier New"/>
                <w:sz w:val="15"/>
                <w:szCs w:val="15"/>
                <w:color w:val="auto"/>
              </w:rPr>
              <w:t>Stocks of domestic</w:t>
            </w:r>
          </w:p>
        </w:tc>
        <w:tc>
          <w:tcPr>
            <w:tcW w:w="720" w:type="dxa"/>
            <w:vAlign w:val="bottom"/>
          </w:tcPr>
          <w:p>
            <w:pPr>
              <w:spacing w:after="0"/>
              <w:rPr>
                <w:sz w:val="15"/>
                <w:szCs w:val="15"/>
                <w:color w:val="auto"/>
              </w:rPr>
            </w:pPr>
          </w:p>
        </w:tc>
        <w:tc>
          <w:tcPr>
            <w:tcW w:w="1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spacing w:after="0"/>
              <w:rPr>
                <w:sz w:val="15"/>
                <w:szCs w:val="15"/>
                <w:color w:val="auto"/>
              </w:rPr>
            </w:pPr>
          </w:p>
        </w:tc>
        <w:tc>
          <w:tcPr>
            <w:tcW w:w="13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5"/>
                <w:szCs w:val="15"/>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5"/>
        </w:trPr>
        <w:tc>
          <w:tcPr>
            <w:tcW w:w="2820" w:type="dxa"/>
            <w:vAlign w:val="bottom"/>
          </w:tcPr>
          <w:p>
            <w:pPr>
              <w:ind w:left="640"/>
              <w:spacing w:after="0"/>
              <w:rPr>
                <w:sz w:val="20"/>
                <w:szCs w:val="20"/>
                <w:color w:val="auto"/>
              </w:rPr>
            </w:pPr>
            <w:r>
              <w:rPr>
                <w:rFonts w:ascii="Courier New" w:cs="Courier New" w:eastAsia="Courier New" w:hAnsi="Courier New"/>
                <w:sz w:val="15"/>
                <w:szCs w:val="15"/>
                <w:color w:val="auto"/>
              </w:rPr>
              <w:t>corporations</w:t>
            </w:r>
          </w:p>
        </w:tc>
        <w:tc>
          <w:tcPr>
            <w:tcW w:w="7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360"/>
              <w:spacing w:after="0"/>
              <w:rPr>
                <w:sz w:val="20"/>
                <w:szCs w:val="20"/>
                <w:color w:val="auto"/>
              </w:rPr>
            </w:pPr>
            <w:r>
              <w:rPr>
                <w:rFonts w:ascii="Courier New" w:cs="Courier New" w:eastAsia="Courier New" w:hAnsi="Courier New"/>
                <w:sz w:val="15"/>
                <w:szCs w:val="15"/>
                <w:color w:val="auto"/>
              </w:rPr>
              <w:t>Federal Home Loan Bank</w:t>
            </w:r>
          </w:p>
        </w:tc>
        <w:tc>
          <w:tcPr>
            <w:tcW w:w="720" w:type="dxa"/>
            <w:vAlign w:val="bottom"/>
          </w:tcPr>
          <w:p>
            <w:pPr>
              <w:spacing w:after="0"/>
              <w:rPr>
                <w:sz w:val="15"/>
                <w:szCs w:val="15"/>
                <w:color w:val="auto"/>
              </w:rPr>
            </w:pPr>
          </w:p>
        </w:tc>
        <w:tc>
          <w:tcPr>
            <w:tcW w:w="1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2,577</w:t>
            </w:r>
          </w:p>
        </w:tc>
        <w:tc>
          <w:tcPr>
            <w:tcW w:w="540" w:type="dxa"/>
            <w:vAlign w:val="bottom"/>
          </w:tcPr>
          <w:p>
            <w:pPr>
              <w:spacing w:after="0"/>
              <w:rPr>
                <w:sz w:val="15"/>
                <w:szCs w:val="15"/>
                <w:color w:val="auto"/>
              </w:rPr>
            </w:pPr>
          </w:p>
        </w:tc>
        <w:tc>
          <w:tcPr>
            <w:tcW w:w="13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5"/>
                <w:szCs w:val="15"/>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2,577</w:t>
            </w:r>
          </w:p>
        </w:tc>
        <w:tc>
          <w:tcPr>
            <w:tcW w:w="0" w:type="dxa"/>
            <w:vAlign w:val="bottom"/>
          </w:tcPr>
          <w:p>
            <w:pPr>
              <w:spacing w:after="0"/>
              <w:rPr>
                <w:sz w:val="1"/>
                <w:szCs w:val="1"/>
                <w:color w:val="auto"/>
              </w:rPr>
            </w:pPr>
          </w:p>
        </w:tc>
      </w:tr>
      <w:tr>
        <w:trPr>
          <w:trHeight w:val="175"/>
        </w:trPr>
        <w:tc>
          <w:tcPr>
            <w:tcW w:w="2820" w:type="dxa"/>
            <w:vAlign w:val="bottom"/>
          </w:tcPr>
          <w:p>
            <w:pPr>
              <w:ind w:left="640"/>
              <w:spacing w:after="0"/>
              <w:rPr>
                <w:sz w:val="20"/>
                <w:szCs w:val="20"/>
                <w:color w:val="auto"/>
              </w:rPr>
            </w:pPr>
            <w:r>
              <w:rPr>
                <w:rFonts w:ascii="Courier New" w:cs="Courier New" w:eastAsia="Courier New" w:hAnsi="Courier New"/>
                <w:sz w:val="15"/>
                <w:szCs w:val="15"/>
                <w:color w:val="auto"/>
              </w:rPr>
              <w:t>stock (restricted)</w:t>
            </w:r>
          </w:p>
        </w:tc>
        <w:tc>
          <w:tcPr>
            <w:tcW w:w="7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2"/>
                <w:szCs w:val="22"/>
                <w:color w:val="auto"/>
              </w:rPr>
            </w:pPr>
          </w:p>
        </w:tc>
        <w:tc>
          <w:tcPr>
            <w:tcW w:w="18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820" w:type="dxa"/>
            <w:vAlign w:val="bottom"/>
          </w:tcPr>
          <w:p>
            <w:pPr>
              <w:spacing w:after="0"/>
              <w:rPr>
                <w:sz w:val="23"/>
                <w:szCs w:val="23"/>
                <w:color w:val="auto"/>
              </w:rPr>
            </w:pP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121,377</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2,613</w:t>
            </w:r>
          </w:p>
        </w:tc>
        <w:tc>
          <w:tcPr>
            <w:tcW w:w="360" w:type="dxa"/>
            <w:vAlign w:val="bottom"/>
          </w:tcPr>
          <w:p>
            <w:pPr>
              <w:jc w:val="right"/>
              <w:ind w:right="205"/>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79</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123,911</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2"/>
                <w:szCs w:val="22"/>
                <w:color w:val="auto"/>
              </w:rPr>
            </w:pPr>
          </w:p>
        </w:tc>
        <w:tc>
          <w:tcPr>
            <w:tcW w:w="18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360"/>
          </w:cols>
          <w:pgMar w:left="240" w:top="265" w:right="1299"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42</w:t>
      </w:r>
    </w:p>
    <w:p>
      <w:pPr>
        <w:spacing w:after="0" w:line="354"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54"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5"/>
          <w:szCs w:val="15"/>
          <w:color w:val="auto"/>
        </w:rPr>
        <w:t>INVESTMENT SECURITIES (Continued)</w:t>
      </w:r>
    </w:p>
    <w:p>
      <w:pPr>
        <w:spacing w:after="0" w:line="200" w:lineRule="exact"/>
        <w:rPr>
          <w:sz w:val="20"/>
          <w:szCs w:val="20"/>
          <w:color w:val="auto"/>
        </w:rPr>
      </w:pPr>
    </w:p>
    <w:p>
      <w:pPr>
        <w:spacing w:after="0" w:line="329"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3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594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Gross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Gross</w:t>
            </w:r>
          </w:p>
        </w:tc>
        <w:tc>
          <w:tcPr>
            <w:tcW w:w="26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Gross</w:t>
            </w:r>
          </w:p>
        </w:tc>
        <w:tc>
          <w:tcPr>
            <w:tcW w:w="4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Gross</w:t>
            </w:r>
          </w:p>
        </w:tc>
        <w:tc>
          <w:tcPr>
            <w:tcW w:w="0" w:type="dxa"/>
            <w:vAlign w:val="bottom"/>
          </w:tcPr>
          <w:p>
            <w:pPr>
              <w:spacing w:after="0"/>
              <w:rPr>
                <w:sz w:val="1"/>
                <w:szCs w:val="1"/>
                <w:color w:val="auto"/>
              </w:rPr>
            </w:pPr>
          </w:p>
        </w:tc>
      </w:tr>
      <w:tr>
        <w:trPr>
          <w:trHeight w:val="175"/>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Amortized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7"/>
              </w:rPr>
              <w:t>Unrealized</w:t>
            </w:r>
          </w:p>
        </w:tc>
        <w:tc>
          <w:tcPr>
            <w:tcW w:w="26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Unrealized</w:t>
            </w:r>
          </w:p>
        </w:tc>
        <w:tc>
          <w:tcPr>
            <w:tcW w:w="4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Market</w:t>
            </w:r>
          </w:p>
        </w:tc>
        <w:tc>
          <w:tcPr>
            <w:tcW w:w="0" w:type="dxa"/>
            <w:vAlign w:val="bottom"/>
          </w:tcPr>
          <w:p>
            <w:pPr>
              <w:spacing w:after="0"/>
              <w:rPr>
                <w:sz w:val="1"/>
                <w:szCs w:val="1"/>
                <w:color w:val="auto"/>
              </w:rPr>
            </w:pPr>
          </w:p>
        </w:tc>
      </w:tr>
      <w:tr>
        <w:trPr>
          <w:trHeight w:val="175"/>
        </w:trPr>
        <w:tc>
          <w:tcPr>
            <w:tcW w:w="3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Cost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Gains</w:t>
            </w:r>
          </w:p>
        </w:tc>
        <w:tc>
          <w:tcPr>
            <w:tcW w:w="26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Losses</w:t>
            </w:r>
          </w:p>
        </w:tc>
        <w:tc>
          <w:tcPr>
            <w:tcW w:w="4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2"/>
                <w:szCs w:val="22"/>
                <w:color w:val="auto"/>
              </w:rPr>
            </w:pP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3240" w:type="dxa"/>
            <w:vAlign w:val="bottom"/>
          </w:tcPr>
          <w:p>
            <w:pPr>
              <w:spacing w:after="0"/>
              <w:rPr>
                <w:sz w:val="20"/>
                <w:szCs w:val="20"/>
                <w:color w:val="auto"/>
              </w:rPr>
            </w:pPr>
            <w:r>
              <w:rPr>
                <w:rFonts w:ascii="Courier New" w:cs="Courier New" w:eastAsia="Courier New" w:hAnsi="Courier New"/>
                <w:sz w:val="15"/>
                <w:szCs w:val="15"/>
                <w:color w:val="auto"/>
              </w:rPr>
              <w:t>Available for Sale:</w:t>
            </w:r>
          </w:p>
        </w:tc>
        <w:tc>
          <w:tcPr>
            <w:tcW w:w="2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22,200</w:t>
            </w:r>
          </w:p>
        </w:tc>
        <w:tc>
          <w:tcPr>
            <w:tcW w:w="260" w:type="dxa"/>
            <w:vAlign w:val="bottom"/>
          </w:tcPr>
          <w:p>
            <w:pPr>
              <w:spacing w:after="0"/>
              <w:rPr>
                <w:sz w:val="24"/>
                <w:szCs w:val="24"/>
                <w:color w:val="auto"/>
              </w:rPr>
            </w:pPr>
          </w:p>
        </w:tc>
        <w:tc>
          <w:tcPr>
            <w:tcW w:w="2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195</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22</w:t>
            </w:r>
          </w:p>
        </w:tc>
        <w:tc>
          <w:tcPr>
            <w:tcW w:w="46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22,373</w:t>
            </w:r>
          </w:p>
        </w:tc>
        <w:tc>
          <w:tcPr>
            <w:tcW w:w="0" w:type="dxa"/>
            <w:vAlign w:val="bottom"/>
          </w:tcPr>
          <w:p>
            <w:pPr>
              <w:spacing w:after="0"/>
              <w:rPr>
                <w:sz w:val="1"/>
                <w:szCs w:val="1"/>
                <w:color w:val="auto"/>
              </w:rPr>
            </w:pPr>
          </w:p>
        </w:tc>
      </w:tr>
      <w:tr>
        <w:trPr>
          <w:trHeight w:val="175"/>
        </w:trPr>
        <w:tc>
          <w:tcPr>
            <w:tcW w:w="3240" w:type="dxa"/>
            <w:vAlign w:val="bottom"/>
          </w:tcPr>
          <w:p>
            <w:pPr>
              <w:ind w:left="380"/>
              <w:spacing w:after="0"/>
              <w:rPr>
                <w:sz w:val="20"/>
                <w:szCs w:val="20"/>
                <w:color w:val="auto"/>
              </w:rPr>
            </w:pPr>
            <w:r>
              <w:rPr>
                <w:rFonts w:ascii="Courier New" w:cs="Courier New" w:eastAsia="Courier New" w:hAnsi="Courier New"/>
                <w:sz w:val="15"/>
                <w:szCs w:val="15"/>
                <w:color w:val="auto"/>
              </w:rPr>
              <w:t>U.S. Treasury</w:t>
            </w:r>
          </w:p>
        </w:tc>
        <w:tc>
          <w:tcPr>
            <w:tcW w:w="2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380"/>
              <w:spacing w:after="0"/>
              <w:rPr>
                <w:sz w:val="20"/>
                <w:szCs w:val="20"/>
                <w:color w:val="auto"/>
              </w:rPr>
            </w:pPr>
            <w:r>
              <w:rPr>
                <w:rFonts w:ascii="Courier New" w:cs="Courier New" w:eastAsia="Courier New" w:hAnsi="Courier New"/>
                <w:sz w:val="15"/>
                <w:szCs w:val="15"/>
                <w:color w:val="auto"/>
              </w:rPr>
              <w:t>U.S. Government</w:t>
            </w:r>
          </w:p>
        </w:tc>
        <w:tc>
          <w:tcPr>
            <w:tcW w:w="220" w:type="dxa"/>
            <w:vAlign w:val="bottom"/>
          </w:tcPr>
          <w:p>
            <w:pPr>
              <w:spacing w:after="0"/>
              <w:rPr>
                <w:sz w:val="15"/>
                <w:szCs w:val="15"/>
                <w:color w:val="auto"/>
              </w:rPr>
            </w:pPr>
          </w:p>
        </w:tc>
        <w:tc>
          <w:tcPr>
            <w:tcW w:w="12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22,100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224</w:t>
            </w:r>
          </w:p>
        </w:tc>
        <w:tc>
          <w:tcPr>
            <w:tcW w:w="260" w:type="dxa"/>
            <w:vAlign w:val="bottom"/>
          </w:tcPr>
          <w:p>
            <w:pPr>
              <w:spacing w:after="0"/>
              <w:rPr>
                <w:sz w:val="15"/>
                <w:szCs w:val="15"/>
                <w:color w:val="auto"/>
              </w:rPr>
            </w:pP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4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22,322</w:t>
            </w:r>
          </w:p>
        </w:tc>
        <w:tc>
          <w:tcPr>
            <w:tcW w:w="0" w:type="dxa"/>
            <w:vAlign w:val="bottom"/>
          </w:tcPr>
          <w:p>
            <w:pPr>
              <w:spacing w:after="0"/>
              <w:rPr>
                <w:sz w:val="1"/>
                <w:szCs w:val="1"/>
                <w:color w:val="auto"/>
              </w:rPr>
            </w:pPr>
          </w:p>
        </w:tc>
      </w:tr>
      <w:tr>
        <w:trPr>
          <w:trHeight w:val="175"/>
        </w:trPr>
        <w:tc>
          <w:tcPr>
            <w:tcW w:w="3240" w:type="dxa"/>
            <w:vAlign w:val="bottom"/>
          </w:tcPr>
          <w:p>
            <w:pPr>
              <w:ind w:left="640"/>
              <w:spacing w:after="0"/>
              <w:rPr>
                <w:sz w:val="20"/>
                <w:szCs w:val="20"/>
                <w:color w:val="auto"/>
              </w:rPr>
            </w:pPr>
            <w:r>
              <w:rPr>
                <w:rFonts w:ascii="Courier New" w:cs="Courier New" w:eastAsia="Courier New" w:hAnsi="Courier New"/>
                <w:sz w:val="15"/>
                <w:szCs w:val="15"/>
                <w:color w:val="auto"/>
              </w:rPr>
              <w:t>agency</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380"/>
              <w:spacing w:after="0"/>
              <w:rPr>
                <w:sz w:val="20"/>
                <w:szCs w:val="20"/>
                <w:color w:val="auto"/>
              </w:rPr>
            </w:pPr>
            <w:r>
              <w:rPr>
                <w:rFonts w:ascii="Courier New" w:cs="Courier New" w:eastAsia="Courier New" w:hAnsi="Courier New"/>
                <w:sz w:val="15"/>
                <w:szCs w:val="15"/>
                <w:color w:val="auto"/>
              </w:rPr>
              <w:t>Mortgage-Backed</w:t>
            </w:r>
          </w:p>
        </w:tc>
        <w:tc>
          <w:tcPr>
            <w:tcW w:w="22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9,033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8,991</w:t>
            </w:r>
          </w:p>
        </w:tc>
        <w:tc>
          <w:tcPr>
            <w:tcW w:w="0" w:type="dxa"/>
            <w:vAlign w:val="bottom"/>
          </w:tcPr>
          <w:p>
            <w:pPr>
              <w:spacing w:after="0"/>
              <w:rPr>
                <w:sz w:val="1"/>
                <w:szCs w:val="1"/>
                <w:color w:val="auto"/>
              </w:rPr>
            </w:pPr>
          </w:p>
        </w:tc>
      </w:tr>
      <w:tr>
        <w:trPr>
          <w:trHeight w:val="175"/>
        </w:trPr>
        <w:tc>
          <w:tcPr>
            <w:tcW w:w="3240" w:type="dxa"/>
            <w:vAlign w:val="bottom"/>
          </w:tcPr>
          <w:p>
            <w:pPr>
              <w:ind w:left="380"/>
              <w:spacing w:after="0"/>
              <w:rPr>
                <w:sz w:val="20"/>
                <w:szCs w:val="20"/>
                <w:color w:val="auto"/>
              </w:rPr>
            </w:pPr>
            <w:r>
              <w:rPr>
                <w:rFonts w:ascii="Courier New" w:cs="Courier New" w:eastAsia="Courier New" w:hAnsi="Courier New"/>
                <w:sz w:val="15"/>
                <w:szCs w:val="15"/>
                <w:color w:val="auto"/>
              </w:rPr>
              <w:t>State and political</w:t>
            </w:r>
          </w:p>
        </w:tc>
        <w:tc>
          <w:tcPr>
            <w:tcW w:w="220" w:type="dxa"/>
            <w:vAlign w:val="bottom"/>
          </w:tcPr>
          <w:p>
            <w:pPr>
              <w:spacing w:after="0"/>
              <w:rPr>
                <w:sz w:val="15"/>
                <w:szCs w:val="15"/>
                <w:color w:val="auto"/>
              </w:rPr>
            </w:pPr>
          </w:p>
        </w:tc>
        <w:tc>
          <w:tcPr>
            <w:tcW w:w="12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24,499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1,127</w:t>
            </w:r>
          </w:p>
        </w:tc>
        <w:tc>
          <w:tcPr>
            <w:tcW w:w="260" w:type="dxa"/>
            <w:vAlign w:val="bottom"/>
          </w:tcPr>
          <w:p>
            <w:pPr>
              <w:spacing w:after="0"/>
              <w:rPr>
                <w:sz w:val="15"/>
                <w:szCs w:val="15"/>
                <w:color w:val="auto"/>
              </w:rPr>
            </w:pP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9</w:t>
            </w:r>
          </w:p>
        </w:tc>
        <w:tc>
          <w:tcPr>
            <w:tcW w:w="4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25,617</w:t>
            </w:r>
          </w:p>
        </w:tc>
        <w:tc>
          <w:tcPr>
            <w:tcW w:w="0" w:type="dxa"/>
            <w:vAlign w:val="bottom"/>
          </w:tcPr>
          <w:p>
            <w:pPr>
              <w:spacing w:after="0"/>
              <w:rPr>
                <w:sz w:val="1"/>
                <w:szCs w:val="1"/>
                <w:color w:val="auto"/>
              </w:rPr>
            </w:pPr>
          </w:p>
        </w:tc>
      </w:tr>
      <w:tr>
        <w:trPr>
          <w:trHeight w:val="175"/>
        </w:trPr>
        <w:tc>
          <w:tcPr>
            <w:tcW w:w="3240" w:type="dxa"/>
            <w:vAlign w:val="bottom"/>
          </w:tcPr>
          <w:p>
            <w:pPr>
              <w:ind w:left="640"/>
              <w:spacing w:after="0"/>
              <w:rPr>
                <w:sz w:val="20"/>
                <w:szCs w:val="20"/>
                <w:color w:val="auto"/>
              </w:rPr>
            </w:pPr>
            <w:r>
              <w:rPr>
                <w:rFonts w:ascii="Courier New" w:cs="Courier New" w:eastAsia="Courier New" w:hAnsi="Courier New"/>
                <w:sz w:val="15"/>
                <w:szCs w:val="15"/>
                <w:color w:val="auto"/>
              </w:rPr>
              <w:t>subdivisions</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380"/>
              <w:spacing w:after="0"/>
              <w:rPr>
                <w:sz w:val="20"/>
                <w:szCs w:val="20"/>
                <w:color w:val="auto"/>
              </w:rPr>
            </w:pPr>
            <w:r>
              <w:rPr>
                <w:rFonts w:ascii="Courier New" w:cs="Courier New" w:eastAsia="Courier New" w:hAnsi="Courier New"/>
                <w:sz w:val="15"/>
                <w:szCs w:val="15"/>
                <w:color w:val="auto"/>
              </w:rPr>
              <w:t>Obligation of</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640"/>
              <w:spacing w:after="0"/>
              <w:rPr>
                <w:sz w:val="20"/>
                <w:szCs w:val="20"/>
                <w:color w:val="auto"/>
              </w:rPr>
            </w:pPr>
            <w:r>
              <w:rPr>
                <w:rFonts w:ascii="Courier New" w:cs="Courier New" w:eastAsia="Courier New" w:hAnsi="Courier New"/>
                <w:sz w:val="15"/>
                <w:szCs w:val="15"/>
                <w:color w:val="auto"/>
              </w:rPr>
              <w:t>domestic</w:t>
            </w:r>
          </w:p>
        </w:tc>
        <w:tc>
          <w:tcPr>
            <w:tcW w:w="220" w:type="dxa"/>
            <w:vAlign w:val="bottom"/>
          </w:tcPr>
          <w:p>
            <w:pPr>
              <w:spacing w:after="0"/>
              <w:rPr>
                <w:sz w:val="15"/>
                <w:szCs w:val="15"/>
                <w:color w:val="auto"/>
              </w:rPr>
            </w:pPr>
          </w:p>
        </w:tc>
        <w:tc>
          <w:tcPr>
            <w:tcW w:w="12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10,282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48</w:t>
            </w:r>
          </w:p>
        </w:tc>
        <w:tc>
          <w:tcPr>
            <w:tcW w:w="260" w:type="dxa"/>
            <w:vAlign w:val="bottom"/>
          </w:tcPr>
          <w:p>
            <w:pPr>
              <w:spacing w:after="0"/>
              <w:rPr>
                <w:sz w:val="15"/>
                <w:szCs w:val="15"/>
                <w:color w:val="auto"/>
              </w:rPr>
            </w:pP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w:t>
            </w:r>
          </w:p>
        </w:tc>
        <w:tc>
          <w:tcPr>
            <w:tcW w:w="4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10,327</w:t>
            </w:r>
          </w:p>
        </w:tc>
        <w:tc>
          <w:tcPr>
            <w:tcW w:w="0" w:type="dxa"/>
            <w:vAlign w:val="bottom"/>
          </w:tcPr>
          <w:p>
            <w:pPr>
              <w:spacing w:after="0"/>
              <w:rPr>
                <w:sz w:val="1"/>
                <w:szCs w:val="1"/>
                <w:color w:val="auto"/>
              </w:rPr>
            </w:pPr>
          </w:p>
        </w:tc>
      </w:tr>
      <w:tr>
        <w:trPr>
          <w:trHeight w:val="175"/>
        </w:trPr>
        <w:tc>
          <w:tcPr>
            <w:tcW w:w="3240" w:type="dxa"/>
            <w:vAlign w:val="bottom"/>
          </w:tcPr>
          <w:p>
            <w:pPr>
              <w:ind w:left="640"/>
              <w:spacing w:after="0"/>
              <w:rPr>
                <w:sz w:val="20"/>
                <w:szCs w:val="20"/>
                <w:color w:val="auto"/>
              </w:rPr>
            </w:pPr>
            <w:r>
              <w:rPr>
                <w:rFonts w:ascii="Courier New" w:cs="Courier New" w:eastAsia="Courier New" w:hAnsi="Courier New"/>
                <w:sz w:val="15"/>
                <w:szCs w:val="15"/>
                <w:color w:val="auto"/>
              </w:rPr>
              <w:t>corporations</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380"/>
              <w:spacing w:after="0"/>
              <w:rPr>
                <w:sz w:val="20"/>
                <w:szCs w:val="20"/>
                <w:color w:val="auto"/>
              </w:rPr>
            </w:pPr>
            <w:r>
              <w:rPr>
                <w:rFonts w:ascii="Courier New" w:cs="Courier New" w:eastAsia="Courier New" w:hAnsi="Courier New"/>
                <w:sz w:val="15"/>
                <w:szCs w:val="15"/>
                <w:color w:val="auto"/>
              </w:rPr>
              <w:t>Stocks of domestic</w:t>
            </w:r>
          </w:p>
        </w:tc>
        <w:tc>
          <w:tcPr>
            <w:tcW w:w="220" w:type="dxa"/>
            <w:vAlign w:val="bottom"/>
          </w:tcPr>
          <w:p>
            <w:pPr>
              <w:spacing w:after="0"/>
              <w:rPr>
                <w:sz w:val="15"/>
                <w:szCs w:val="15"/>
                <w:color w:val="auto"/>
              </w:rPr>
            </w:pPr>
          </w:p>
        </w:tc>
        <w:tc>
          <w:tcPr>
            <w:tcW w:w="12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5"/>
                <w:szCs w:val="15"/>
                <w:color w:val="auto"/>
              </w:rPr>
            </w:pP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5"/>
        </w:trPr>
        <w:tc>
          <w:tcPr>
            <w:tcW w:w="3240" w:type="dxa"/>
            <w:vAlign w:val="bottom"/>
          </w:tcPr>
          <w:p>
            <w:pPr>
              <w:ind w:left="640"/>
              <w:spacing w:after="0"/>
              <w:rPr>
                <w:sz w:val="20"/>
                <w:szCs w:val="20"/>
                <w:color w:val="auto"/>
              </w:rPr>
            </w:pPr>
            <w:r>
              <w:rPr>
                <w:rFonts w:ascii="Courier New" w:cs="Courier New" w:eastAsia="Courier New" w:hAnsi="Courier New"/>
                <w:sz w:val="15"/>
                <w:szCs w:val="15"/>
                <w:color w:val="auto"/>
              </w:rPr>
              <w:t>corporations</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380"/>
              <w:spacing w:after="0"/>
              <w:rPr>
                <w:sz w:val="20"/>
                <w:szCs w:val="20"/>
                <w:color w:val="auto"/>
              </w:rPr>
            </w:pPr>
            <w:r>
              <w:rPr>
                <w:rFonts w:ascii="Courier New" w:cs="Courier New" w:eastAsia="Courier New" w:hAnsi="Courier New"/>
                <w:sz w:val="15"/>
                <w:szCs w:val="15"/>
                <w:color w:val="auto"/>
              </w:rPr>
              <w:t>Federal Home Loan Bank</w:t>
            </w:r>
          </w:p>
        </w:tc>
        <w:tc>
          <w:tcPr>
            <w:tcW w:w="220" w:type="dxa"/>
            <w:vAlign w:val="bottom"/>
          </w:tcPr>
          <w:p>
            <w:pPr>
              <w:spacing w:after="0"/>
              <w:rPr>
                <w:sz w:val="15"/>
                <w:szCs w:val="15"/>
                <w:color w:val="auto"/>
              </w:rPr>
            </w:pPr>
          </w:p>
        </w:tc>
        <w:tc>
          <w:tcPr>
            <w:tcW w:w="12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2,400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5"/>
                <w:szCs w:val="15"/>
                <w:color w:val="auto"/>
              </w:rPr>
            </w:pP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2,400</w:t>
            </w:r>
          </w:p>
        </w:tc>
        <w:tc>
          <w:tcPr>
            <w:tcW w:w="0" w:type="dxa"/>
            <w:vAlign w:val="bottom"/>
          </w:tcPr>
          <w:p>
            <w:pPr>
              <w:spacing w:after="0"/>
              <w:rPr>
                <w:sz w:val="1"/>
                <w:szCs w:val="1"/>
                <w:color w:val="auto"/>
              </w:rPr>
            </w:pPr>
          </w:p>
        </w:tc>
      </w:tr>
      <w:tr>
        <w:trPr>
          <w:trHeight w:val="175"/>
        </w:trPr>
        <w:tc>
          <w:tcPr>
            <w:tcW w:w="3240" w:type="dxa"/>
            <w:vAlign w:val="bottom"/>
          </w:tcPr>
          <w:p>
            <w:pPr>
              <w:ind w:left="640"/>
              <w:spacing w:after="0"/>
              <w:rPr>
                <w:sz w:val="20"/>
                <w:szCs w:val="20"/>
                <w:color w:val="auto"/>
              </w:rPr>
            </w:pPr>
            <w:r>
              <w:rPr>
                <w:rFonts w:ascii="Courier New" w:cs="Courier New" w:eastAsia="Courier New" w:hAnsi="Courier New"/>
                <w:sz w:val="15"/>
                <w:szCs w:val="15"/>
                <w:color w:val="auto"/>
              </w:rPr>
              <w:t>stock (restricted)</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2"/>
                <w:szCs w:val="22"/>
                <w:color w:val="auto"/>
              </w:rPr>
            </w:pP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24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90,534</w:t>
            </w:r>
          </w:p>
        </w:tc>
        <w:tc>
          <w:tcPr>
            <w:tcW w:w="260" w:type="dxa"/>
            <w:vAlign w:val="bottom"/>
          </w:tcPr>
          <w:p>
            <w:pPr>
              <w:spacing w:after="0"/>
              <w:rPr>
                <w:sz w:val="23"/>
                <w:szCs w:val="23"/>
                <w:color w:val="auto"/>
              </w:rPr>
            </w:pPr>
          </w:p>
        </w:tc>
        <w:tc>
          <w:tcPr>
            <w:tcW w:w="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1,618</w:t>
            </w:r>
          </w:p>
        </w:tc>
        <w:tc>
          <w:tcPr>
            <w:tcW w:w="260" w:type="dxa"/>
            <w:vAlign w:val="bottom"/>
          </w:tcPr>
          <w:p>
            <w:pPr>
              <w:jc w:val="right"/>
              <w:ind w:right="106"/>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w:t>
            </w:r>
          </w:p>
        </w:tc>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92,050</w:t>
            </w: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2"/>
                <w:szCs w:val="22"/>
                <w:color w:val="auto"/>
              </w:rPr>
            </w:pP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5000" w:type="dxa"/>
            <w:vAlign w:val="bottom"/>
            <w:gridSpan w:val="4"/>
          </w:tcPr>
          <w:p>
            <w:pPr>
              <w:spacing w:after="0"/>
              <w:rPr>
                <w:sz w:val="20"/>
                <w:szCs w:val="20"/>
                <w:color w:val="auto"/>
              </w:rPr>
            </w:pPr>
            <w:r>
              <w:rPr>
                <w:rFonts w:ascii="Courier New" w:cs="Courier New" w:eastAsia="Courier New" w:hAnsi="Courier New"/>
                <w:sz w:val="15"/>
                <w:szCs w:val="15"/>
                <w:color w:val="auto"/>
              </w:rPr>
              <w:t>The Federal Home Loan Bank stock is held as collateral</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560" w:type="dxa"/>
            <w:vAlign w:val="bottom"/>
            <w:gridSpan w:val="6"/>
          </w:tcPr>
          <w:p>
            <w:pPr>
              <w:spacing w:after="0"/>
              <w:rPr>
                <w:sz w:val="20"/>
                <w:szCs w:val="20"/>
                <w:color w:val="auto"/>
              </w:rPr>
            </w:pPr>
            <w:r>
              <w:rPr>
                <w:rFonts w:ascii="Courier New" w:cs="Courier New" w:eastAsia="Courier New" w:hAnsi="Courier New"/>
                <w:sz w:val="15"/>
                <w:szCs w:val="15"/>
                <w:color w:val="auto"/>
              </w:rPr>
              <w:t>security for all indebtedness of The Farmers &amp; Merchants State</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Bank to the Federal Home Loan Bank.</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000" w:type="dxa"/>
            <w:vAlign w:val="bottom"/>
            <w:gridSpan w:val="4"/>
          </w:tcPr>
          <w:p>
            <w:pPr>
              <w:spacing w:after="0"/>
              <w:rPr>
                <w:sz w:val="20"/>
                <w:szCs w:val="20"/>
                <w:color w:val="auto"/>
              </w:rPr>
            </w:pPr>
            <w:r>
              <w:rPr>
                <w:rFonts w:ascii="Courier New" w:cs="Courier New" w:eastAsia="Courier New" w:hAnsi="Courier New"/>
                <w:sz w:val="15"/>
                <w:szCs w:val="15"/>
                <w:color w:val="auto"/>
              </w:rPr>
              <w:t>The gross realized gains and losses for the years ended</w:t>
            </w: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0"/>
                <w:szCs w:val="20"/>
                <w:color w:val="auto"/>
              </w:rPr>
            </w:pPr>
            <w:r>
              <w:rPr>
                <w:rFonts w:ascii="Courier New" w:cs="Courier New" w:eastAsia="Courier New" w:hAnsi="Courier New"/>
                <w:sz w:val="15"/>
                <w:szCs w:val="15"/>
                <w:color w:val="auto"/>
              </w:rPr>
              <w:t>December 31, are presented below:</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24"/>
                <w:szCs w:val="2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24"/>
                <w:szCs w:val="24"/>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jc w:val="right"/>
              <w:ind w:right="11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2"/>
                <w:szCs w:val="22"/>
                <w:color w:val="auto"/>
              </w:rPr>
            </w:pPr>
          </w:p>
        </w:tc>
        <w:tc>
          <w:tcPr>
            <w:tcW w:w="1560" w:type="dxa"/>
            <w:vAlign w:val="bottom"/>
            <w:gridSpan w:val="2"/>
          </w:tcPr>
          <w:p>
            <w:pPr>
              <w:jc w:val="right"/>
              <w:ind w:right="306"/>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240" w:type="dxa"/>
            <w:vAlign w:val="bottom"/>
          </w:tcPr>
          <w:p>
            <w:pPr>
              <w:spacing w:after="0"/>
              <w:rPr>
                <w:sz w:val="20"/>
                <w:szCs w:val="20"/>
                <w:color w:val="auto"/>
              </w:rPr>
            </w:pPr>
            <w:r>
              <w:rPr>
                <w:rFonts w:ascii="Courier New" w:cs="Courier New" w:eastAsia="Courier New" w:hAnsi="Courier New"/>
                <w:sz w:val="15"/>
                <w:szCs w:val="15"/>
                <w:color w:val="auto"/>
              </w:rPr>
              <w:t>Gross realized gains</w:t>
            </w:r>
          </w:p>
        </w:tc>
        <w:tc>
          <w:tcPr>
            <w:tcW w:w="220" w:type="dxa"/>
            <w:vAlign w:val="bottom"/>
          </w:tcPr>
          <w:p>
            <w:pPr>
              <w:spacing w:after="0"/>
              <w:rPr>
                <w:sz w:val="23"/>
                <w:szCs w:val="23"/>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70"/>
              </w:rPr>
              <w:t>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23"/>
                <w:szCs w:val="23"/>
                <w:color w:val="auto"/>
              </w:rPr>
            </w:pPr>
          </w:p>
        </w:tc>
        <w:tc>
          <w:tcPr>
            <w:tcW w:w="1100" w:type="dxa"/>
            <w:vAlign w:val="bottom"/>
          </w:tcPr>
          <w:p>
            <w:pPr>
              <w:jc w:val="right"/>
              <w:ind w:right="924"/>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jc w:val="right"/>
              <w:ind w:right="306"/>
              <w:spacing w:after="0"/>
              <w:rPr>
                <w:sz w:val="20"/>
                <w:szCs w:val="20"/>
                <w:color w:val="auto"/>
              </w:rPr>
            </w:pPr>
            <w:r>
              <w:rPr>
                <w:rFonts w:ascii="Courier New" w:cs="Courier New" w:eastAsia="Courier New" w:hAnsi="Courier New"/>
                <w:sz w:val="14"/>
                <w:szCs w:val="14"/>
                <w:color w:val="auto"/>
                <w:w w:val="70"/>
              </w:rPr>
              <w:t>5</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jc w:val="right"/>
              <w:ind w:right="11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2"/>
                <w:szCs w:val="22"/>
                <w:color w:val="auto"/>
              </w:rPr>
            </w:pPr>
          </w:p>
        </w:tc>
        <w:tc>
          <w:tcPr>
            <w:tcW w:w="1560" w:type="dxa"/>
            <w:vAlign w:val="bottom"/>
            <w:gridSpan w:val="2"/>
          </w:tcPr>
          <w:p>
            <w:pPr>
              <w:jc w:val="right"/>
              <w:ind w:right="306"/>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240" w:type="dxa"/>
            <w:vAlign w:val="bottom"/>
          </w:tcPr>
          <w:p>
            <w:pPr>
              <w:spacing w:after="0"/>
              <w:rPr>
                <w:sz w:val="20"/>
                <w:szCs w:val="20"/>
                <w:color w:val="auto"/>
              </w:rPr>
            </w:pPr>
            <w:r>
              <w:rPr>
                <w:rFonts w:ascii="Courier New" w:cs="Courier New" w:eastAsia="Courier New" w:hAnsi="Courier New"/>
                <w:sz w:val="15"/>
                <w:szCs w:val="15"/>
                <w:color w:val="auto"/>
              </w:rPr>
              <w:t>Gross realized losses</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6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70"/>
              </w:rPr>
              <w:t>0</w:t>
            </w:r>
          </w:p>
        </w:tc>
        <w:tc>
          <w:tcPr>
            <w:tcW w:w="280" w:type="dxa"/>
            <w:vAlign w:val="bottom"/>
          </w:tcPr>
          <w:p>
            <w:pPr>
              <w:spacing w:after="0"/>
              <w:rPr>
                <w:sz w:val="23"/>
                <w:szCs w:val="23"/>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0" w:type="dxa"/>
            <w:vAlign w:val="bottom"/>
          </w:tcPr>
          <w:p>
            <w:pPr>
              <w:jc w:val="right"/>
              <w:ind w:right="306"/>
              <w:spacing w:after="0"/>
              <w:rPr>
                <w:sz w:val="20"/>
                <w:szCs w:val="20"/>
                <w:color w:val="auto"/>
              </w:rPr>
            </w:pPr>
            <w:r>
              <w:rPr>
                <w:rFonts w:ascii="Courier New" w:cs="Courier New" w:eastAsia="Courier New" w:hAnsi="Courier New"/>
                <w:sz w:val="14"/>
                <w:szCs w:val="14"/>
                <w:color w:val="auto"/>
                <w:w w:val="70"/>
              </w:rPr>
              <w:t>0</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jc w:val="right"/>
              <w:ind w:right="11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2"/>
                <w:szCs w:val="22"/>
                <w:color w:val="auto"/>
              </w:rPr>
            </w:pPr>
          </w:p>
        </w:tc>
        <w:tc>
          <w:tcPr>
            <w:tcW w:w="1560" w:type="dxa"/>
            <w:vAlign w:val="bottom"/>
            <w:gridSpan w:val="2"/>
          </w:tcPr>
          <w:p>
            <w:pPr>
              <w:jc w:val="right"/>
              <w:ind w:right="306"/>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Realized Gains (Loss)</w:t>
            </w:r>
          </w:p>
        </w:tc>
        <w:tc>
          <w:tcPr>
            <w:tcW w:w="220" w:type="dxa"/>
            <w:vAlign w:val="bottom"/>
          </w:tcPr>
          <w:p>
            <w:pPr>
              <w:spacing w:after="0"/>
              <w:rPr>
                <w:sz w:val="23"/>
                <w:szCs w:val="23"/>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70"/>
              </w:rPr>
              <w:t>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c>
          <w:tcPr>
            <w:tcW w:w="260" w:type="dxa"/>
            <w:vAlign w:val="bottom"/>
          </w:tcPr>
          <w:p>
            <w:pPr>
              <w:spacing w:after="0"/>
              <w:rPr>
                <w:sz w:val="23"/>
                <w:szCs w:val="23"/>
                <w:color w:val="auto"/>
              </w:rPr>
            </w:pPr>
          </w:p>
        </w:tc>
        <w:tc>
          <w:tcPr>
            <w:tcW w:w="1100" w:type="dxa"/>
            <w:vAlign w:val="bottom"/>
          </w:tcPr>
          <w:p>
            <w:pPr>
              <w:jc w:val="right"/>
              <w:ind w:right="924"/>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jc w:val="right"/>
              <w:ind w:right="306"/>
              <w:spacing w:after="0"/>
              <w:rPr>
                <w:sz w:val="20"/>
                <w:szCs w:val="20"/>
                <w:color w:val="auto"/>
              </w:rPr>
            </w:pPr>
            <w:r>
              <w:rPr>
                <w:rFonts w:ascii="Courier New" w:cs="Courier New" w:eastAsia="Courier New" w:hAnsi="Courier New"/>
                <w:sz w:val="14"/>
                <w:szCs w:val="14"/>
                <w:color w:val="auto"/>
                <w:w w:val="70"/>
              </w:rPr>
              <w:t>5</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jc w:val="right"/>
              <w:ind w:right="11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2"/>
                <w:szCs w:val="22"/>
                <w:color w:val="auto"/>
              </w:rPr>
            </w:pPr>
          </w:p>
        </w:tc>
        <w:tc>
          <w:tcPr>
            <w:tcW w:w="1560" w:type="dxa"/>
            <w:vAlign w:val="bottom"/>
            <w:gridSpan w:val="2"/>
          </w:tcPr>
          <w:p>
            <w:pPr>
              <w:jc w:val="right"/>
              <w:ind w:right="306"/>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620" w:right="3620"/>
        <w:spacing w:after="0" w:line="271" w:lineRule="auto"/>
        <w:rPr>
          <w:sz w:val="20"/>
          <w:szCs w:val="20"/>
          <w:color w:val="auto"/>
        </w:rPr>
      </w:pPr>
      <w:r>
        <w:rPr>
          <w:rFonts w:ascii="Courier New" w:cs="Courier New" w:eastAsia="Courier New" w:hAnsi="Courier New"/>
          <w:sz w:val="15"/>
          <w:szCs w:val="15"/>
          <w:color w:val="auto"/>
        </w:rPr>
        <w:t>The amortized cost and estimated market value of debt securities at December 31, 1998, by contractual maturity, are shown below. Expected maturities will differ from contractual maturities because borrowers may have the right to call or prepay obligations with or without call or prepayment penalties.</w:t>
      </w:r>
    </w:p>
    <w:p>
      <w:pPr>
        <w:spacing w:after="0" w:line="200" w:lineRule="exact"/>
        <w:rPr>
          <w:sz w:val="20"/>
          <w:szCs w:val="20"/>
          <w:color w:val="auto"/>
        </w:rPr>
      </w:pPr>
    </w:p>
    <w:p>
      <w:pPr>
        <w:spacing w:after="0" w:line="39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800"/>
          </w:cols>
          <w:pgMar w:left="240" w:top="265" w:right="8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56"/>
        </w:trPr>
        <w:tc>
          <w:tcPr>
            <w:tcW w:w="9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43</w:t>
            </w:r>
          </w:p>
        </w:tc>
        <w:tc>
          <w:tcPr>
            <w:tcW w:w="5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900" w:type="dxa"/>
            <w:vAlign w:val="bottom"/>
          </w:tcPr>
          <w:p>
            <w:pPr>
              <w:spacing w:after="0"/>
              <w:rPr>
                <w:sz w:val="24"/>
                <w:szCs w:val="24"/>
                <w:color w:val="auto"/>
              </w:rPr>
            </w:pPr>
          </w:p>
        </w:tc>
        <w:tc>
          <w:tcPr>
            <w:tcW w:w="5360" w:type="dxa"/>
            <w:vAlign w:val="bottom"/>
          </w:tcPr>
          <w:p>
            <w:pPr>
              <w:ind w:left="1280"/>
              <w:spacing w:after="0"/>
              <w:rPr>
                <w:sz w:val="20"/>
                <w:szCs w:val="20"/>
                <w:color w:val="auto"/>
              </w:rPr>
            </w:pPr>
            <w:r>
              <w:rPr>
                <w:rFonts w:ascii="Courier New" w:cs="Courier New" w:eastAsia="Courier New" w:hAnsi="Courier New"/>
                <w:sz w:val="15"/>
                <w:szCs w:val="15"/>
                <w:color w:val="auto"/>
              </w:rPr>
              <w:t>FARMERS &amp; MERCHANTS BANCORP, INC.</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900" w:type="dxa"/>
            <w:vAlign w:val="bottom"/>
          </w:tcPr>
          <w:p>
            <w:pPr>
              <w:spacing w:after="0"/>
              <w:rPr>
                <w:sz w:val="24"/>
                <w:szCs w:val="24"/>
                <w:color w:val="auto"/>
              </w:rPr>
            </w:pPr>
          </w:p>
        </w:tc>
        <w:tc>
          <w:tcPr>
            <w:tcW w:w="5360" w:type="dxa"/>
            <w:vAlign w:val="bottom"/>
          </w:tcPr>
          <w:p>
            <w:pPr>
              <w:ind w:left="280"/>
              <w:spacing w:after="0"/>
              <w:rPr>
                <w:sz w:val="20"/>
                <w:szCs w:val="20"/>
                <w:color w:val="auto"/>
              </w:rPr>
            </w:pPr>
            <w:r>
              <w:rPr>
                <w:rFonts w:ascii="Courier New" w:cs="Courier New" w:eastAsia="Courier New" w:hAnsi="Courier New"/>
                <w:sz w:val="15"/>
                <w:szCs w:val="15"/>
                <w:color w:val="auto"/>
              </w:rPr>
              <w:t>Notes to Consolidated Financial Statements (Continued)</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NOTE 3.</w:t>
            </w:r>
          </w:p>
        </w:tc>
        <w:tc>
          <w:tcPr>
            <w:tcW w:w="5360" w:type="dxa"/>
            <w:vAlign w:val="bottom"/>
          </w:tcPr>
          <w:p>
            <w:pPr>
              <w:ind w:left="720"/>
              <w:spacing w:after="0"/>
              <w:rPr>
                <w:sz w:val="20"/>
                <w:szCs w:val="20"/>
                <w:color w:val="auto"/>
              </w:rPr>
            </w:pPr>
            <w:r>
              <w:rPr>
                <w:rFonts w:ascii="Courier New" w:cs="Courier New" w:eastAsia="Courier New" w:hAnsi="Courier New"/>
                <w:sz w:val="15"/>
                <w:szCs w:val="15"/>
                <w:color w:val="auto"/>
              </w:rPr>
              <w:t>INVESTMENT SECURITIES (Continued)</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2"/>
        </w:trPr>
        <w:tc>
          <w:tcPr>
            <w:tcW w:w="9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54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Investment Securities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Available for Sale</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5360" w:type="dxa"/>
            <w:vAlign w:val="bottom"/>
            <w:vMerge w:val="restart"/>
          </w:tcPr>
          <w:p>
            <w:pPr>
              <w:ind w:left="720"/>
              <w:spacing w:after="0"/>
              <w:rPr>
                <w:sz w:val="20"/>
                <w:szCs w:val="20"/>
                <w:color w:val="auto"/>
              </w:rPr>
            </w:pPr>
            <w:r>
              <w:rPr>
                <w:rFonts w:ascii="Courier New" w:cs="Courier New" w:eastAsia="Courier New" w:hAnsi="Courier New"/>
                <w:sz w:val="15"/>
                <w:szCs w:val="15"/>
                <w:color w:val="auto"/>
              </w:rPr>
              <w:t>(In thousands)</w:t>
            </w:r>
          </w:p>
        </w:tc>
        <w:tc>
          <w:tcPr>
            <w:tcW w:w="196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Amortized Cost</w:t>
            </w:r>
          </w:p>
        </w:tc>
        <w:tc>
          <w:tcPr>
            <w:tcW w:w="5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Market</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5360" w:type="dxa"/>
            <w:vAlign w:val="bottom"/>
            <w:vMerge w:val="continue"/>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536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900" w:type="dxa"/>
            <w:vAlign w:val="bottom"/>
          </w:tcPr>
          <w:p>
            <w:pPr>
              <w:spacing w:after="0"/>
              <w:rPr>
                <w:sz w:val="23"/>
                <w:szCs w:val="23"/>
                <w:color w:val="auto"/>
              </w:rPr>
            </w:pPr>
          </w:p>
        </w:tc>
        <w:tc>
          <w:tcPr>
            <w:tcW w:w="5360" w:type="dxa"/>
            <w:vAlign w:val="bottom"/>
          </w:tcPr>
          <w:p>
            <w:pPr>
              <w:ind w:left="720"/>
              <w:spacing w:after="0"/>
              <w:rPr>
                <w:sz w:val="20"/>
                <w:szCs w:val="20"/>
                <w:color w:val="auto"/>
              </w:rPr>
            </w:pPr>
            <w:r>
              <w:rPr>
                <w:rFonts w:ascii="Courier New" w:cs="Courier New" w:eastAsia="Courier New" w:hAnsi="Courier New"/>
                <w:sz w:val="15"/>
                <w:szCs w:val="15"/>
                <w:color w:val="auto"/>
              </w:rPr>
              <w:t>Within one year</w:t>
            </w:r>
          </w:p>
        </w:tc>
        <w:tc>
          <w:tcPr>
            <w:tcW w:w="7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21,912</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22,095</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5360" w:type="dxa"/>
            <w:vAlign w:val="bottom"/>
          </w:tcPr>
          <w:p>
            <w:pPr>
              <w:ind w:left="720"/>
              <w:spacing w:after="0"/>
              <w:rPr>
                <w:sz w:val="20"/>
                <w:szCs w:val="20"/>
                <w:color w:val="auto"/>
              </w:rPr>
            </w:pPr>
            <w:r>
              <w:rPr>
                <w:rFonts w:ascii="Courier New" w:cs="Courier New" w:eastAsia="Courier New" w:hAnsi="Courier New"/>
                <w:sz w:val="15"/>
                <w:szCs w:val="15"/>
                <w:color w:val="auto"/>
              </w:rPr>
              <w:t>From one through five years</w:t>
            </w:r>
          </w:p>
        </w:tc>
        <w:tc>
          <w:tcPr>
            <w:tcW w:w="740" w:type="dxa"/>
            <w:vAlign w:val="bottom"/>
          </w:tcPr>
          <w:p>
            <w:pPr>
              <w:spacing w:after="0"/>
              <w:rPr>
                <w:sz w:val="15"/>
                <w:szCs w:val="15"/>
                <w:color w:val="auto"/>
              </w:rPr>
            </w:pPr>
          </w:p>
        </w:tc>
        <w:tc>
          <w:tcPr>
            <w:tcW w:w="12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50,584</w:t>
            </w:r>
          </w:p>
        </w:tc>
        <w:tc>
          <w:tcPr>
            <w:tcW w:w="5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73,117</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5360" w:type="dxa"/>
            <w:vAlign w:val="bottom"/>
          </w:tcPr>
          <w:p>
            <w:pPr>
              <w:ind w:left="720"/>
              <w:spacing w:after="0"/>
              <w:rPr>
                <w:sz w:val="20"/>
                <w:szCs w:val="20"/>
                <w:color w:val="auto"/>
              </w:rPr>
            </w:pPr>
            <w:r>
              <w:rPr>
                <w:rFonts w:ascii="Courier New" w:cs="Courier New" w:eastAsia="Courier New" w:hAnsi="Courier New"/>
                <w:sz w:val="15"/>
                <w:szCs w:val="15"/>
                <w:color w:val="auto"/>
              </w:rPr>
              <w:t>From five through ten years</w:t>
            </w:r>
          </w:p>
        </w:tc>
        <w:tc>
          <w:tcPr>
            <w:tcW w:w="740" w:type="dxa"/>
            <w:vAlign w:val="bottom"/>
          </w:tcPr>
          <w:p>
            <w:pPr>
              <w:spacing w:after="0"/>
              <w:rPr>
                <w:sz w:val="15"/>
                <w:szCs w:val="15"/>
                <w:color w:val="auto"/>
              </w:rPr>
            </w:pPr>
          </w:p>
        </w:tc>
        <w:tc>
          <w:tcPr>
            <w:tcW w:w="12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38,854</w:t>
            </w:r>
          </w:p>
        </w:tc>
        <w:tc>
          <w:tcPr>
            <w:tcW w:w="5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17,989</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5360" w:type="dxa"/>
            <w:vAlign w:val="bottom"/>
          </w:tcPr>
          <w:p>
            <w:pPr>
              <w:ind w:left="720"/>
              <w:spacing w:after="0"/>
              <w:rPr>
                <w:sz w:val="20"/>
                <w:szCs w:val="20"/>
                <w:color w:val="auto"/>
              </w:rPr>
            </w:pPr>
            <w:r>
              <w:rPr>
                <w:rFonts w:ascii="Courier New" w:cs="Courier New" w:eastAsia="Courier New" w:hAnsi="Courier New"/>
                <w:sz w:val="15"/>
                <w:szCs w:val="15"/>
                <w:color w:val="auto"/>
              </w:rPr>
              <w:t>After ten years</w:t>
            </w:r>
          </w:p>
        </w:tc>
        <w:tc>
          <w:tcPr>
            <w:tcW w:w="740" w:type="dxa"/>
            <w:vAlign w:val="bottom"/>
          </w:tcPr>
          <w:p>
            <w:pPr>
              <w:spacing w:after="0"/>
              <w:rPr>
                <w:sz w:val="15"/>
                <w:szCs w:val="15"/>
                <w:color w:val="auto"/>
              </w:rPr>
            </w:pPr>
          </w:p>
        </w:tc>
        <w:tc>
          <w:tcPr>
            <w:tcW w:w="12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7,430</w:t>
            </w:r>
          </w:p>
        </w:tc>
        <w:tc>
          <w:tcPr>
            <w:tcW w:w="5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8,113</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19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900" w:type="dxa"/>
            <w:vAlign w:val="bottom"/>
          </w:tcPr>
          <w:p>
            <w:pPr>
              <w:spacing w:after="0"/>
              <w:rPr>
                <w:sz w:val="23"/>
                <w:szCs w:val="23"/>
                <w:color w:val="auto"/>
              </w:rPr>
            </w:pPr>
          </w:p>
        </w:tc>
        <w:tc>
          <w:tcPr>
            <w:tcW w:w="5360" w:type="dxa"/>
            <w:vAlign w:val="bottom"/>
          </w:tcPr>
          <w:p>
            <w:pPr>
              <w:ind w:left="720"/>
              <w:spacing w:after="0"/>
              <w:rPr>
                <w:sz w:val="20"/>
                <w:szCs w:val="20"/>
                <w:color w:val="auto"/>
              </w:rPr>
            </w:pPr>
            <w:r>
              <w:rPr>
                <w:rFonts w:ascii="Courier New" w:cs="Courier New" w:eastAsia="Courier New" w:hAnsi="Courier New"/>
                <w:sz w:val="15"/>
                <w:szCs w:val="15"/>
                <w:color w:val="auto"/>
              </w:rPr>
              <w:t>Total</w:t>
            </w:r>
          </w:p>
        </w:tc>
        <w:tc>
          <w:tcPr>
            <w:tcW w:w="7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118,780</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121,314</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19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620" w:right="3139"/>
        <w:spacing w:after="0" w:line="287" w:lineRule="auto"/>
        <w:rPr>
          <w:sz w:val="20"/>
          <w:szCs w:val="20"/>
          <w:color w:val="auto"/>
        </w:rPr>
      </w:pPr>
      <w:r>
        <w:rPr>
          <w:rFonts w:ascii="Courier New" w:cs="Courier New" w:eastAsia="Courier New" w:hAnsi="Courier New"/>
          <w:sz w:val="15"/>
          <w:szCs w:val="15"/>
          <w:color w:val="auto"/>
        </w:rPr>
        <w:t>Investments with a carrying value of $66.9 million and $61.6 million at December 31, 1998 and 1997, respectively, were pledged to secure public deposits and securities sold under repurchase agreements.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120" w:type="dxa"/>
            <w:vAlign w:val="bottom"/>
          </w:tcPr>
          <w:p>
            <w:pPr>
              <w:spacing w:after="0"/>
              <w:rPr>
                <w:sz w:val="20"/>
                <w:szCs w:val="20"/>
                <w:color w:val="auto"/>
              </w:rPr>
            </w:pPr>
            <w:r>
              <w:rPr>
                <w:rFonts w:ascii="Courier New" w:cs="Courier New" w:eastAsia="Courier New" w:hAnsi="Courier New"/>
                <w:sz w:val="15"/>
                <w:szCs w:val="15"/>
                <w:color w:val="auto"/>
              </w:rPr>
              <w:t>NOTE 4.</w:t>
            </w:r>
          </w:p>
        </w:tc>
        <w:tc>
          <w:tcPr>
            <w:tcW w:w="4740" w:type="dxa"/>
            <w:vAlign w:val="bottom"/>
          </w:tcPr>
          <w:p>
            <w:pPr>
              <w:ind w:left="500"/>
              <w:spacing w:after="0"/>
              <w:rPr>
                <w:sz w:val="20"/>
                <w:szCs w:val="20"/>
                <w:color w:val="auto"/>
              </w:rPr>
            </w:pPr>
            <w:r>
              <w:rPr>
                <w:rFonts w:ascii="Courier New" w:cs="Courier New" w:eastAsia="Courier New" w:hAnsi="Courier New"/>
                <w:sz w:val="15"/>
                <w:szCs w:val="15"/>
                <w:color w:val="auto"/>
              </w:rPr>
              <w:t>LOANS</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1120" w:type="dxa"/>
            <w:vAlign w:val="bottom"/>
          </w:tcPr>
          <w:p>
            <w:pPr>
              <w:spacing w:after="0"/>
              <w:rPr>
                <w:sz w:val="24"/>
                <w:szCs w:val="24"/>
                <w:color w:val="auto"/>
              </w:rPr>
            </w:pPr>
          </w:p>
        </w:tc>
        <w:tc>
          <w:tcPr>
            <w:tcW w:w="4740" w:type="dxa"/>
            <w:vAlign w:val="bottom"/>
          </w:tcPr>
          <w:p>
            <w:pPr>
              <w:ind w:left="500"/>
              <w:spacing w:after="0"/>
              <w:rPr>
                <w:sz w:val="20"/>
                <w:szCs w:val="20"/>
                <w:color w:val="auto"/>
              </w:rPr>
            </w:pPr>
            <w:r>
              <w:rPr>
                <w:rFonts w:ascii="Courier New" w:cs="Courier New" w:eastAsia="Courier New" w:hAnsi="Courier New"/>
                <w:sz w:val="15"/>
                <w:szCs w:val="15"/>
                <w:color w:val="auto"/>
              </w:rPr>
              <w:t>Loans at December 31 consist of:</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1120" w:type="dxa"/>
            <w:vAlign w:val="bottom"/>
          </w:tcPr>
          <w:p>
            <w:pPr>
              <w:spacing w:after="0"/>
              <w:rPr>
                <w:sz w:val="24"/>
                <w:szCs w:val="24"/>
                <w:color w:val="auto"/>
              </w:rPr>
            </w:pPr>
          </w:p>
        </w:tc>
        <w:tc>
          <w:tcPr>
            <w:tcW w:w="4740" w:type="dxa"/>
            <w:vAlign w:val="bottom"/>
          </w:tcPr>
          <w:p>
            <w:pPr>
              <w:ind w:left="500"/>
              <w:spacing w:after="0"/>
              <w:rPr>
                <w:sz w:val="20"/>
                <w:szCs w:val="20"/>
                <w:color w:val="auto"/>
              </w:rPr>
            </w:pPr>
            <w:r>
              <w:rPr>
                <w:rFonts w:ascii="Courier New" w:cs="Courier New" w:eastAsia="Courier New" w:hAnsi="Courier New"/>
                <w:sz w:val="15"/>
                <w:szCs w:val="15"/>
                <w:color w:val="auto"/>
              </w:rPr>
              <w:t>(In thousands)</w:t>
            </w:r>
          </w:p>
        </w:tc>
        <w:tc>
          <w:tcPr>
            <w:tcW w:w="1260" w:type="dxa"/>
            <w:vAlign w:val="bottom"/>
          </w:tcPr>
          <w:p>
            <w:pPr>
              <w:spacing w:after="0"/>
              <w:rPr>
                <w:sz w:val="24"/>
                <w:szCs w:val="24"/>
                <w:color w:val="auto"/>
              </w:rPr>
            </w:pP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500" w:type="dxa"/>
            <w:vAlign w:val="bottom"/>
          </w:tcPr>
          <w:p>
            <w:pPr>
              <w:spacing w:after="0"/>
              <w:rPr>
                <w:sz w:val="24"/>
                <w:szCs w:val="24"/>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47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120" w:type="dxa"/>
            <w:vAlign w:val="bottom"/>
          </w:tcPr>
          <w:p>
            <w:pPr>
              <w:spacing w:after="0"/>
              <w:rPr>
                <w:sz w:val="23"/>
                <w:szCs w:val="23"/>
                <w:color w:val="auto"/>
              </w:rPr>
            </w:pPr>
          </w:p>
        </w:tc>
        <w:tc>
          <w:tcPr>
            <w:tcW w:w="4740" w:type="dxa"/>
            <w:vAlign w:val="bottom"/>
          </w:tcPr>
          <w:p>
            <w:pPr>
              <w:ind w:left="500"/>
              <w:spacing w:after="0"/>
              <w:rPr>
                <w:sz w:val="20"/>
                <w:szCs w:val="20"/>
                <w:color w:val="auto"/>
              </w:rPr>
            </w:pPr>
            <w:r>
              <w:rPr>
                <w:rFonts w:ascii="Courier New" w:cs="Courier New" w:eastAsia="Courier New" w:hAnsi="Courier New"/>
                <w:sz w:val="15"/>
                <w:szCs w:val="15"/>
                <w:color w:val="auto"/>
              </w:rPr>
              <w:t>Real estate</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194,662</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204,770</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4740" w:type="dxa"/>
            <w:vAlign w:val="bottom"/>
          </w:tcPr>
          <w:p>
            <w:pPr>
              <w:ind w:left="500"/>
              <w:spacing w:after="0"/>
              <w:rPr>
                <w:sz w:val="20"/>
                <w:szCs w:val="20"/>
                <w:color w:val="auto"/>
              </w:rPr>
            </w:pPr>
            <w:r>
              <w:rPr>
                <w:rFonts w:ascii="Courier New" w:cs="Courier New" w:eastAsia="Courier New" w:hAnsi="Courier New"/>
                <w:sz w:val="15"/>
                <w:szCs w:val="15"/>
                <w:color w:val="auto"/>
              </w:rPr>
              <w:t>Commercial and industrial</w:t>
            </w:r>
          </w:p>
        </w:tc>
        <w:tc>
          <w:tcPr>
            <w:tcW w:w="126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87,266</w:t>
            </w:r>
          </w:p>
        </w:tc>
        <w:tc>
          <w:tcPr>
            <w:tcW w:w="50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65,633</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4740" w:type="dxa"/>
            <w:vAlign w:val="bottom"/>
          </w:tcPr>
          <w:p>
            <w:pPr>
              <w:ind w:left="500"/>
              <w:spacing w:after="0"/>
              <w:rPr>
                <w:sz w:val="20"/>
                <w:szCs w:val="20"/>
                <w:color w:val="auto"/>
              </w:rPr>
            </w:pPr>
            <w:r>
              <w:rPr>
                <w:rFonts w:ascii="Courier New" w:cs="Courier New" w:eastAsia="Courier New" w:hAnsi="Courier New"/>
                <w:sz w:val="15"/>
                <w:szCs w:val="15"/>
                <w:color w:val="auto"/>
              </w:rPr>
              <w:t>Agricultural (excluding real estate)</w:t>
            </w:r>
          </w:p>
        </w:tc>
        <w:tc>
          <w:tcPr>
            <w:tcW w:w="126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38,882</w:t>
            </w:r>
          </w:p>
        </w:tc>
        <w:tc>
          <w:tcPr>
            <w:tcW w:w="50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44,939</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4740" w:type="dxa"/>
            <w:vAlign w:val="bottom"/>
          </w:tcPr>
          <w:p>
            <w:pPr>
              <w:ind w:left="500"/>
              <w:spacing w:after="0"/>
              <w:rPr>
                <w:sz w:val="20"/>
                <w:szCs w:val="20"/>
                <w:color w:val="auto"/>
              </w:rPr>
            </w:pPr>
            <w:r>
              <w:rPr>
                <w:rFonts w:ascii="Courier New" w:cs="Courier New" w:eastAsia="Courier New" w:hAnsi="Courier New"/>
                <w:sz w:val="15"/>
                <w:szCs w:val="15"/>
                <w:color w:val="auto"/>
              </w:rPr>
              <w:t>Consumer and other loans</w:t>
            </w:r>
          </w:p>
        </w:tc>
        <w:tc>
          <w:tcPr>
            <w:tcW w:w="126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68,197</w:t>
            </w:r>
          </w:p>
        </w:tc>
        <w:tc>
          <w:tcPr>
            <w:tcW w:w="50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75,675</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4740" w:type="dxa"/>
            <w:vAlign w:val="bottom"/>
          </w:tcPr>
          <w:p>
            <w:pPr>
              <w:ind w:left="500"/>
              <w:spacing w:after="0"/>
              <w:rPr>
                <w:sz w:val="20"/>
                <w:szCs w:val="20"/>
                <w:color w:val="auto"/>
              </w:rPr>
            </w:pPr>
            <w:r>
              <w:rPr>
                <w:rFonts w:ascii="Courier New" w:cs="Courier New" w:eastAsia="Courier New" w:hAnsi="Courier New"/>
                <w:sz w:val="15"/>
                <w:szCs w:val="15"/>
                <w:color w:val="auto"/>
              </w:rPr>
              <w:t>Overdrafts</w:t>
            </w:r>
          </w:p>
        </w:tc>
        <w:tc>
          <w:tcPr>
            <w:tcW w:w="126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188</w:t>
            </w:r>
          </w:p>
        </w:tc>
        <w:tc>
          <w:tcPr>
            <w:tcW w:w="50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4740" w:type="dxa"/>
            <w:vAlign w:val="bottom"/>
          </w:tcPr>
          <w:p>
            <w:pPr>
              <w:ind w:left="500"/>
              <w:spacing w:after="0"/>
              <w:rPr>
                <w:sz w:val="20"/>
                <w:szCs w:val="20"/>
                <w:color w:val="auto"/>
              </w:rPr>
            </w:pPr>
            <w:r>
              <w:rPr>
                <w:rFonts w:ascii="Courier New" w:cs="Courier New" w:eastAsia="Courier New" w:hAnsi="Courier New"/>
                <w:sz w:val="15"/>
                <w:szCs w:val="15"/>
                <w:color w:val="auto"/>
              </w:rPr>
              <w:t>Commercial paper  13,648</w:t>
            </w:r>
          </w:p>
        </w:tc>
        <w:tc>
          <w:tcPr>
            <w:tcW w:w="126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7,837</w:t>
            </w:r>
          </w:p>
        </w:tc>
        <w:tc>
          <w:tcPr>
            <w:tcW w:w="500" w:type="dxa"/>
            <w:vAlign w:val="bottom"/>
          </w:tcPr>
          <w:p>
            <w:pPr>
              <w:spacing w:after="0"/>
              <w:rPr>
                <w:sz w:val="15"/>
                <w:szCs w:val="15"/>
                <w:color w:val="auto"/>
              </w:rPr>
            </w:pPr>
          </w:p>
        </w:tc>
        <w:tc>
          <w:tcPr>
            <w:tcW w:w="9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4,511</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4740" w:type="dxa"/>
            <w:vAlign w:val="bottom"/>
          </w:tcPr>
          <w:p>
            <w:pPr>
              <w:ind w:left="500"/>
              <w:spacing w:after="0"/>
              <w:rPr>
                <w:sz w:val="20"/>
                <w:szCs w:val="20"/>
                <w:color w:val="auto"/>
              </w:rPr>
            </w:pPr>
            <w:r>
              <w:rPr>
                <w:rFonts w:ascii="Courier New" w:cs="Courier New" w:eastAsia="Courier New" w:hAnsi="Courier New"/>
                <w:sz w:val="15"/>
                <w:szCs w:val="15"/>
                <w:color w:val="auto"/>
              </w:rPr>
              <w:t>Industrial Development Bonds</w:t>
            </w:r>
          </w:p>
        </w:tc>
        <w:tc>
          <w:tcPr>
            <w:tcW w:w="126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4,587</w:t>
            </w:r>
          </w:p>
        </w:tc>
        <w:tc>
          <w:tcPr>
            <w:tcW w:w="5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4740" w:type="dxa"/>
            <w:vAlign w:val="bottom"/>
            <w:vMerge w:val="restart"/>
          </w:tcPr>
          <w:p>
            <w:pPr>
              <w:ind w:left="500"/>
              <w:spacing w:after="0"/>
              <w:rPr>
                <w:sz w:val="20"/>
                <w:szCs w:val="20"/>
                <w:color w:val="auto"/>
              </w:rPr>
            </w:pPr>
            <w:r>
              <w:rPr>
                <w:rFonts w:ascii="Courier New" w:cs="Courier New" w:eastAsia="Courier New" w:hAnsi="Courier New"/>
                <w:sz w:val="15"/>
                <w:szCs w:val="15"/>
                <w:color w:val="auto"/>
              </w:rPr>
              <w:t>Less: Deferred loan fees and costs</w:t>
            </w:r>
          </w:p>
        </w:tc>
        <w:tc>
          <w:tcPr>
            <w:tcW w:w="126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407,430</w:t>
            </w:r>
          </w:p>
        </w:tc>
        <w:tc>
          <w:tcPr>
            <w:tcW w:w="50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403,457</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474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(388)</w:t>
            </w: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4740" w:type="dxa"/>
            <w:vAlign w:val="bottom"/>
            <w:vMerge w:val="restart"/>
          </w:tcPr>
          <w:p>
            <w:pPr>
              <w:ind w:left="500"/>
              <w:spacing w:after="0"/>
              <w:rPr>
                <w:sz w:val="20"/>
                <w:szCs w:val="20"/>
                <w:color w:val="auto"/>
              </w:rPr>
            </w:pPr>
            <w:r>
              <w:rPr>
                <w:rFonts w:ascii="Courier New" w:cs="Courier New" w:eastAsia="Courier New" w:hAnsi="Courier New"/>
                <w:sz w:val="15"/>
                <w:szCs w:val="15"/>
                <w:color w:val="auto"/>
              </w:rPr>
              <w:t>Less: Allowance for loan losses</w:t>
            </w:r>
          </w:p>
        </w:tc>
        <w:tc>
          <w:tcPr>
            <w:tcW w:w="126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407,042</w:t>
            </w:r>
          </w:p>
        </w:tc>
        <w:tc>
          <w:tcPr>
            <w:tcW w:w="50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403,145</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474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(5,850)</w:t>
            </w: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(5,850)</w:t>
            </w: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2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120" w:type="dxa"/>
            <w:vAlign w:val="bottom"/>
          </w:tcPr>
          <w:p>
            <w:pPr>
              <w:spacing w:after="0"/>
              <w:rPr>
                <w:sz w:val="23"/>
                <w:szCs w:val="23"/>
                <w:color w:val="auto"/>
              </w:rPr>
            </w:pPr>
          </w:p>
        </w:tc>
        <w:tc>
          <w:tcPr>
            <w:tcW w:w="4740" w:type="dxa"/>
            <w:vAlign w:val="bottom"/>
          </w:tcPr>
          <w:p>
            <w:pPr>
              <w:ind w:left="500"/>
              <w:spacing w:after="0"/>
              <w:rPr>
                <w:sz w:val="20"/>
                <w:szCs w:val="20"/>
                <w:color w:val="auto"/>
              </w:rPr>
            </w:pPr>
            <w:r>
              <w:rPr>
                <w:rFonts w:ascii="Courier New" w:cs="Courier New" w:eastAsia="Courier New" w:hAnsi="Courier New"/>
                <w:sz w:val="15"/>
                <w:szCs w:val="15"/>
                <w:color w:val="auto"/>
              </w:rPr>
              <w:t>Loans - Net</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401,192</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397,295</w:t>
            </w: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2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620" w:right="3219"/>
        <w:spacing w:after="0" w:line="307" w:lineRule="auto"/>
        <w:rPr>
          <w:sz w:val="20"/>
          <w:szCs w:val="20"/>
          <w:color w:val="auto"/>
        </w:rPr>
      </w:pPr>
      <w:r>
        <w:rPr>
          <w:rFonts w:ascii="Courier New" w:cs="Courier New" w:eastAsia="Courier New" w:hAnsi="Courier New"/>
          <w:sz w:val="15"/>
          <w:szCs w:val="15"/>
          <w:color w:val="auto"/>
        </w:rPr>
        <w:t>As of December 31, 1998 there were $578 thousand in commitments to lend additional funds to debtors whose loans are not performing.</w:t>
      </w:r>
    </w:p>
    <w:p>
      <w:pPr>
        <w:spacing w:after="0" w:line="47" w:lineRule="exact"/>
        <w:rPr>
          <w:sz w:val="20"/>
          <w:szCs w:val="20"/>
          <w:color w:val="auto"/>
        </w:rPr>
      </w:pPr>
    </w:p>
    <w:p>
      <w:pPr>
        <w:ind w:left="1620" w:right="3319"/>
        <w:spacing w:after="0" w:line="307" w:lineRule="auto"/>
        <w:rPr>
          <w:sz w:val="20"/>
          <w:szCs w:val="20"/>
          <w:color w:val="auto"/>
        </w:rPr>
      </w:pPr>
      <w:r>
        <w:rPr>
          <w:rFonts w:ascii="Courier New" w:cs="Courier New" w:eastAsia="Courier New" w:hAnsi="Courier New"/>
          <w:sz w:val="15"/>
          <w:szCs w:val="15"/>
          <w:color w:val="auto"/>
        </w:rPr>
        <w:t>$128.8 million in one to four family residential mortgage loans have been pledged as security for loans the Bank has received from the Federal Home Loan Bank.</w:t>
      </w:r>
    </w:p>
    <w:p>
      <w:pPr>
        <w:sectPr>
          <w:pgSz w:w="11900" w:h="16838" w:orient="portrait"/>
          <w:cols w:equalWidth="0" w:num="1">
            <w:col w:w="10219"/>
          </w:cols>
          <w:pgMar w:left="2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65" w:right="1440" w:bottom="1440"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44</w:t>
      </w:r>
    </w:p>
    <w:p>
      <w:pPr>
        <w:spacing w:after="0" w:line="354" w:lineRule="exact"/>
        <w:rPr>
          <w:sz w:val="20"/>
          <w:szCs w:val="20"/>
          <w:color w:val="auto"/>
        </w:rPr>
      </w:pPr>
    </w:p>
    <w:p>
      <w:pPr>
        <w:jc w:val="center"/>
        <w:ind w:right="720"/>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54"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5"/>
          <w:szCs w:val="15"/>
          <w:color w:val="auto"/>
        </w:rPr>
        <w:t>LOANS (Continued)</w:t>
      </w:r>
    </w:p>
    <w:p>
      <w:pPr>
        <w:spacing w:after="0" w:line="180" w:lineRule="exact"/>
        <w:rPr>
          <w:sz w:val="20"/>
          <w:szCs w:val="20"/>
          <w:color w:val="auto"/>
        </w:rPr>
      </w:pPr>
    </w:p>
    <w:p>
      <w:pPr>
        <w:ind w:left="1620" w:right="900"/>
        <w:spacing w:after="0" w:line="260" w:lineRule="auto"/>
        <w:rPr>
          <w:sz w:val="20"/>
          <w:szCs w:val="20"/>
          <w:color w:val="auto"/>
        </w:rPr>
      </w:pPr>
      <w:r>
        <w:rPr>
          <w:rFonts w:ascii="Courier New" w:cs="Courier New" w:eastAsia="Courier New" w:hAnsi="Courier New"/>
          <w:sz w:val="15"/>
          <w:szCs w:val="15"/>
          <w:color w:val="auto"/>
        </w:rPr>
        <w:t>Senior officers and directors and their affiliated companies were indebted to the Bank in the aggregate of $8.6 and $6.1 million at December 31, 1998 and 1997, respectively. All such loans were made on substantially the same terms and conditions, including interest rates and collateral, as those prevailing at the time for comparable loan transactions with other persons. Loans made during 1998 were $23.3 million and repayments were $20.8 million. In the opinion of management, these loans do not involve more than normal risk of collectibility or possess other unfavorable features.</w:t>
      </w:r>
    </w:p>
    <w:p>
      <w:pPr>
        <w:spacing w:after="0" w:line="82" w:lineRule="exact"/>
        <w:rPr>
          <w:sz w:val="20"/>
          <w:szCs w:val="20"/>
          <w:color w:val="auto"/>
        </w:rPr>
      </w:pPr>
    </w:p>
    <w:p>
      <w:pPr>
        <w:ind w:left="1620" w:right="820"/>
        <w:spacing w:after="0" w:line="264" w:lineRule="auto"/>
        <w:rPr>
          <w:sz w:val="20"/>
          <w:szCs w:val="20"/>
          <w:color w:val="auto"/>
        </w:rPr>
      </w:pPr>
      <w:r>
        <w:rPr>
          <w:rFonts w:ascii="Courier New" w:cs="Courier New" w:eastAsia="Courier New" w:hAnsi="Courier New"/>
          <w:sz w:val="15"/>
          <w:szCs w:val="15"/>
          <w:color w:val="auto"/>
        </w:rPr>
        <w:t>Loans for which the Bank is providing collection services is $147.9, $98.6 and $76.2 million for 1998, 1997 and 1996, respectively. Servicing assets recognized during 1998 amounted to $855 thousand and amortization of servicing assets amounted to $306 thousand. The fair value of recognized servicing assets was $1.3 million, fair value being determined by the present value of expected future cash flows. No allowance for impairment has been provided.</w:t>
      </w:r>
    </w:p>
    <w:p>
      <w:pPr>
        <w:spacing w:after="0" w:line="78"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5"/>
          <w:szCs w:val="15"/>
          <w:color w:val="auto"/>
        </w:rPr>
        <w:t>ALLOWANCE FOR POSSIBLE LOAN LOSSES</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An analysis of the allowance for loan losses is as follows:</w:t>
      </w:r>
    </w:p>
    <w:p>
      <w:pPr>
        <w:spacing w:after="0" w:line="200" w:lineRule="exact"/>
        <w:rPr>
          <w:sz w:val="20"/>
          <w:szCs w:val="20"/>
          <w:color w:val="auto"/>
        </w:rPr>
      </w:pPr>
    </w:p>
    <w:p>
      <w:pPr>
        <w:spacing w:after="0" w:line="329"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8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5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180" w:type="dxa"/>
            <w:vAlign w:val="bottom"/>
          </w:tcPr>
          <w:p>
            <w:pPr>
              <w:spacing w:after="0"/>
              <w:rPr>
                <w:sz w:val="20"/>
                <w:szCs w:val="20"/>
                <w:color w:val="auto"/>
              </w:rPr>
            </w:pPr>
            <w:r>
              <w:rPr>
                <w:rFonts w:ascii="Courier New" w:cs="Courier New" w:eastAsia="Courier New" w:hAnsi="Courier New"/>
                <w:sz w:val="15"/>
                <w:szCs w:val="15"/>
                <w:color w:val="auto"/>
              </w:rPr>
              <w:t>Balance at beginning of year</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5,850</w:t>
            </w:r>
          </w:p>
        </w:tc>
        <w:tc>
          <w:tcPr>
            <w:tcW w:w="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5,500</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Provision charged to operating</w:t>
            </w:r>
          </w:p>
        </w:tc>
        <w:tc>
          <w:tcPr>
            <w:tcW w:w="820" w:type="dxa"/>
            <w:vAlign w:val="bottom"/>
          </w:tcPr>
          <w:p>
            <w:pPr>
              <w:spacing w:after="0"/>
              <w:rPr>
                <w:sz w:val="15"/>
                <w:szCs w:val="15"/>
                <w:color w:val="auto"/>
              </w:rPr>
            </w:pPr>
          </w:p>
        </w:tc>
        <w:tc>
          <w:tcPr>
            <w:tcW w:w="10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892</w:t>
            </w:r>
          </w:p>
        </w:tc>
        <w:tc>
          <w:tcPr>
            <w:tcW w:w="500" w:type="dxa"/>
            <w:vAlign w:val="bottom"/>
          </w:tcPr>
          <w:p>
            <w:pPr>
              <w:spacing w:after="0"/>
              <w:rPr>
                <w:sz w:val="15"/>
                <w:szCs w:val="15"/>
                <w:color w:val="auto"/>
              </w:rPr>
            </w:pP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1,111</w:t>
            </w:r>
          </w:p>
        </w:tc>
        <w:tc>
          <w:tcPr>
            <w:tcW w:w="0" w:type="dxa"/>
            <w:vAlign w:val="bottom"/>
          </w:tcPr>
          <w:p>
            <w:pPr>
              <w:spacing w:after="0"/>
              <w:rPr>
                <w:sz w:val="1"/>
                <w:szCs w:val="1"/>
                <w:color w:val="auto"/>
              </w:rPr>
            </w:pPr>
          </w:p>
        </w:tc>
      </w:tr>
      <w:tr>
        <w:trPr>
          <w:trHeight w:val="175"/>
        </w:trPr>
        <w:tc>
          <w:tcPr>
            <w:tcW w:w="3180" w:type="dxa"/>
            <w:vAlign w:val="bottom"/>
          </w:tcPr>
          <w:p>
            <w:pPr>
              <w:ind w:left="200"/>
              <w:spacing w:after="0"/>
              <w:rPr>
                <w:sz w:val="20"/>
                <w:szCs w:val="20"/>
                <w:color w:val="auto"/>
              </w:rPr>
            </w:pPr>
            <w:r>
              <w:rPr>
                <w:rFonts w:ascii="Courier New" w:cs="Courier New" w:eastAsia="Courier New" w:hAnsi="Courier New"/>
                <w:sz w:val="15"/>
                <w:szCs w:val="15"/>
                <w:color w:val="auto"/>
              </w:rPr>
              <w:t>expenses</w:t>
            </w:r>
          </w:p>
        </w:tc>
        <w:tc>
          <w:tcPr>
            <w:tcW w:w="8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Loans charged-off</w:t>
            </w:r>
          </w:p>
        </w:tc>
        <w:tc>
          <w:tcPr>
            <w:tcW w:w="8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(1,774)</w:t>
            </w:r>
          </w:p>
        </w:tc>
        <w:tc>
          <w:tcPr>
            <w:tcW w:w="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(1,531)</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Recoveries</w:t>
            </w:r>
          </w:p>
        </w:tc>
        <w:tc>
          <w:tcPr>
            <w:tcW w:w="8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882</w:t>
            </w:r>
          </w:p>
        </w:tc>
        <w:tc>
          <w:tcPr>
            <w:tcW w:w="5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770</w:t>
            </w: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2"/>
                <w:szCs w:val="22"/>
                <w:color w:val="auto"/>
              </w:rPr>
            </w:pPr>
          </w:p>
        </w:tc>
        <w:tc>
          <w:tcPr>
            <w:tcW w:w="18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180" w:type="dxa"/>
            <w:vAlign w:val="bottom"/>
          </w:tcPr>
          <w:p>
            <w:pPr>
              <w:spacing w:after="0"/>
              <w:rPr>
                <w:sz w:val="20"/>
                <w:szCs w:val="20"/>
                <w:color w:val="auto"/>
              </w:rPr>
            </w:pPr>
            <w:r>
              <w:rPr>
                <w:rFonts w:ascii="Courier New" w:cs="Courier New" w:eastAsia="Courier New" w:hAnsi="Courier New"/>
                <w:sz w:val="15"/>
                <w:szCs w:val="15"/>
                <w:color w:val="auto"/>
              </w:rPr>
              <w:t>Balance at End of Year</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5,850</w:t>
            </w:r>
          </w:p>
        </w:tc>
        <w:tc>
          <w:tcPr>
            <w:tcW w:w="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5,850</w:t>
            </w: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2"/>
                <w:szCs w:val="22"/>
                <w:color w:val="auto"/>
              </w:rPr>
            </w:pPr>
          </w:p>
        </w:tc>
        <w:tc>
          <w:tcPr>
            <w:tcW w:w="18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620" w:right="820"/>
        <w:spacing w:after="0" w:line="259" w:lineRule="auto"/>
        <w:rPr>
          <w:sz w:val="20"/>
          <w:szCs w:val="20"/>
          <w:color w:val="auto"/>
        </w:rPr>
      </w:pPr>
      <w:r>
        <w:rPr>
          <w:rFonts w:ascii="Courier New" w:cs="Courier New" w:eastAsia="Courier New" w:hAnsi="Courier New"/>
          <w:sz w:val="15"/>
          <w:szCs w:val="15"/>
          <w:color w:val="auto"/>
        </w:rPr>
        <w:t>At December 31, 1998 and 1997, the recorded investment in loans considered impaired was $8.743 and $7.170 million, respectively, for which the related allowance for loan loss was $2.374 and $2.744 million, respectively. Of the $8.743 and $7.170 million in impaired loans for 1998 and 1997, respectively that were considered impaired, the recorded investment in impaired loans that have a related allowance for credit losses determined in accordance with SFAS No. 114 was $6.451 and $2.889 million, respectively. Average investment in impaired loans was $4.7 million, $3.2 million and $3.5 million for 1998, 1997 and 1996, respectively.</w:t>
      </w:r>
    </w:p>
    <w:p>
      <w:pPr>
        <w:spacing w:after="0" w:line="80" w:lineRule="exact"/>
        <w:rPr>
          <w:sz w:val="20"/>
          <w:szCs w:val="20"/>
          <w:color w:val="auto"/>
        </w:rPr>
      </w:pPr>
    </w:p>
    <w:p>
      <w:pPr>
        <w:ind w:left="1620" w:right="820"/>
        <w:spacing w:after="0" w:line="277" w:lineRule="auto"/>
        <w:rPr>
          <w:sz w:val="20"/>
          <w:szCs w:val="20"/>
          <w:color w:val="auto"/>
        </w:rPr>
      </w:pPr>
      <w:r>
        <w:rPr>
          <w:rFonts w:ascii="Courier New" w:cs="Courier New" w:eastAsia="Courier New" w:hAnsi="Courier New"/>
          <w:sz w:val="15"/>
          <w:szCs w:val="15"/>
          <w:color w:val="auto"/>
        </w:rPr>
        <w:t>The Bank stops accruing interest income when a loan is deemed to be impaired, and recognizes interest income when the interest income is actually received. Interest income recognized on impaired loans was $172, $402, and $354 thousand for 1998, 1997 and 1996,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1996</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40" w:hanging="735"/>
        <w:spacing w:after="0"/>
        <w:tabs>
          <w:tab w:leader="none" w:pos="7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5,500</w:t>
      </w:r>
    </w:p>
    <w:p>
      <w:pPr>
        <w:spacing w:after="0" w:line="179" w:lineRule="exact"/>
        <w:rPr>
          <w:rFonts w:ascii="Courier New" w:cs="Courier New" w:eastAsia="Courier New" w:hAnsi="Courier New"/>
          <w:sz w:val="15"/>
          <w:szCs w:val="15"/>
          <w:color w:val="auto"/>
        </w:rPr>
      </w:pPr>
    </w:p>
    <w:p>
      <w:pPr>
        <w:ind w:left="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1,068</w:t>
      </w:r>
    </w:p>
    <w:p>
      <w:pPr>
        <w:spacing w:after="0" w:line="33" w:lineRule="exact"/>
        <w:rPr>
          <w:sz w:val="20"/>
          <w:szCs w:val="20"/>
          <w:color w:val="auto"/>
        </w:rPr>
      </w:pPr>
    </w:p>
    <w:p>
      <w:pPr>
        <w:jc w:val="right"/>
        <w:ind w:right="499"/>
        <w:spacing w:after="0"/>
        <w:rPr>
          <w:sz w:val="20"/>
          <w:szCs w:val="20"/>
          <w:color w:val="auto"/>
        </w:rPr>
      </w:pPr>
      <w:r>
        <w:rPr>
          <w:rFonts w:ascii="Courier New" w:cs="Courier New" w:eastAsia="Courier New" w:hAnsi="Courier New"/>
          <w:sz w:val="15"/>
          <w:szCs w:val="15"/>
          <w:color w:val="auto"/>
        </w:rPr>
        <w:t>(1,711)</w:t>
      </w:r>
    </w:p>
    <w:p>
      <w:pPr>
        <w:spacing w:after="0" w:line="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643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740" w:hanging="735"/>
        <w:spacing w:after="0"/>
        <w:tabs>
          <w:tab w:leader="none" w:pos="7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5,500</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04" w:lineRule="exact"/>
        <w:rPr>
          <w:sz w:val="20"/>
          <w:szCs w:val="20"/>
          <w:color w:val="auto"/>
        </w:rPr>
      </w:pPr>
    </w:p>
    <w:p>
      <w:pPr>
        <w:sectPr>
          <w:pgSz w:w="11900" w:h="16838" w:orient="portrait"/>
          <w:cols w:equalWidth="0" w:num="2">
            <w:col w:w="8080" w:space="360"/>
            <w:col w:w="1779"/>
          </w:cols>
          <w:pgMar w:left="240" w:top="265" w:right="1440" w:bottom="1440" w:gutter="0" w:footer="0" w:header="0"/>
        </w:sectPr>
      </w:pPr>
    </w:p>
    <w:p>
      <w:pPr>
        <w:spacing w:after="0" w:line="39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5" w:right="1440"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56"/>
        </w:trPr>
        <w:tc>
          <w:tcPr>
            <w:tcW w:w="9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w:t>
            </w:r>
          </w:p>
        </w:tc>
        <w:tc>
          <w:tcPr>
            <w:tcW w:w="5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900" w:type="dxa"/>
            <w:vAlign w:val="bottom"/>
          </w:tcPr>
          <w:p>
            <w:pPr>
              <w:spacing w:after="0"/>
              <w:rPr>
                <w:sz w:val="24"/>
                <w:szCs w:val="24"/>
                <w:color w:val="auto"/>
              </w:rPr>
            </w:pPr>
          </w:p>
        </w:tc>
        <w:tc>
          <w:tcPr>
            <w:tcW w:w="5900" w:type="dxa"/>
            <w:vAlign w:val="bottom"/>
          </w:tcPr>
          <w:p>
            <w:pPr>
              <w:ind w:left="1280"/>
              <w:spacing w:after="0"/>
              <w:rPr>
                <w:sz w:val="20"/>
                <w:szCs w:val="20"/>
                <w:color w:val="auto"/>
              </w:rPr>
            </w:pPr>
            <w:r>
              <w:rPr>
                <w:rFonts w:ascii="Courier New" w:cs="Courier New" w:eastAsia="Courier New" w:hAnsi="Courier New"/>
                <w:sz w:val="15"/>
                <w:szCs w:val="15"/>
                <w:color w:val="auto"/>
              </w:rPr>
              <w:t>FARMERS &amp; MERCHANTS BANCORP, INC.</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900" w:type="dxa"/>
            <w:vAlign w:val="bottom"/>
          </w:tcPr>
          <w:p>
            <w:pPr>
              <w:spacing w:after="0"/>
              <w:rPr>
                <w:sz w:val="24"/>
                <w:szCs w:val="24"/>
                <w:color w:val="auto"/>
              </w:rPr>
            </w:pPr>
          </w:p>
        </w:tc>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Notes to Consolidated Financial Statements (Continued)</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900" w:type="dxa"/>
            <w:vAlign w:val="bottom"/>
          </w:tcPr>
          <w:p>
            <w:pPr>
              <w:spacing w:after="0"/>
              <w:rPr>
                <w:sz w:val="20"/>
                <w:szCs w:val="20"/>
                <w:color w:val="auto"/>
              </w:rPr>
            </w:pPr>
            <w:r>
              <w:rPr>
                <w:rFonts w:ascii="Courier New" w:cs="Courier New" w:eastAsia="Courier New" w:hAnsi="Courier New"/>
                <w:sz w:val="15"/>
                <w:szCs w:val="15"/>
                <w:color w:val="auto"/>
              </w:rPr>
              <w:t>NOTE 6.</w:t>
            </w: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FINANCE LEASE RECEIVABLE</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900" w:type="dxa"/>
            <w:vAlign w:val="bottom"/>
          </w:tcPr>
          <w:p>
            <w:pPr>
              <w:spacing w:after="0"/>
              <w:rPr>
                <w:sz w:val="24"/>
                <w:szCs w:val="24"/>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Finance leases as of December 31 are as follows:</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900" w:type="dxa"/>
            <w:vAlign w:val="bottom"/>
          </w:tcPr>
          <w:p>
            <w:pPr>
              <w:spacing w:after="0"/>
              <w:rPr>
                <w:sz w:val="24"/>
                <w:szCs w:val="24"/>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(In thousands)</w:t>
            </w:r>
          </w:p>
        </w:tc>
        <w:tc>
          <w:tcPr>
            <w:tcW w:w="560" w:type="dxa"/>
            <w:vAlign w:val="bottom"/>
          </w:tcPr>
          <w:p>
            <w:pPr>
              <w:spacing w:after="0"/>
              <w:rPr>
                <w:sz w:val="24"/>
                <w:szCs w:val="24"/>
                <w:color w:val="auto"/>
              </w:rPr>
            </w:pP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4"/>
              </w:rPr>
              <w:t>1998</w:t>
            </w:r>
          </w:p>
        </w:tc>
        <w:tc>
          <w:tcPr>
            <w:tcW w:w="360" w:type="dxa"/>
            <w:vAlign w:val="bottom"/>
          </w:tcPr>
          <w:p>
            <w:pPr>
              <w:spacing w:after="0"/>
              <w:rPr>
                <w:sz w:val="24"/>
                <w:szCs w:val="24"/>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4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900" w:type="dxa"/>
            <w:vAlign w:val="bottom"/>
          </w:tcPr>
          <w:p>
            <w:pPr>
              <w:spacing w:after="0"/>
              <w:rPr>
                <w:sz w:val="23"/>
                <w:szCs w:val="23"/>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Gross investment in leases</w:t>
            </w:r>
          </w:p>
        </w:tc>
        <w:tc>
          <w:tcPr>
            <w:tcW w:w="56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605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598</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Unearned income</w:t>
            </w:r>
          </w:p>
        </w:tc>
        <w:tc>
          <w:tcPr>
            <w:tcW w:w="5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w:t>
            </w: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4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900" w:type="dxa"/>
            <w:vAlign w:val="bottom"/>
          </w:tcPr>
          <w:p>
            <w:pPr>
              <w:spacing w:after="0"/>
              <w:rPr>
                <w:sz w:val="23"/>
                <w:szCs w:val="23"/>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Finance Lease Receivable</w:t>
            </w:r>
          </w:p>
        </w:tc>
        <w:tc>
          <w:tcPr>
            <w:tcW w:w="56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516</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492</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4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900" w:type="dxa"/>
            <w:vAlign w:val="bottom"/>
          </w:tcPr>
          <w:p>
            <w:pPr>
              <w:spacing w:after="0"/>
              <w:rPr>
                <w:sz w:val="24"/>
                <w:szCs w:val="24"/>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All amounts are considered collectible, and therefore, no</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allowance has been provided.</w:t>
            </w: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900" w:type="dxa"/>
            <w:vAlign w:val="bottom"/>
          </w:tcPr>
          <w:p>
            <w:pPr>
              <w:spacing w:after="0"/>
              <w:rPr>
                <w:sz w:val="20"/>
                <w:szCs w:val="20"/>
                <w:color w:val="auto"/>
              </w:rPr>
            </w:pPr>
            <w:r>
              <w:rPr>
                <w:rFonts w:ascii="Courier New" w:cs="Courier New" w:eastAsia="Courier New" w:hAnsi="Courier New"/>
                <w:sz w:val="15"/>
                <w:szCs w:val="15"/>
                <w:color w:val="auto"/>
              </w:rPr>
              <w:t>NOTE 7.</w:t>
            </w: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BANK PREMISES AND EQUIPMENT</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900" w:type="dxa"/>
            <w:vAlign w:val="bottom"/>
          </w:tcPr>
          <w:p>
            <w:pPr>
              <w:spacing w:after="0"/>
              <w:rPr>
                <w:sz w:val="23"/>
                <w:szCs w:val="23"/>
                <w:color w:val="auto"/>
              </w:rPr>
            </w:pPr>
          </w:p>
        </w:tc>
        <w:tc>
          <w:tcPr>
            <w:tcW w:w="64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The major categories of banking premises and equipment and</w:t>
            </w: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64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accumulated depreciation at December 31 are summarized below:</w:t>
            </w: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900" w:type="dxa"/>
            <w:vAlign w:val="bottom"/>
          </w:tcPr>
          <w:p>
            <w:pPr>
              <w:spacing w:after="0"/>
              <w:rPr>
                <w:sz w:val="24"/>
                <w:szCs w:val="24"/>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(In thousands)</w:t>
            </w:r>
          </w:p>
        </w:tc>
        <w:tc>
          <w:tcPr>
            <w:tcW w:w="560" w:type="dxa"/>
            <w:vAlign w:val="bottom"/>
          </w:tcPr>
          <w:p>
            <w:pPr>
              <w:spacing w:after="0"/>
              <w:rPr>
                <w:sz w:val="24"/>
                <w:szCs w:val="24"/>
                <w:color w:val="auto"/>
              </w:rPr>
            </w:pPr>
          </w:p>
        </w:tc>
        <w:tc>
          <w:tcPr>
            <w:tcW w:w="9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5900" w:type="dxa"/>
            <w:vAlign w:val="bottom"/>
          </w:tcPr>
          <w:p>
            <w:pPr>
              <w:jc w:val="right"/>
              <w:ind w:right="38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900" w:type="dxa"/>
            <w:vAlign w:val="bottom"/>
          </w:tcPr>
          <w:p>
            <w:pPr>
              <w:spacing w:after="0"/>
              <w:rPr>
                <w:sz w:val="23"/>
                <w:szCs w:val="23"/>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Land</w:t>
            </w:r>
          </w:p>
        </w:tc>
        <w:tc>
          <w:tcPr>
            <w:tcW w:w="56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1,681</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1,472</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Buildings</w:t>
            </w:r>
          </w:p>
        </w:tc>
        <w:tc>
          <w:tcPr>
            <w:tcW w:w="56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8,030</w:t>
            </w:r>
          </w:p>
        </w:tc>
        <w:tc>
          <w:tcPr>
            <w:tcW w:w="36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7,398</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Furnishings</w:t>
            </w:r>
          </w:p>
        </w:tc>
        <w:tc>
          <w:tcPr>
            <w:tcW w:w="56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5,867</w:t>
            </w:r>
          </w:p>
        </w:tc>
        <w:tc>
          <w:tcPr>
            <w:tcW w:w="36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4,605</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4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5900" w:type="dxa"/>
            <w:vAlign w:val="bottom"/>
            <w:vMerge w:val="restart"/>
          </w:tcPr>
          <w:p>
            <w:pPr>
              <w:ind w:left="720"/>
              <w:spacing w:after="0"/>
              <w:rPr>
                <w:sz w:val="20"/>
                <w:szCs w:val="20"/>
                <w:color w:val="auto"/>
              </w:rPr>
            </w:pPr>
            <w:r>
              <w:rPr>
                <w:rFonts w:ascii="Courier New" w:cs="Courier New" w:eastAsia="Courier New" w:hAnsi="Courier New"/>
                <w:sz w:val="15"/>
                <w:szCs w:val="15"/>
                <w:color w:val="auto"/>
              </w:rPr>
              <w:t>Less: Accumulated depreciation</w:t>
            </w:r>
          </w:p>
        </w:tc>
        <w:tc>
          <w:tcPr>
            <w:tcW w:w="56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15,578</w:t>
            </w:r>
          </w:p>
        </w:tc>
        <w:tc>
          <w:tcPr>
            <w:tcW w:w="36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13,475</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59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(6,148)</w:t>
            </w: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(5,810)</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4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900" w:type="dxa"/>
            <w:vAlign w:val="bottom"/>
          </w:tcPr>
          <w:p>
            <w:pPr>
              <w:spacing w:after="0"/>
              <w:rPr>
                <w:sz w:val="23"/>
                <w:szCs w:val="23"/>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Banking Premises and Equipment - Net</w:t>
            </w:r>
          </w:p>
        </w:tc>
        <w:tc>
          <w:tcPr>
            <w:tcW w:w="56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9,430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7,665</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4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900" w:type="dxa"/>
            <w:vAlign w:val="bottom"/>
          </w:tcPr>
          <w:p>
            <w:pPr>
              <w:spacing w:after="0"/>
              <w:rPr>
                <w:sz w:val="20"/>
                <w:szCs w:val="20"/>
                <w:color w:val="auto"/>
              </w:rPr>
            </w:pPr>
            <w:r>
              <w:rPr>
                <w:rFonts w:ascii="Courier New" w:cs="Courier New" w:eastAsia="Courier New" w:hAnsi="Courier New"/>
                <w:sz w:val="15"/>
                <w:szCs w:val="15"/>
                <w:color w:val="auto"/>
              </w:rPr>
              <w:t>NOTE 8.</w:t>
            </w: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DEPOSITS</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900" w:type="dxa"/>
            <w:vAlign w:val="bottom"/>
          </w:tcPr>
          <w:p>
            <w:pPr>
              <w:spacing w:after="0"/>
              <w:rPr>
                <w:sz w:val="24"/>
                <w:szCs w:val="24"/>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Time deposits at December 31 consist of the following:</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900" w:type="dxa"/>
            <w:vAlign w:val="bottom"/>
          </w:tcPr>
          <w:p>
            <w:pPr>
              <w:spacing w:after="0"/>
              <w:rPr>
                <w:sz w:val="24"/>
                <w:szCs w:val="24"/>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(In thousands)</w:t>
            </w:r>
          </w:p>
        </w:tc>
        <w:tc>
          <w:tcPr>
            <w:tcW w:w="146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24"/>
                <w:szCs w:val="24"/>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5900" w:type="dxa"/>
            <w:vAlign w:val="bottom"/>
          </w:tcPr>
          <w:p>
            <w:pPr>
              <w:jc w:val="right"/>
              <w:ind w:right="39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900" w:type="dxa"/>
            <w:vAlign w:val="bottom"/>
          </w:tcPr>
          <w:p>
            <w:pPr>
              <w:spacing w:after="0"/>
              <w:rPr>
                <w:sz w:val="23"/>
                <w:szCs w:val="23"/>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Time deposits under $100,000</w:t>
            </w:r>
          </w:p>
        </w:tc>
        <w:tc>
          <w:tcPr>
            <w:tcW w:w="56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229,143</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216,185</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Time deposits of $100,000 or more</w:t>
            </w:r>
          </w:p>
        </w:tc>
        <w:tc>
          <w:tcPr>
            <w:tcW w:w="56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69,133</w:t>
            </w:r>
          </w:p>
        </w:tc>
        <w:tc>
          <w:tcPr>
            <w:tcW w:w="36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57,763</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4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90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56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298,276</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273,948</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4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900" w:type="dxa"/>
            <w:vAlign w:val="bottom"/>
          </w:tcPr>
          <w:p>
            <w:pPr>
              <w:spacing w:after="0"/>
              <w:rPr>
                <w:sz w:val="24"/>
                <w:szCs w:val="24"/>
                <w:color w:val="auto"/>
              </w:rPr>
            </w:pPr>
          </w:p>
        </w:tc>
        <w:tc>
          <w:tcPr>
            <w:tcW w:w="64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As of December 31, 1998 the aggregate amount of maturities for</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64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each of the five following years for time deposits having a</w:t>
            </w: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remaining term of more than one year follows:</w:t>
            </w: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900" w:type="dxa"/>
            <w:vAlign w:val="bottom"/>
          </w:tcPr>
          <w:p>
            <w:pPr>
              <w:spacing w:after="0"/>
              <w:rPr>
                <w:sz w:val="24"/>
                <w:szCs w:val="24"/>
                <w:color w:val="auto"/>
              </w:rPr>
            </w:pPr>
          </w:p>
        </w:tc>
        <w:tc>
          <w:tcPr>
            <w:tcW w:w="5900" w:type="dxa"/>
            <w:vAlign w:val="bottom"/>
          </w:tcPr>
          <w:p>
            <w:pPr>
              <w:ind w:left="2360"/>
              <w:spacing w:after="0"/>
              <w:rPr>
                <w:sz w:val="20"/>
                <w:szCs w:val="20"/>
                <w:color w:val="auto"/>
              </w:rPr>
            </w:pPr>
            <w:r>
              <w:rPr>
                <w:rFonts w:ascii="Courier New" w:cs="Courier New" w:eastAsia="Courier New" w:hAnsi="Courier New"/>
                <w:sz w:val="15"/>
                <w:szCs w:val="15"/>
                <w:color w:val="auto"/>
              </w:rPr>
              <w:t>1999</w:t>
            </w:r>
          </w:p>
        </w:tc>
        <w:tc>
          <w:tcPr>
            <w:tcW w:w="56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222,106</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5900" w:type="dxa"/>
            <w:vAlign w:val="bottom"/>
          </w:tcPr>
          <w:p>
            <w:pPr>
              <w:ind w:left="2360"/>
              <w:spacing w:after="0"/>
              <w:rPr>
                <w:sz w:val="20"/>
                <w:szCs w:val="20"/>
                <w:color w:val="auto"/>
              </w:rPr>
            </w:pPr>
            <w:r>
              <w:rPr>
                <w:rFonts w:ascii="Courier New" w:cs="Courier New" w:eastAsia="Courier New" w:hAnsi="Courier New"/>
                <w:sz w:val="15"/>
                <w:szCs w:val="15"/>
                <w:color w:val="auto"/>
              </w:rPr>
              <w:t>2000</w:t>
            </w:r>
          </w:p>
        </w:tc>
        <w:tc>
          <w:tcPr>
            <w:tcW w:w="56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58,740</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5900" w:type="dxa"/>
            <w:vAlign w:val="bottom"/>
          </w:tcPr>
          <w:p>
            <w:pPr>
              <w:ind w:left="2360"/>
              <w:spacing w:after="0"/>
              <w:rPr>
                <w:sz w:val="20"/>
                <w:szCs w:val="20"/>
                <w:color w:val="auto"/>
              </w:rPr>
            </w:pPr>
            <w:r>
              <w:rPr>
                <w:rFonts w:ascii="Courier New" w:cs="Courier New" w:eastAsia="Courier New" w:hAnsi="Courier New"/>
                <w:sz w:val="15"/>
                <w:szCs w:val="15"/>
                <w:color w:val="auto"/>
              </w:rPr>
              <w:t>2001</w:t>
            </w:r>
          </w:p>
        </w:tc>
        <w:tc>
          <w:tcPr>
            <w:tcW w:w="56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9,636</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5900" w:type="dxa"/>
            <w:vAlign w:val="bottom"/>
          </w:tcPr>
          <w:p>
            <w:pPr>
              <w:ind w:left="2360"/>
              <w:spacing w:after="0"/>
              <w:rPr>
                <w:sz w:val="20"/>
                <w:szCs w:val="20"/>
                <w:color w:val="auto"/>
              </w:rPr>
            </w:pPr>
            <w:r>
              <w:rPr>
                <w:rFonts w:ascii="Courier New" w:cs="Courier New" w:eastAsia="Courier New" w:hAnsi="Courier New"/>
                <w:sz w:val="15"/>
                <w:szCs w:val="15"/>
                <w:color w:val="auto"/>
              </w:rPr>
              <w:t>2002</w:t>
            </w:r>
          </w:p>
        </w:tc>
        <w:tc>
          <w:tcPr>
            <w:tcW w:w="56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2,530</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5900" w:type="dxa"/>
            <w:vAlign w:val="bottom"/>
          </w:tcPr>
          <w:p>
            <w:pPr>
              <w:ind w:left="2360"/>
              <w:spacing w:after="0"/>
              <w:rPr>
                <w:sz w:val="20"/>
                <w:szCs w:val="20"/>
                <w:color w:val="auto"/>
              </w:rPr>
            </w:pPr>
            <w:r>
              <w:rPr>
                <w:rFonts w:ascii="Courier New" w:cs="Courier New" w:eastAsia="Courier New" w:hAnsi="Courier New"/>
                <w:sz w:val="15"/>
                <w:szCs w:val="15"/>
                <w:color w:val="auto"/>
              </w:rPr>
              <w:t>2003</w:t>
            </w:r>
          </w:p>
        </w:tc>
        <w:tc>
          <w:tcPr>
            <w:tcW w:w="56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5,264</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4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90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56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298,276</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4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65" w:right="1440" w:bottom="459"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46</w:t>
      </w:r>
    </w:p>
    <w:p>
      <w:pPr>
        <w:spacing w:after="0" w:line="354"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29"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5"/>
          <w:szCs w:val="15"/>
          <w:color w:val="auto"/>
        </w:rPr>
        <w:t>DEPOSITS (Continued)</w:t>
      </w:r>
    </w:p>
    <w:p>
      <w:pPr>
        <w:spacing w:after="0" w:line="180" w:lineRule="exact"/>
        <w:rPr>
          <w:sz w:val="20"/>
          <w:szCs w:val="20"/>
          <w:color w:val="auto"/>
        </w:rPr>
      </w:pPr>
    </w:p>
    <w:p>
      <w:pPr>
        <w:ind w:left="1620" w:right="3460"/>
        <w:spacing w:after="0" w:line="368" w:lineRule="auto"/>
        <w:rPr>
          <w:sz w:val="20"/>
          <w:szCs w:val="20"/>
          <w:color w:val="auto"/>
        </w:rPr>
      </w:pPr>
      <w:r>
        <w:rPr>
          <w:rFonts w:ascii="Courier New" w:cs="Courier New" w:eastAsia="Courier New" w:hAnsi="Courier New"/>
          <w:sz w:val="15"/>
          <w:szCs w:val="15"/>
          <w:color w:val="auto"/>
        </w:rPr>
        <w:t>Deposits to related parties as of December 31, 1998 amounted to $14.8 million.</w:t>
      </w:r>
    </w:p>
    <w:p>
      <w:pPr>
        <w:spacing w:after="0" w:line="3"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5"/>
          <w:szCs w:val="15"/>
          <w:color w:val="auto"/>
        </w:rPr>
        <w:t>REPURCHASE AGREEMENTS</w:t>
      </w:r>
    </w:p>
    <w:p>
      <w:pPr>
        <w:spacing w:after="0" w:line="180" w:lineRule="exact"/>
        <w:rPr>
          <w:sz w:val="20"/>
          <w:szCs w:val="20"/>
          <w:color w:val="auto"/>
        </w:rPr>
      </w:pPr>
    </w:p>
    <w:p>
      <w:pPr>
        <w:ind w:left="1620" w:right="3360"/>
        <w:spacing w:after="0" w:line="277" w:lineRule="auto"/>
        <w:rPr>
          <w:sz w:val="20"/>
          <w:szCs w:val="20"/>
          <w:color w:val="auto"/>
        </w:rPr>
      </w:pPr>
      <w:r>
        <w:rPr>
          <w:rFonts w:ascii="Courier New" w:cs="Courier New" w:eastAsia="Courier New" w:hAnsi="Courier New"/>
          <w:sz w:val="15"/>
          <w:szCs w:val="15"/>
          <w:color w:val="auto"/>
        </w:rPr>
        <w:t>The Bank's policy requires U. S. Government securities as collateral for the underlying repurchase agreements. As of December 31, 1998 U. S. Treasury securities with a book value of $3.5 million were underlying the repurchase agreements and were under the Bank's control.</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180" w:type="dxa"/>
            <w:vAlign w:val="bottom"/>
          </w:tcPr>
          <w:p>
            <w:pPr>
              <w:spacing w:after="0"/>
              <w:rPr>
                <w:sz w:val="20"/>
                <w:szCs w:val="20"/>
                <w:color w:val="auto"/>
              </w:rPr>
            </w:pPr>
            <w:r>
              <w:rPr>
                <w:rFonts w:ascii="Courier New" w:cs="Courier New" w:eastAsia="Courier New" w:hAnsi="Courier New"/>
                <w:sz w:val="15"/>
                <w:szCs w:val="15"/>
                <w:color w:val="auto"/>
              </w:rPr>
              <w:t>NOTE 10.</w:t>
            </w:r>
          </w:p>
        </w:tc>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OTHER BORROWINGS</w:t>
            </w: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1180" w:type="dxa"/>
            <w:vAlign w:val="bottom"/>
          </w:tcPr>
          <w:p>
            <w:pPr>
              <w:spacing w:after="0"/>
              <w:rPr>
                <w:sz w:val="24"/>
                <w:szCs w:val="24"/>
                <w:color w:val="auto"/>
              </w:rPr>
            </w:pPr>
          </w:p>
        </w:tc>
        <w:tc>
          <w:tcPr>
            <w:tcW w:w="61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Other borrowings consisted of the following at December 31: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2"/>
        </w:trPr>
        <w:tc>
          <w:tcPr>
            <w:tcW w:w="1180" w:type="dxa"/>
            <w:vAlign w:val="bottom"/>
          </w:tcPr>
          <w:p>
            <w:pPr>
              <w:spacing w:after="0"/>
              <w:rPr>
                <w:sz w:val="24"/>
                <w:szCs w:val="24"/>
                <w:color w:val="auto"/>
              </w:rPr>
            </w:pPr>
          </w:p>
        </w:tc>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(In thousands)</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spacing w:after="0"/>
              <w:rPr>
                <w:sz w:val="24"/>
                <w:szCs w:val="24"/>
                <w:color w:val="auto"/>
              </w:rPr>
            </w:pPr>
          </w:p>
        </w:tc>
        <w:tc>
          <w:tcPr>
            <w:tcW w:w="92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1997</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5500" w:type="dxa"/>
            <w:vAlign w:val="bottom"/>
          </w:tcPr>
          <w:p>
            <w:pPr>
              <w:jc w:val="right"/>
              <w:ind w:right="378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180" w:type="dxa"/>
            <w:vAlign w:val="bottom"/>
          </w:tcPr>
          <w:p>
            <w:pPr>
              <w:spacing w:after="0"/>
              <w:rPr>
                <w:sz w:val="23"/>
                <w:szCs w:val="23"/>
                <w:color w:val="auto"/>
              </w:rPr>
            </w:pPr>
          </w:p>
        </w:tc>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Federal Home Loan Bank, various loans due in monthly</w:t>
            </w: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618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installments of $105 thousand plus an annual payment of $300</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618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thousand including interest at varying rates from 5.40% to</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618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6.75%. Notes are secured by a blanket lien on 100% of one to</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500" w:type="dxa"/>
            <w:vAlign w:val="bottom"/>
          </w:tcPr>
          <w:p>
            <w:pPr>
              <w:ind w:left="640"/>
              <w:spacing w:after="0"/>
              <w:rPr>
                <w:sz w:val="20"/>
                <w:szCs w:val="20"/>
                <w:color w:val="auto"/>
              </w:rPr>
            </w:pPr>
            <w:r>
              <w:rPr>
                <w:rFonts w:ascii="Courier New" w:cs="Courier New" w:eastAsia="Courier New" w:hAnsi="Courier New"/>
                <w:sz w:val="15"/>
                <w:szCs w:val="15"/>
                <w:color w:val="auto"/>
              </w:rPr>
              <w:t>four family residential mortgage loan</w:t>
            </w:r>
          </w:p>
        </w:tc>
        <w:tc>
          <w:tcPr>
            <w:tcW w:w="680" w:type="dxa"/>
            <w:vAlign w:val="bottom"/>
          </w:tcPr>
          <w:p>
            <w:pPr>
              <w:spacing w:after="0"/>
              <w:rPr>
                <w:sz w:val="15"/>
                <w:szCs w:val="15"/>
                <w:color w:val="auto"/>
              </w:rPr>
            </w:pPr>
          </w:p>
        </w:tc>
        <w:tc>
          <w:tcPr>
            <w:tcW w:w="7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11,240</w:t>
            </w:r>
          </w:p>
        </w:tc>
        <w:tc>
          <w:tcPr>
            <w:tcW w:w="680" w:type="dxa"/>
            <w:vAlign w:val="bottom"/>
            <w:vMerge w:val="restart"/>
          </w:tcPr>
          <w:p>
            <w:pPr>
              <w:ind w:left="42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11,292</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500" w:type="dxa"/>
            <w:vAlign w:val="bottom"/>
          </w:tcPr>
          <w:p>
            <w:pPr>
              <w:ind w:left="640"/>
              <w:spacing w:after="0"/>
              <w:rPr>
                <w:sz w:val="20"/>
                <w:szCs w:val="20"/>
                <w:color w:val="auto"/>
              </w:rPr>
            </w:pPr>
            <w:r>
              <w:rPr>
                <w:rFonts w:ascii="Courier New" w:cs="Courier New" w:eastAsia="Courier New" w:hAnsi="Courier New"/>
                <w:sz w:val="15"/>
                <w:szCs w:val="15"/>
                <w:color w:val="auto"/>
              </w:rPr>
              <w:t>portfolio.</w:t>
            </w:r>
          </w:p>
        </w:tc>
        <w:tc>
          <w:tcPr>
            <w:tcW w:w="6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42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443"/>
        </w:trPr>
        <w:tc>
          <w:tcPr>
            <w:tcW w:w="1180" w:type="dxa"/>
            <w:vAlign w:val="bottom"/>
          </w:tcPr>
          <w:p>
            <w:pPr>
              <w:spacing w:after="0"/>
              <w:rPr>
                <w:sz w:val="24"/>
                <w:szCs w:val="24"/>
                <w:color w:val="auto"/>
              </w:rPr>
            </w:pPr>
          </w:p>
        </w:tc>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The following is a schedule by years of future minimum</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principal payments:</w:t>
            </w: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92"/>
        </w:trPr>
        <w:tc>
          <w:tcPr>
            <w:tcW w:w="1180" w:type="dxa"/>
            <w:vAlign w:val="bottom"/>
          </w:tcPr>
          <w:p>
            <w:pPr>
              <w:spacing w:after="0"/>
              <w:rPr>
                <w:sz w:val="24"/>
                <w:szCs w:val="24"/>
                <w:color w:val="auto"/>
              </w:rPr>
            </w:pPr>
          </w:p>
        </w:tc>
        <w:tc>
          <w:tcPr>
            <w:tcW w:w="5500" w:type="dxa"/>
            <w:vAlign w:val="bottom"/>
          </w:tcPr>
          <w:p>
            <w:pPr>
              <w:ind w:left="2080"/>
              <w:spacing w:after="0"/>
              <w:rPr>
                <w:sz w:val="20"/>
                <w:szCs w:val="20"/>
                <w:color w:val="auto"/>
              </w:rPr>
            </w:pPr>
            <w:r>
              <w:rPr>
                <w:rFonts w:ascii="Courier New" w:cs="Courier New" w:eastAsia="Courier New" w:hAnsi="Courier New"/>
                <w:sz w:val="15"/>
                <w:szCs w:val="15"/>
                <w:color w:val="auto"/>
              </w:rPr>
              <w:t>Year Ended</w:t>
            </w:r>
          </w:p>
        </w:tc>
        <w:tc>
          <w:tcPr>
            <w:tcW w:w="14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Principal</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500" w:type="dxa"/>
            <w:vAlign w:val="bottom"/>
          </w:tcPr>
          <w:p>
            <w:pPr>
              <w:ind w:left="2080"/>
              <w:spacing w:after="0"/>
              <w:rPr>
                <w:sz w:val="20"/>
                <w:szCs w:val="20"/>
                <w:color w:val="auto"/>
              </w:rPr>
            </w:pPr>
            <w:r>
              <w:rPr>
                <w:rFonts w:ascii="Courier New" w:cs="Courier New" w:eastAsia="Courier New" w:hAnsi="Courier New"/>
                <w:sz w:val="15"/>
                <w:szCs w:val="15"/>
                <w:color w:val="auto"/>
              </w:rPr>
              <w:t>December 31</w:t>
            </w:r>
          </w:p>
        </w:tc>
        <w:tc>
          <w:tcPr>
            <w:tcW w:w="14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Payments</w:t>
            </w: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5500" w:type="dxa"/>
            <w:vAlign w:val="bottom"/>
          </w:tcPr>
          <w:p>
            <w:pPr>
              <w:ind w:left="208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180" w:type="dxa"/>
            <w:vAlign w:val="bottom"/>
          </w:tcPr>
          <w:p>
            <w:pPr>
              <w:spacing w:after="0"/>
              <w:rPr>
                <w:sz w:val="23"/>
                <w:szCs w:val="23"/>
                <w:color w:val="auto"/>
              </w:rPr>
            </w:pPr>
          </w:p>
        </w:tc>
        <w:tc>
          <w:tcPr>
            <w:tcW w:w="5500" w:type="dxa"/>
            <w:vAlign w:val="bottom"/>
          </w:tcPr>
          <w:p>
            <w:pPr>
              <w:ind w:left="2080"/>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1,201</w:t>
            </w: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500" w:type="dxa"/>
            <w:vAlign w:val="bottom"/>
          </w:tcPr>
          <w:p>
            <w:pPr>
              <w:ind w:left="2080"/>
              <w:spacing w:after="0"/>
              <w:rPr>
                <w:sz w:val="20"/>
                <w:szCs w:val="20"/>
                <w:color w:val="auto"/>
              </w:rPr>
            </w:pPr>
            <w:r>
              <w:rPr>
                <w:rFonts w:ascii="Courier New" w:cs="Courier New" w:eastAsia="Courier New" w:hAnsi="Courier New"/>
                <w:sz w:val="15"/>
                <w:szCs w:val="15"/>
                <w:color w:val="auto"/>
              </w:rPr>
              <w:t>2000</w:t>
            </w:r>
          </w:p>
        </w:tc>
        <w:tc>
          <w:tcPr>
            <w:tcW w:w="68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1,253</w:t>
            </w: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500" w:type="dxa"/>
            <w:vAlign w:val="bottom"/>
          </w:tcPr>
          <w:p>
            <w:pPr>
              <w:ind w:left="2080"/>
              <w:spacing w:after="0"/>
              <w:rPr>
                <w:sz w:val="20"/>
                <w:szCs w:val="20"/>
                <w:color w:val="auto"/>
              </w:rPr>
            </w:pPr>
            <w:r>
              <w:rPr>
                <w:rFonts w:ascii="Courier New" w:cs="Courier New" w:eastAsia="Courier New" w:hAnsi="Courier New"/>
                <w:sz w:val="15"/>
                <w:szCs w:val="15"/>
                <w:color w:val="auto"/>
              </w:rPr>
              <w:t>2001</w:t>
            </w:r>
          </w:p>
        </w:tc>
        <w:tc>
          <w:tcPr>
            <w:tcW w:w="68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1,308</w:t>
            </w: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500" w:type="dxa"/>
            <w:vAlign w:val="bottom"/>
          </w:tcPr>
          <w:p>
            <w:pPr>
              <w:ind w:left="2080"/>
              <w:spacing w:after="0"/>
              <w:rPr>
                <w:sz w:val="20"/>
                <w:szCs w:val="20"/>
                <w:color w:val="auto"/>
              </w:rPr>
            </w:pPr>
            <w:r>
              <w:rPr>
                <w:rFonts w:ascii="Courier New" w:cs="Courier New" w:eastAsia="Courier New" w:hAnsi="Courier New"/>
                <w:sz w:val="15"/>
                <w:szCs w:val="15"/>
                <w:color w:val="auto"/>
              </w:rPr>
              <w:t>2002</w:t>
            </w:r>
          </w:p>
        </w:tc>
        <w:tc>
          <w:tcPr>
            <w:tcW w:w="68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1,367</w:t>
            </w: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500" w:type="dxa"/>
            <w:vAlign w:val="bottom"/>
          </w:tcPr>
          <w:p>
            <w:pPr>
              <w:ind w:left="2080"/>
              <w:spacing w:after="0"/>
              <w:rPr>
                <w:sz w:val="20"/>
                <w:szCs w:val="20"/>
                <w:color w:val="auto"/>
              </w:rPr>
            </w:pPr>
            <w:r>
              <w:rPr>
                <w:rFonts w:ascii="Courier New" w:cs="Courier New" w:eastAsia="Courier New" w:hAnsi="Courier New"/>
                <w:sz w:val="15"/>
                <w:szCs w:val="15"/>
                <w:color w:val="auto"/>
              </w:rPr>
              <w:t>2003</w:t>
            </w:r>
          </w:p>
        </w:tc>
        <w:tc>
          <w:tcPr>
            <w:tcW w:w="68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1,409</w:t>
            </w: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500" w:type="dxa"/>
            <w:vAlign w:val="bottom"/>
          </w:tcPr>
          <w:p>
            <w:pPr>
              <w:ind w:left="2080"/>
              <w:spacing w:after="0"/>
              <w:rPr>
                <w:sz w:val="20"/>
                <w:szCs w:val="20"/>
                <w:color w:val="auto"/>
              </w:rPr>
            </w:pPr>
            <w:r>
              <w:rPr>
                <w:rFonts w:ascii="Courier New" w:cs="Courier New" w:eastAsia="Courier New" w:hAnsi="Courier New"/>
                <w:sz w:val="15"/>
                <w:szCs w:val="15"/>
                <w:color w:val="auto"/>
              </w:rPr>
              <w:t>Thereafter</w:t>
            </w:r>
          </w:p>
        </w:tc>
        <w:tc>
          <w:tcPr>
            <w:tcW w:w="68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4,702</w:t>
            </w: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4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11,240</w:t>
            </w: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14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9"/>
        </w:trPr>
        <w:tc>
          <w:tcPr>
            <w:tcW w:w="1180" w:type="dxa"/>
            <w:vAlign w:val="bottom"/>
          </w:tcPr>
          <w:p>
            <w:pPr>
              <w:spacing w:after="0"/>
              <w:rPr>
                <w:sz w:val="20"/>
                <w:szCs w:val="20"/>
                <w:color w:val="auto"/>
              </w:rPr>
            </w:pPr>
            <w:r>
              <w:rPr>
                <w:rFonts w:ascii="Courier New" w:cs="Courier New" w:eastAsia="Courier New" w:hAnsi="Courier New"/>
                <w:sz w:val="15"/>
                <w:szCs w:val="15"/>
                <w:color w:val="auto"/>
              </w:rPr>
              <w:t>NOTE 11.</w:t>
            </w:r>
          </w:p>
        </w:tc>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FEDERAL INCOME TAXES</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180" w:type="dxa"/>
            <w:vAlign w:val="bottom"/>
          </w:tcPr>
          <w:p>
            <w:pPr>
              <w:spacing w:after="0"/>
              <w:rPr>
                <w:sz w:val="23"/>
                <w:szCs w:val="23"/>
                <w:color w:val="auto"/>
              </w:rPr>
            </w:pPr>
          </w:p>
        </w:tc>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Deferred tax assets and liabilities at December 31 are</w:t>
            </w: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comprised of the following:</w:t>
            </w: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1180" w:type="dxa"/>
            <w:vAlign w:val="bottom"/>
          </w:tcPr>
          <w:p>
            <w:pPr>
              <w:spacing w:after="0"/>
              <w:rPr>
                <w:sz w:val="24"/>
                <w:szCs w:val="24"/>
                <w:color w:val="auto"/>
              </w:rPr>
            </w:pPr>
          </w:p>
        </w:tc>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(In thousands)</w:t>
            </w:r>
          </w:p>
        </w:tc>
        <w:tc>
          <w:tcPr>
            <w:tcW w:w="680" w:type="dxa"/>
            <w:vAlign w:val="bottom"/>
          </w:tcPr>
          <w:p>
            <w:pPr>
              <w:spacing w:after="0"/>
              <w:rPr>
                <w:sz w:val="24"/>
                <w:szCs w:val="24"/>
                <w:color w:val="auto"/>
              </w:rPr>
            </w:pPr>
          </w:p>
        </w:tc>
        <w:tc>
          <w:tcPr>
            <w:tcW w:w="7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4"/>
              </w:rPr>
              <w:t>1998</w:t>
            </w:r>
          </w:p>
        </w:tc>
        <w:tc>
          <w:tcPr>
            <w:tcW w:w="820" w:type="dxa"/>
            <w:vAlign w:val="bottom"/>
          </w:tcPr>
          <w:p>
            <w:pPr>
              <w:spacing w:after="0"/>
              <w:rPr>
                <w:sz w:val="24"/>
                <w:szCs w:val="24"/>
                <w:color w:val="auto"/>
              </w:rPr>
            </w:pPr>
          </w:p>
        </w:tc>
        <w:tc>
          <w:tcPr>
            <w:tcW w:w="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5500" w:type="dxa"/>
            <w:vAlign w:val="bottom"/>
          </w:tcPr>
          <w:p>
            <w:pPr>
              <w:jc w:val="right"/>
              <w:ind w:right="378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180" w:type="dxa"/>
            <w:vAlign w:val="bottom"/>
          </w:tcPr>
          <w:p>
            <w:pPr>
              <w:spacing w:after="0"/>
              <w:rPr>
                <w:sz w:val="23"/>
                <w:szCs w:val="23"/>
                <w:color w:val="auto"/>
              </w:rPr>
            </w:pPr>
          </w:p>
        </w:tc>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Deferred tax assets:</w:t>
            </w:r>
          </w:p>
        </w:tc>
        <w:tc>
          <w:tcPr>
            <w:tcW w:w="68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1,702</w:t>
            </w:r>
          </w:p>
        </w:tc>
        <w:tc>
          <w:tcPr>
            <w:tcW w:w="82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1,702</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500" w:type="dxa"/>
            <w:vAlign w:val="bottom"/>
          </w:tcPr>
          <w:p>
            <w:pPr>
              <w:ind w:left="820"/>
              <w:spacing w:after="0"/>
              <w:rPr>
                <w:sz w:val="20"/>
                <w:szCs w:val="20"/>
                <w:color w:val="auto"/>
              </w:rPr>
            </w:pPr>
            <w:r>
              <w:rPr>
                <w:rFonts w:ascii="Courier New" w:cs="Courier New" w:eastAsia="Courier New" w:hAnsi="Courier New"/>
                <w:sz w:val="15"/>
                <w:szCs w:val="15"/>
                <w:color w:val="auto"/>
              </w:rPr>
              <w:t>Allowance for loan losses</w:t>
            </w:r>
          </w:p>
        </w:tc>
        <w:tc>
          <w:tcPr>
            <w:tcW w:w="6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500" w:type="dxa"/>
            <w:vAlign w:val="bottom"/>
          </w:tcPr>
          <w:p>
            <w:pPr>
              <w:ind w:left="820"/>
              <w:spacing w:after="0"/>
              <w:rPr>
                <w:sz w:val="20"/>
                <w:szCs w:val="20"/>
                <w:color w:val="auto"/>
              </w:rPr>
            </w:pPr>
            <w:r>
              <w:rPr>
                <w:rFonts w:ascii="Courier New" w:cs="Courier New" w:eastAsia="Courier New" w:hAnsi="Courier New"/>
                <w:sz w:val="15"/>
                <w:szCs w:val="15"/>
                <w:color w:val="auto"/>
              </w:rPr>
              <w:t>Other</w:t>
            </w:r>
          </w:p>
        </w:tc>
        <w:tc>
          <w:tcPr>
            <w:tcW w:w="68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Courier New" w:cs="Courier New" w:eastAsia="Courier New" w:hAnsi="Courier New"/>
                <w:sz w:val="9"/>
                <w:szCs w:val="9"/>
                <w:color w:val="auto"/>
                <w:w w:val="76"/>
              </w:rPr>
              <w:t>-------------</w:t>
            </w:r>
          </w:p>
        </w:tc>
        <w:tc>
          <w:tcPr>
            <w:tcW w:w="76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1,714</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1,710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14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4"/>
        </w:trPr>
        <w:tc>
          <w:tcPr>
            <w:tcW w:w="1180" w:type="dxa"/>
            <w:vAlign w:val="bottom"/>
          </w:tcPr>
          <w:p>
            <w:pPr>
              <w:spacing w:after="0"/>
              <w:rPr>
                <w:sz w:val="24"/>
                <w:szCs w:val="24"/>
                <w:color w:val="auto"/>
              </w:rPr>
            </w:pPr>
          </w:p>
        </w:tc>
        <w:tc>
          <w:tcPr>
            <w:tcW w:w="5500" w:type="dxa"/>
            <w:vAlign w:val="bottom"/>
          </w:tcPr>
          <w:p>
            <w:pPr>
              <w:ind w:left="4540"/>
              <w:spacing w:after="0"/>
              <w:rPr>
                <w:sz w:val="20"/>
                <w:szCs w:val="20"/>
                <w:color w:val="auto"/>
              </w:rPr>
            </w:pPr>
            <w:r>
              <w:rPr>
                <w:rFonts w:ascii="Courier New" w:cs="Courier New" w:eastAsia="Courier New" w:hAnsi="Courier New"/>
                <w:sz w:val="15"/>
                <w:szCs w:val="15"/>
                <w:color w:val="auto"/>
              </w:rPr>
              <w:t>-20-</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240" w:top="265" w:right="111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47</w:t>
            </w:r>
          </w:p>
        </w:tc>
        <w:tc>
          <w:tcPr>
            <w:tcW w:w="100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00" w:type="dxa"/>
            <w:vAlign w:val="bottom"/>
          </w:tcPr>
          <w:p>
            <w:pPr>
              <w:ind w:left="240"/>
              <w:spacing w:after="0"/>
              <w:rPr>
                <w:sz w:val="20"/>
                <w:szCs w:val="20"/>
                <w:color w:val="auto"/>
              </w:rPr>
            </w:pPr>
            <w:r>
              <w:rPr>
                <w:rFonts w:ascii="Courier New" w:cs="Courier New" w:eastAsia="Courier New" w:hAnsi="Courier New"/>
                <w:sz w:val="15"/>
                <w:szCs w:val="15"/>
                <w:color w:val="auto"/>
              </w:rPr>
              <w:t>FARMERS &amp; MERCHANTS BANCORP, INC.</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940" w:type="dxa"/>
            <w:vAlign w:val="bottom"/>
          </w:tcPr>
          <w:p>
            <w:pPr>
              <w:spacing w:after="0"/>
              <w:rPr>
                <w:sz w:val="24"/>
                <w:szCs w:val="24"/>
                <w:color w:val="auto"/>
              </w:rPr>
            </w:pPr>
          </w:p>
        </w:tc>
        <w:tc>
          <w:tcPr>
            <w:tcW w:w="1000" w:type="dxa"/>
            <w:vAlign w:val="bottom"/>
          </w:tcPr>
          <w:p>
            <w:pPr>
              <w:ind w:left="240"/>
              <w:spacing w:after="0"/>
              <w:rPr>
                <w:sz w:val="20"/>
                <w:szCs w:val="20"/>
                <w:color w:val="auto"/>
              </w:rPr>
            </w:pPr>
            <w:r>
              <w:rPr>
                <w:rFonts w:ascii="Courier New" w:cs="Courier New" w:eastAsia="Courier New" w:hAnsi="Courier New"/>
                <w:sz w:val="15"/>
                <w:szCs w:val="15"/>
                <w:color w:val="auto"/>
              </w:rPr>
              <w:t>Notes to</w:t>
            </w:r>
          </w:p>
        </w:tc>
        <w:tc>
          <w:tcPr>
            <w:tcW w:w="4500" w:type="dxa"/>
            <w:vAlign w:val="bottom"/>
          </w:tcPr>
          <w:p>
            <w:pPr>
              <w:ind w:left="60"/>
              <w:spacing w:after="0"/>
              <w:rPr>
                <w:sz w:val="20"/>
                <w:szCs w:val="20"/>
                <w:color w:val="auto"/>
              </w:rPr>
            </w:pPr>
            <w:r>
              <w:rPr>
                <w:rFonts w:ascii="Courier New" w:cs="Courier New" w:eastAsia="Courier New" w:hAnsi="Courier New"/>
                <w:sz w:val="15"/>
                <w:szCs w:val="15"/>
                <w:color w:val="auto"/>
              </w:rPr>
              <w:t>Consolidated Financial Statements (Continued)</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94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NOTE 11.</w:t>
            </w:r>
          </w:p>
        </w:tc>
        <w:tc>
          <w:tcPr>
            <w:tcW w:w="55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FEDERAL INCOME TAXES (Continued)</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58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17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940" w:type="dxa"/>
            <w:vAlign w:val="bottom"/>
          </w:tcPr>
          <w:p>
            <w:pPr>
              <w:spacing w:after="0"/>
              <w:rPr>
                <w:sz w:val="23"/>
                <w:szCs w:val="23"/>
                <w:color w:val="auto"/>
              </w:rPr>
            </w:pPr>
          </w:p>
        </w:tc>
        <w:tc>
          <w:tcPr>
            <w:tcW w:w="55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Deferred tax liabilities:</w:t>
            </w:r>
          </w:p>
        </w:tc>
        <w:tc>
          <w:tcPr>
            <w:tcW w:w="740" w:type="dxa"/>
            <w:vAlign w:val="bottom"/>
          </w:tcPr>
          <w:p>
            <w:pPr>
              <w:spacing w:after="0"/>
              <w:rPr>
                <w:sz w:val="23"/>
                <w:szCs w:val="23"/>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35</w:t>
            </w:r>
          </w:p>
        </w:tc>
        <w:tc>
          <w:tcPr>
            <w:tcW w:w="580" w:type="dxa"/>
            <w:vAlign w:val="bottom"/>
          </w:tcPr>
          <w:p>
            <w:pPr>
              <w:spacing w:after="0"/>
              <w:rPr>
                <w:sz w:val="23"/>
                <w:szCs w:val="23"/>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103</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5"/>
                <w:szCs w:val="15"/>
                <w:color w:val="auto"/>
              </w:rPr>
              <w:t>Accreted discounts on bonds</w:t>
            </w:r>
          </w:p>
        </w:tc>
        <w:tc>
          <w:tcPr>
            <w:tcW w:w="7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5"/>
                <w:szCs w:val="15"/>
                <w:color w:val="auto"/>
              </w:rPr>
              <w:t>FHLB stock dividends</w:t>
            </w:r>
          </w:p>
        </w:tc>
        <w:tc>
          <w:tcPr>
            <w:tcW w:w="7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293</w:t>
            </w:r>
          </w:p>
        </w:tc>
        <w:tc>
          <w:tcPr>
            <w:tcW w:w="5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233</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5"/>
                <w:szCs w:val="15"/>
                <w:color w:val="auto"/>
              </w:rPr>
              <w:t>Mortgage servicing rights</w:t>
            </w:r>
          </w:p>
        </w:tc>
        <w:tc>
          <w:tcPr>
            <w:tcW w:w="7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312</w:t>
            </w:r>
          </w:p>
        </w:tc>
        <w:tc>
          <w:tcPr>
            <w:tcW w:w="5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245</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5"/>
                <w:szCs w:val="15"/>
                <w:color w:val="auto"/>
              </w:rPr>
              <w:t>Other</w:t>
            </w:r>
          </w:p>
        </w:tc>
        <w:tc>
          <w:tcPr>
            <w:tcW w:w="7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w:t>
            </w:r>
          </w:p>
        </w:tc>
        <w:tc>
          <w:tcPr>
            <w:tcW w:w="5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5"/>
                <w:szCs w:val="15"/>
                <w:color w:val="auto"/>
              </w:rPr>
              <w:t>Net unrealized gain on securities</w:t>
            </w:r>
          </w:p>
        </w:tc>
        <w:tc>
          <w:tcPr>
            <w:tcW w:w="740" w:type="dxa"/>
            <w:vAlign w:val="bottom"/>
          </w:tcPr>
          <w:p>
            <w:pPr>
              <w:spacing w:after="0"/>
              <w:rPr>
                <w:sz w:val="15"/>
                <w:szCs w:val="15"/>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862</w:t>
            </w:r>
          </w:p>
        </w:tc>
        <w:tc>
          <w:tcPr>
            <w:tcW w:w="5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515</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500" w:type="dxa"/>
            <w:vAlign w:val="bottom"/>
          </w:tcPr>
          <w:p>
            <w:pPr>
              <w:ind w:left="320"/>
              <w:spacing w:after="0"/>
              <w:rPr>
                <w:sz w:val="20"/>
                <w:szCs w:val="20"/>
                <w:color w:val="auto"/>
              </w:rPr>
            </w:pPr>
            <w:r>
              <w:rPr>
                <w:rFonts w:ascii="Courier New" w:cs="Courier New" w:eastAsia="Courier New" w:hAnsi="Courier New"/>
                <w:sz w:val="15"/>
                <w:szCs w:val="15"/>
                <w:color w:val="auto"/>
              </w:rPr>
              <w:t>Available for sale</w:t>
            </w:r>
          </w:p>
        </w:tc>
        <w:tc>
          <w:tcPr>
            <w:tcW w:w="7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17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9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1,505</w:t>
            </w:r>
          </w:p>
        </w:tc>
        <w:tc>
          <w:tcPr>
            <w:tcW w:w="5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1,096</w:t>
            </w:r>
          </w:p>
        </w:tc>
        <w:tc>
          <w:tcPr>
            <w:tcW w:w="0" w:type="dxa"/>
            <w:vAlign w:val="bottom"/>
          </w:tcPr>
          <w:p>
            <w:pPr>
              <w:spacing w:after="0"/>
              <w:rPr>
                <w:sz w:val="1"/>
                <w:szCs w:val="1"/>
                <w:color w:val="auto"/>
              </w:rPr>
            </w:pPr>
          </w:p>
        </w:tc>
      </w:tr>
      <w:tr>
        <w:trPr>
          <w:trHeight w:val="256"/>
        </w:trPr>
        <w:tc>
          <w:tcPr>
            <w:tcW w:w="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17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940" w:type="dxa"/>
            <w:vAlign w:val="bottom"/>
          </w:tcPr>
          <w:p>
            <w:pPr>
              <w:spacing w:after="0"/>
              <w:rPr>
                <w:sz w:val="23"/>
                <w:szCs w:val="23"/>
                <w:color w:val="auto"/>
              </w:rPr>
            </w:pPr>
          </w:p>
        </w:tc>
        <w:tc>
          <w:tcPr>
            <w:tcW w:w="1000" w:type="dxa"/>
            <w:vAlign w:val="bottom"/>
          </w:tcPr>
          <w:p>
            <w:pPr>
              <w:ind w:left="680"/>
              <w:spacing w:after="0"/>
              <w:rPr>
                <w:sz w:val="20"/>
                <w:szCs w:val="20"/>
                <w:color w:val="auto"/>
              </w:rPr>
            </w:pPr>
            <w:r>
              <w:rPr>
                <w:rFonts w:ascii="Courier New" w:cs="Courier New" w:eastAsia="Courier New" w:hAnsi="Courier New"/>
                <w:sz w:val="15"/>
                <w:szCs w:val="15"/>
                <w:color w:val="auto"/>
              </w:rPr>
              <w:t>Net</w:t>
            </w:r>
          </w:p>
        </w:tc>
        <w:tc>
          <w:tcPr>
            <w:tcW w:w="4500" w:type="dxa"/>
            <w:vAlign w:val="bottom"/>
          </w:tcPr>
          <w:p>
            <w:pPr>
              <w:ind w:left="60"/>
              <w:spacing w:after="0"/>
              <w:rPr>
                <w:sz w:val="20"/>
                <w:szCs w:val="20"/>
                <w:color w:val="auto"/>
              </w:rPr>
            </w:pPr>
            <w:r>
              <w:rPr>
                <w:rFonts w:ascii="Courier New" w:cs="Courier New" w:eastAsia="Courier New" w:hAnsi="Courier New"/>
                <w:sz w:val="15"/>
                <w:szCs w:val="15"/>
                <w:color w:val="auto"/>
              </w:rPr>
              <w:t>Deferred Tax Assets</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209</w:t>
            </w:r>
          </w:p>
        </w:tc>
        <w:tc>
          <w:tcPr>
            <w:tcW w:w="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614</w:t>
            </w:r>
          </w:p>
        </w:tc>
        <w:tc>
          <w:tcPr>
            <w:tcW w:w="0" w:type="dxa"/>
            <w:vAlign w:val="bottom"/>
          </w:tcPr>
          <w:p>
            <w:pPr>
              <w:spacing w:after="0"/>
              <w:rPr>
                <w:sz w:val="1"/>
                <w:szCs w:val="1"/>
                <w:color w:val="auto"/>
              </w:rPr>
            </w:pPr>
          </w:p>
        </w:tc>
      </w:tr>
      <w:tr>
        <w:trPr>
          <w:trHeight w:val="256"/>
        </w:trPr>
        <w:tc>
          <w:tcPr>
            <w:tcW w:w="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17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The components of income tax expense for the years ended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are as follows:</w:t>
      </w:r>
    </w:p>
    <w:p>
      <w:pPr>
        <w:spacing w:after="0" w:line="200" w:lineRule="exact"/>
        <w:rPr>
          <w:sz w:val="20"/>
          <w:szCs w:val="20"/>
          <w:color w:val="auto"/>
        </w:rPr>
      </w:pPr>
    </w:p>
    <w:p>
      <w:pPr>
        <w:spacing w:after="0" w:line="301"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820" w:type="dxa"/>
            <w:vAlign w:val="bottom"/>
          </w:tcPr>
          <w:p>
            <w:pPr>
              <w:spacing w:after="0"/>
              <w:rPr>
                <w:sz w:val="15"/>
                <w:szCs w:val="15"/>
                <w:color w:val="auto"/>
              </w:rPr>
            </w:pP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5"/>
                <w:szCs w:val="15"/>
                <w:color w:val="auto"/>
              </w:rPr>
            </w:pP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50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19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1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8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3,361</w:t>
            </w:r>
          </w:p>
        </w:tc>
        <w:tc>
          <w:tcPr>
            <w:tcW w:w="4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2,993</w:t>
            </w:r>
          </w:p>
        </w:tc>
        <w:tc>
          <w:tcPr>
            <w:tcW w:w="5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2,043</w:t>
            </w:r>
          </w:p>
        </w:tc>
        <w:tc>
          <w:tcPr>
            <w:tcW w:w="0" w:type="dxa"/>
            <w:vAlign w:val="bottom"/>
          </w:tcPr>
          <w:p>
            <w:pPr>
              <w:spacing w:after="0"/>
              <w:rPr>
                <w:sz w:val="1"/>
                <w:szCs w:val="1"/>
                <w:color w:val="auto"/>
              </w:rPr>
            </w:pPr>
          </w:p>
        </w:tc>
      </w:tr>
      <w:tr>
        <w:trPr>
          <w:trHeight w:val="175"/>
        </w:trPr>
        <w:tc>
          <w:tcPr>
            <w:tcW w:w="3140" w:type="dxa"/>
            <w:vAlign w:val="bottom"/>
          </w:tcPr>
          <w:p>
            <w:pPr>
              <w:ind w:left="380"/>
              <w:spacing w:after="0"/>
              <w:rPr>
                <w:sz w:val="20"/>
                <w:szCs w:val="20"/>
                <w:color w:val="auto"/>
              </w:rPr>
            </w:pPr>
            <w:r>
              <w:rPr>
                <w:rFonts w:ascii="Courier New" w:cs="Courier New" w:eastAsia="Courier New" w:hAnsi="Courier New"/>
                <w:sz w:val="15"/>
                <w:szCs w:val="15"/>
                <w:color w:val="auto"/>
              </w:rPr>
              <w:t>Federal</w:t>
            </w:r>
          </w:p>
        </w:tc>
        <w:tc>
          <w:tcPr>
            <w:tcW w:w="8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820" w:type="dxa"/>
            <w:vAlign w:val="bottom"/>
          </w:tcPr>
          <w:p>
            <w:pPr>
              <w:spacing w:after="0"/>
              <w:rPr>
                <w:sz w:val="15"/>
                <w:szCs w:val="15"/>
                <w:color w:val="auto"/>
              </w:rPr>
            </w:pPr>
          </w:p>
        </w:tc>
        <w:tc>
          <w:tcPr>
            <w:tcW w:w="110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52</w:t>
            </w:r>
          </w:p>
        </w:tc>
        <w:tc>
          <w:tcPr>
            <w:tcW w:w="440" w:type="dxa"/>
            <w:vAlign w:val="bottom"/>
          </w:tcPr>
          <w:p>
            <w:pPr>
              <w:spacing w:after="0"/>
              <w:rPr>
                <w:sz w:val="15"/>
                <w:szCs w:val="15"/>
                <w:color w:val="auto"/>
              </w:rPr>
            </w:pPr>
          </w:p>
        </w:tc>
        <w:tc>
          <w:tcPr>
            <w:tcW w:w="11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42</w:t>
            </w:r>
          </w:p>
        </w:tc>
        <w:tc>
          <w:tcPr>
            <w:tcW w:w="500" w:type="dxa"/>
            <w:vAlign w:val="bottom"/>
          </w:tcPr>
          <w:p>
            <w:pPr>
              <w:spacing w:after="0"/>
              <w:rPr>
                <w:sz w:val="15"/>
                <w:szCs w:val="15"/>
                <w:color w:val="auto"/>
              </w:rPr>
            </w:pPr>
          </w:p>
        </w:tc>
        <w:tc>
          <w:tcPr>
            <w:tcW w:w="9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269</w:t>
            </w:r>
          </w:p>
        </w:tc>
        <w:tc>
          <w:tcPr>
            <w:tcW w:w="0" w:type="dxa"/>
            <w:vAlign w:val="bottom"/>
          </w:tcPr>
          <w:p>
            <w:pPr>
              <w:spacing w:after="0"/>
              <w:rPr>
                <w:sz w:val="1"/>
                <w:szCs w:val="1"/>
                <w:color w:val="auto"/>
              </w:rPr>
            </w:pPr>
          </w:p>
        </w:tc>
      </w:tr>
      <w:tr>
        <w:trPr>
          <w:trHeight w:val="175"/>
        </w:trPr>
        <w:tc>
          <w:tcPr>
            <w:tcW w:w="3140" w:type="dxa"/>
            <w:vAlign w:val="bottom"/>
          </w:tcPr>
          <w:p>
            <w:pPr>
              <w:ind w:left="380"/>
              <w:spacing w:after="0"/>
              <w:rPr>
                <w:sz w:val="20"/>
                <w:szCs w:val="20"/>
                <w:color w:val="auto"/>
              </w:rPr>
            </w:pPr>
            <w:r>
              <w:rPr>
                <w:rFonts w:ascii="Courier New" w:cs="Courier New" w:eastAsia="Courier New" w:hAnsi="Courier New"/>
                <w:sz w:val="15"/>
                <w:szCs w:val="15"/>
                <w:color w:val="auto"/>
              </w:rPr>
              <w:t>Federal</w:t>
            </w:r>
          </w:p>
        </w:tc>
        <w:tc>
          <w:tcPr>
            <w:tcW w:w="8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19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140" w:type="dxa"/>
            <w:vAlign w:val="bottom"/>
          </w:tcPr>
          <w:p>
            <w:pPr>
              <w:spacing w:after="0"/>
              <w:rPr>
                <w:sz w:val="23"/>
                <w:szCs w:val="23"/>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3,413</w:t>
            </w:r>
          </w:p>
        </w:tc>
        <w:tc>
          <w:tcPr>
            <w:tcW w:w="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3,035</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2,312</w:t>
            </w: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19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Income tax at statutory rates</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3,771</w:t>
            </w:r>
          </w:p>
        </w:tc>
        <w:tc>
          <w:tcPr>
            <w:tcW w:w="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3,354</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2,650</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Courier New" w:cs="Courier New" w:eastAsia="Courier New" w:hAnsi="Courier New"/>
                <w:sz w:val="15"/>
                <w:szCs w:val="15"/>
                <w:color w:val="auto"/>
              </w:rPr>
              <w:t>Tax effect of:</w:t>
            </w:r>
          </w:p>
        </w:tc>
        <w:tc>
          <w:tcPr>
            <w:tcW w:w="820" w:type="dxa"/>
            <w:vAlign w:val="bottom"/>
          </w:tcPr>
          <w:p>
            <w:pPr>
              <w:spacing w:after="0"/>
              <w:rPr>
                <w:sz w:val="15"/>
                <w:szCs w:val="15"/>
                <w:color w:val="auto"/>
              </w:rPr>
            </w:pPr>
          </w:p>
        </w:tc>
        <w:tc>
          <w:tcPr>
            <w:tcW w:w="11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(428)</w:t>
            </w:r>
          </w:p>
        </w:tc>
        <w:tc>
          <w:tcPr>
            <w:tcW w:w="440" w:type="dxa"/>
            <w:vAlign w:val="bottom"/>
          </w:tcPr>
          <w:p>
            <w:pPr>
              <w:spacing w:after="0"/>
              <w:rPr>
                <w:sz w:val="15"/>
                <w:szCs w:val="15"/>
                <w:color w:val="auto"/>
              </w:rPr>
            </w:pPr>
          </w:p>
        </w:tc>
        <w:tc>
          <w:tcPr>
            <w:tcW w:w="11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(384)</w:t>
            </w:r>
          </w:p>
        </w:tc>
        <w:tc>
          <w:tcPr>
            <w:tcW w:w="5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(406)</w:t>
            </w:r>
          </w:p>
        </w:tc>
        <w:tc>
          <w:tcPr>
            <w:tcW w:w="0" w:type="dxa"/>
            <w:vAlign w:val="bottom"/>
          </w:tcPr>
          <w:p>
            <w:pPr>
              <w:spacing w:after="0"/>
              <w:rPr>
                <w:sz w:val="1"/>
                <w:szCs w:val="1"/>
                <w:color w:val="auto"/>
              </w:rPr>
            </w:pPr>
          </w:p>
        </w:tc>
      </w:tr>
      <w:tr>
        <w:trPr>
          <w:trHeight w:val="175"/>
        </w:trPr>
        <w:tc>
          <w:tcPr>
            <w:tcW w:w="3140" w:type="dxa"/>
            <w:vAlign w:val="bottom"/>
          </w:tcPr>
          <w:p>
            <w:pPr>
              <w:ind w:left="380"/>
              <w:spacing w:after="0"/>
              <w:rPr>
                <w:sz w:val="20"/>
                <w:szCs w:val="20"/>
                <w:color w:val="auto"/>
              </w:rPr>
            </w:pPr>
            <w:r>
              <w:rPr>
                <w:rFonts w:ascii="Courier New" w:cs="Courier New" w:eastAsia="Courier New" w:hAnsi="Courier New"/>
                <w:sz w:val="15"/>
                <w:szCs w:val="15"/>
                <w:color w:val="auto"/>
              </w:rPr>
              <w:t>Tax exempt interest</w:t>
            </w:r>
          </w:p>
        </w:tc>
        <w:tc>
          <w:tcPr>
            <w:tcW w:w="8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40" w:type="dxa"/>
            <w:vAlign w:val="bottom"/>
          </w:tcPr>
          <w:p>
            <w:pPr>
              <w:ind w:left="380"/>
              <w:spacing w:after="0"/>
              <w:rPr>
                <w:sz w:val="20"/>
                <w:szCs w:val="20"/>
                <w:color w:val="auto"/>
              </w:rPr>
            </w:pPr>
            <w:r>
              <w:rPr>
                <w:rFonts w:ascii="Courier New" w:cs="Courier New" w:eastAsia="Courier New" w:hAnsi="Courier New"/>
                <w:sz w:val="15"/>
                <w:szCs w:val="15"/>
                <w:color w:val="auto"/>
              </w:rPr>
              <w:t>Costs attributable to tax</w:t>
            </w:r>
          </w:p>
        </w:tc>
        <w:tc>
          <w:tcPr>
            <w:tcW w:w="820" w:type="dxa"/>
            <w:vAlign w:val="bottom"/>
          </w:tcPr>
          <w:p>
            <w:pPr>
              <w:spacing w:after="0"/>
              <w:rPr>
                <w:sz w:val="15"/>
                <w:szCs w:val="15"/>
                <w:color w:val="auto"/>
              </w:rPr>
            </w:pPr>
          </w:p>
        </w:tc>
        <w:tc>
          <w:tcPr>
            <w:tcW w:w="110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70</w:t>
            </w:r>
          </w:p>
        </w:tc>
        <w:tc>
          <w:tcPr>
            <w:tcW w:w="440" w:type="dxa"/>
            <w:vAlign w:val="bottom"/>
          </w:tcPr>
          <w:p>
            <w:pPr>
              <w:spacing w:after="0"/>
              <w:rPr>
                <w:sz w:val="15"/>
                <w:szCs w:val="15"/>
                <w:color w:val="auto"/>
              </w:rPr>
            </w:pPr>
          </w:p>
        </w:tc>
        <w:tc>
          <w:tcPr>
            <w:tcW w:w="11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63</w:t>
            </w:r>
          </w:p>
        </w:tc>
        <w:tc>
          <w:tcPr>
            <w:tcW w:w="500" w:type="dxa"/>
            <w:vAlign w:val="bottom"/>
          </w:tcPr>
          <w:p>
            <w:pPr>
              <w:spacing w:after="0"/>
              <w:rPr>
                <w:sz w:val="15"/>
                <w:szCs w:val="15"/>
                <w:color w:val="auto"/>
              </w:rPr>
            </w:pPr>
          </w:p>
        </w:tc>
        <w:tc>
          <w:tcPr>
            <w:tcW w:w="9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5"/>
        </w:trPr>
        <w:tc>
          <w:tcPr>
            <w:tcW w:w="3140" w:type="dxa"/>
            <w:vAlign w:val="bottom"/>
          </w:tcPr>
          <w:p>
            <w:pPr>
              <w:ind w:left="640"/>
              <w:spacing w:after="0"/>
              <w:rPr>
                <w:sz w:val="20"/>
                <w:szCs w:val="20"/>
                <w:color w:val="auto"/>
              </w:rPr>
            </w:pPr>
            <w:r>
              <w:rPr>
                <w:rFonts w:ascii="Courier New" w:cs="Courier New" w:eastAsia="Courier New" w:hAnsi="Courier New"/>
                <w:sz w:val="15"/>
                <w:szCs w:val="15"/>
                <w:color w:val="auto"/>
              </w:rPr>
              <w:t>exempt interest</w:t>
            </w:r>
          </w:p>
        </w:tc>
        <w:tc>
          <w:tcPr>
            <w:tcW w:w="8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40" w:type="dxa"/>
            <w:vAlign w:val="bottom"/>
          </w:tcPr>
          <w:p>
            <w:pPr>
              <w:ind w:left="380"/>
              <w:spacing w:after="0"/>
              <w:rPr>
                <w:sz w:val="20"/>
                <w:szCs w:val="20"/>
                <w:color w:val="auto"/>
              </w:rPr>
            </w:pPr>
            <w:r>
              <w:rPr>
                <w:rFonts w:ascii="Courier New" w:cs="Courier New" w:eastAsia="Courier New" w:hAnsi="Courier New"/>
                <w:sz w:val="15"/>
                <w:szCs w:val="15"/>
                <w:color w:val="auto"/>
              </w:rPr>
              <w:t>Other items, net</w:t>
            </w:r>
          </w:p>
        </w:tc>
        <w:tc>
          <w:tcPr>
            <w:tcW w:w="82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w:t>
            </w:r>
          </w:p>
        </w:tc>
        <w:tc>
          <w:tcPr>
            <w:tcW w:w="50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19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Income Tax Cost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3,413</w:t>
            </w:r>
          </w:p>
        </w:tc>
        <w:tc>
          <w:tcPr>
            <w:tcW w:w="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3,035</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2,312</w:t>
            </w: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19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5"/>
          <w:szCs w:val="15"/>
          <w:color w:val="auto"/>
        </w:rPr>
        <w:t>RETIREMENT INCOME PLAN</w:t>
      </w:r>
    </w:p>
    <w:p>
      <w:pPr>
        <w:spacing w:after="0" w:line="180" w:lineRule="exact"/>
        <w:rPr>
          <w:sz w:val="20"/>
          <w:szCs w:val="20"/>
          <w:color w:val="auto"/>
        </w:rPr>
      </w:pPr>
    </w:p>
    <w:p>
      <w:pPr>
        <w:ind w:left="1620" w:right="3039"/>
        <w:spacing w:after="0" w:line="259" w:lineRule="auto"/>
        <w:rPr>
          <w:sz w:val="20"/>
          <w:szCs w:val="20"/>
          <w:color w:val="auto"/>
        </w:rPr>
      </w:pPr>
      <w:r>
        <w:rPr>
          <w:rFonts w:ascii="Courier New" w:cs="Courier New" w:eastAsia="Courier New" w:hAnsi="Courier New"/>
          <w:sz w:val="15"/>
          <w:szCs w:val="15"/>
          <w:color w:val="auto"/>
        </w:rPr>
        <w:t>The Bank has established a 401(k) profit sharing plan which allows eligible employees to save at a minimum one percent of eligible compensation on a pre-tax basis, subject to certain Internal Revenue Service limitations. The Bank will match 50% of employee 401(k) contributions up to four percent of total eligible compensation. In addition the Bank may make a discretionary contribution from time to time as is deemed advisable. A participant is 100% vested in the participant's deferral contributions and employer matching contributions. A seven year vesting schedule applies to employer discretionary contributions.</w:t>
      </w:r>
    </w:p>
    <w:p>
      <w:pPr>
        <w:spacing w:after="0" w:line="80" w:lineRule="exact"/>
        <w:rPr>
          <w:sz w:val="20"/>
          <w:szCs w:val="20"/>
          <w:color w:val="auto"/>
        </w:rPr>
      </w:pPr>
    </w:p>
    <w:p>
      <w:pPr>
        <w:ind w:left="1620" w:right="3039"/>
        <w:spacing w:after="0" w:line="277" w:lineRule="auto"/>
        <w:rPr>
          <w:sz w:val="20"/>
          <w:szCs w:val="20"/>
          <w:color w:val="auto"/>
        </w:rPr>
      </w:pPr>
      <w:r>
        <w:rPr>
          <w:rFonts w:ascii="Courier New" w:cs="Courier New" w:eastAsia="Courier New" w:hAnsi="Courier New"/>
          <w:sz w:val="15"/>
          <w:szCs w:val="15"/>
          <w:color w:val="auto"/>
        </w:rPr>
        <w:t>In order to be eligible to participate, the employee must be 21 years of age, completed six months of service, work 1,000 hours in the plan year and be employed on the last day of the year. Entry dates have been established at January 1 and July 1 of each year.</w:t>
      </w:r>
    </w:p>
    <w:p>
      <w:pPr>
        <w:sectPr>
          <w:pgSz w:w="11900" w:h="16838" w:orient="portrait"/>
          <w:cols w:equalWidth="0" w:num="1">
            <w:col w:w="10219"/>
          </w:cols>
          <w:pgMar w:left="240" w:top="265"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65" w:right="1440" w:bottom="1440"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48</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29"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5"/>
          <w:szCs w:val="15"/>
          <w:color w:val="auto"/>
        </w:rPr>
        <w:t>RETIREMENT INCOME PLAN (Continued)</w:t>
      </w:r>
    </w:p>
    <w:p>
      <w:pPr>
        <w:spacing w:after="0" w:line="180" w:lineRule="exact"/>
        <w:rPr>
          <w:sz w:val="20"/>
          <w:szCs w:val="20"/>
          <w:color w:val="auto"/>
        </w:rPr>
      </w:pPr>
    </w:p>
    <w:p>
      <w:pPr>
        <w:ind w:left="1620" w:right="3219"/>
        <w:spacing w:after="0" w:line="368" w:lineRule="auto"/>
        <w:rPr>
          <w:sz w:val="20"/>
          <w:szCs w:val="20"/>
          <w:color w:val="auto"/>
        </w:rPr>
      </w:pPr>
      <w:r>
        <w:rPr>
          <w:rFonts w:ascii="Courier New" w:cs="Courier New" w:eastAsia="Courier New" w:hAnsi="Courier New"/>
          <w:sz w:val="15"/>
          <w:szCs w:val="15"/>
          <w:color w:val="auto"/>
        </w:rPr>
        <w:t>The plan calls for only lump-sum distributions upon either termination of employment, retirement, death or disability.</w:t>
      </w:r>
    </w:p>
    <w:p>
      <w:pPr>
        <w:spacing w:after="0" w:line="3" w:lineRule="exact"/>
        <w:rPr>
          <w:sz w:val="20"/>
          <w:szCs w:val="20"/>
          <w:color w:val="auto"/>
        </w:rPr>
      </w:pPr>
    </w:p>
    <w:p>
      <w:pPr>
        <w:ind w:left="1620" w:right="2959"/>
        <w:spacing w:after="0" w:line="287" w:lineRule="auto"/>
        <w:rPr>
          <w:sz w:val="20"/>
          <w:szCs w:val="20"/>
          <w:color w:val="auto"/>
        </w:rPr>
      </w:pPr>
      <w:r>
        <w:rPr>
          <w:rFonts w:ascii="Courier New" w:cs="Courier New" w:eastAsia="Courier New" w:hAnsi="Courier New"/>
          <w:sz w:val="15"/>
          <w:szCs w:val="15"/>
          <w:color w:val="auto"/>
        </w:rPr>
        <w:t>Contributions to the 401(k) profit sharing plan for both the employer matching contribution and the discretionary contribution were $446, $315, and $267 thousand for 1998, 1997 and 1996, respectively.</w:t>
      </w:r>
    </w:p>
    <w:p>
      <w:pPr>
        <w:spacing w:after="0" w:line="61"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5"/>
          <w:szCs w:val="15"/>
          <w:color w:val="auto"/>
        </w:rPr>
        <w:t>RELATED PARTY TRANSACTIONS</w:t>
      </w:r>
    </w:p>
    <w:p>
      <w:pPr>
        <w:spacing w:after="0" w:line="180" w:lineRule="exact"/>
        <w:rPr>
          <w:sz w:val="20"/>
          <w:szCs w:val="20"/>
          <w:color w:val="auto"/>
        </w:rPr>
      </w:pPr>
    </w:p>
    <w:p>
      <w:pPr>
        <w:ind w:right="3419" w:firstLine="1636"/>
        <w:spacing w:after="0" w:line="368" w:lineRule="auto"/>
        <w:rPr>
          <w:sz w:val="20"/>
          <w:szCs w:val="20"/>
          <w:color w:val="auto"/>
        </w:rPr>
      </w:pPr>
      <w:r>
        <w:rPr>
          <w:rFonts w:ascii="Courier New" w:cs="Courier New" w:eastAsia="Courier New" w:hAnsi="Courier New"/>
          <w:sz w:val="15"/>
          <w:szCs w:val="15"/>
          <w:color w:val="auto"/>
        </w:rPr>
        <w:t>The Bank has conducted transactions with its officers and directors as set forth in Note 4.</w:t>
      </w:r>
    </w:p>
    <w:p>
      <w:pPr>
        <w:spacing w:after="0" w:line="3"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5"/>
          <w:szCs w:val="15"/>
          <w:color w:val="auto"/>
        </w:rPr>
        <w:t>COMMITMENTS AND CONTINGENT LIABILITIES</w:t>
      </w:r>
    </w:p>
    <w:p>
      <w:pPr>
        <w:spacing w:after="0" w:line="180" w:lineRule="exact"/>
        <w:rPr>
          <w:sz w:val="20"/>
          <w:szCs w:val="20"/>
          <w:color w:val="auto"/>
        </w:rPr>
      </w:pPr>
    </w:p>
    <w:p>
      <w:pPr>
        <w:ind w:left="1620" w:right="2959"/>
        <w:spacing w:after="0" w:line="264" w:lineRule="auto"/>
        <w:rPr>
          <w:sz w:val="20"/>
          <w:szCs w:val="20"/>
          <w:color w:val="auto"/>
        </w:rPr>
      </w:pPr>
      <w:r>
        <w:rPr>
          <w:rFonts w:ascii="Courier New" w:cs="Courier New" w:eastAsia="Courier New" w:hAnsi="Courier New"/>
          <w:sz w:val="15"/>
          <w:szCs w:val="15"/>
          <w:color w:val="auto"/>
        </w:rPr>
        <w:t>The Bank's financial statements do not reflect various commitments and contingent liabilities which arise in the normal course of business and which involve elements of credit risk, interest rate risk and liquidity risk. These commitments and contingent liabilities are commitments to extend credit, credit card arrangements and standby letters of credit. A summary of the Bank's commitments and contingent liabilities at December 31, 1998 and 1997 is as follows: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388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1680" w:type="dxa"/>
            <w:vAlign w:val="bottom"/>
          </w:tcPr>
          <w:p>
            <w:pPr>
              <w:spacing w:after="0"/>
              <w:rPr>
                <w:sz w:val="15"/>
                <w:szCs w:val="15"/>
                <w:color w:val="auto"/>
              </w:rPr>
            </w:pPr>
          </w:p>
        </w:tc>
        <w:tc>
          <w:tcPr>
            <w:tcW w:w="2440" w:type="dxa"/>
            <w:vAlign w:val="bottom"/>
            <w:gridSpan w:val="3"/>
          </w:tcPr>
          <w:p>
            <w:pPr>
              <w:jc w:val="right"/>
              <w:ind w:right="364"/>
              <w:spacing w:after="0"/>
              <w:rPr>
                <w:sz w:val="20"/>
                <w:szCs w:val="20"/>
                <w:color w:val="auto"/>
              </w:rPr>
            </w:pPr>
            <w:r>
              <w:rPr>
                <w:rFonts w:ascii="Courier New" w:cs="Courier New" w:eastAsia="Courier New" w:hAnsi="Courier New"/>
                <w:sz w:val="15"/>
                <w:szCs w:val="15"/>
                <w:color w:val="auto"/>
              </w:rPr>
              <w:t>Notational Amount</w:t>
            </w:r>
          </w:p>
        </w:tc>
        <w:tc>
          <w:tcPr>
            <w:tcW w:w="0" w:type="dxa"/>
            <w:vAlign w:val="bottom"/>
          </w:tcPr>
          <w:p>
            <w:pPr>
              <w:spacing w:after="0"/>
              <w:rPr>
                <w:sz w:val="1"/>
                <w:szCs w:val="1"/>
                <w:color w:val="auto"/>
              </w:rPr>
            </w:pPr>
          </w:p>
        </w:tc>
      </w:tr>
      <w:tr>
        <w:trPr>
          <w:trHeight w:val="175"/>
        </w:trPr>
        <w:tc>
          <w:tcPr>
            <w:tcW w:w="38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5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38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7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880" w:type="dxa"/>
            <w:vAlign w:val="bottom"/>
          </w:tcPr>
          <w:p>
            <w:pPr>
              <w:spacing w:after="0"/>
              <w:rPr>
                <w:sz w:val="20"/>
                <w:szCs w:val="20"/>
                <w:color w:val="auto"/>
              </w:rPr>
            </w:pPr>
            <w:r>
              <w:rPr>
                <w:rFonts w:ascii="Courier New" w:cs="Courier New" w:eastAsia="Courier New" w:hAnsi="Courier New"/>
                <w:sz w:val="15"/>
                <w:szCs w:val="15"/>
                <w:color w:val="auto"/>
              </w:rPr>
              <w:t>Commitments to extend credit</w:t>
            </w:r>
          </w:p>
        </w:tc>
        <w:tc>
          <w:tcPr>
            <w:tcW w:w="1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76,651</w:t>
            </w:r>
          </w:p>
        </w:tc>
        <w:tc>
          <w:tcPr>
            <w:tcW w:w="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62,486</w:t>
            </w:r>
          </w:p>
        </w:tc>
        <w:tc>
          <w:tcPr>
            <w:tcW w:w="0" w:type="dxa"/>
            <w:vAlign w:val="bottom"/>
          </w:tcPr>
          <w:p>
            <w:pPr>
              <w:spacing w:after="0"/>
              <w:rPr>
                <w:sz w:val="1"/>
                <w:szCs w:val="1"/>
                <w:color w:val="auto"/>
              </w:rPr>
            </w:pPr>
          </w:p>
        </w:tc>
      </w:tr>
      <w:tr>
        <w:trPr>
          <w:trHeight w:val="175"/>
        </w:trPr>
        <w:tc>
          <w:tcPr>
            <w:tcW w:w="3880" w:type="dxa"/>
            <w:vAlign w:val="bottom"/>
          </w:tcPr>
          <w:p>
            <w:pPr>
              <w:spacing w:after="0"/>
              <w:rPr>
                <w:sz w:val="20"/>
                <w:szCs w:val="20"/>
                <w:color w:val="auto"/>
              </w:rPr>
            </w:pPr>
            <w:r>
              <w:rPr>
                <w:rFonts w:ascii="Courier New" w:cs="Courier New" w:eastAsia="Courier New" w:hAnsi="Courier New"/>
                <w:sz w:val="15"/>
                <w:szCs w:val="15"/>
                <w:color w:val="auto"/>
              </w:rPr>
              <w:t>Credit card arrangements</w:t>
            </w:r>
          </w:p>
        </w:tc>
        <w:tc>
          <w:tcPr>
            <w:tcW w:w="16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10,237</w:t>
            </w:r>
          </w:p>
        </w:tc>
        <w:tc>
          <w:tcPr>
            <w:tcW w:w="5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9,619</w:t>
            </w:r>
          </w:p>
        </w:tc>
        <w:tc>
          <w:tcPr>
            <w:tcW w:w="0" w:type="dxa"/>
            <w:vAlign w:val="bottom"/>
          </w:tcPr>
          <w:p>
            <w:pPr>
              <w:spacing w:after="0"/>
              <w:rPr>
                <w:sz w:val="1"/>
                <w:szCs w:val="1"/>
                <w:color w:val="auto"/>
              </w:rPr>
            </w:pPr>
          </w:p>
        </w:tc>
      </w:tr>
      <w:tr>
        <w:trPr>
          <w:trHeight w:val="256"/>
        </w:trPr>
        <w:tc>
          <w:tcPr>
            <w:tcW w:w="3880" w:type="dxa"/>
            <w:vAlign w:val="bottom"/>
          </w:tcPr>
          <w:p>
            <w:pPr>
              <w:spacing w:after="0"/>
              <w:rPr>
                <w:sz w:val="20"/>
                <w:szCs w:val="20"/>
                <w:color w:val="auto"/>
              </w:rPr>
            </w:pPr>
            <w:r>
              <w:rPr>
                <w:rFonts w:ascii="Courier New" w:cs="Courier New" w:eastAsia="Courier New" w:hAnsi="Courier New"/>
                <w:sz w:val="15"/>
                <w:szCs w:val="15"/>
                <w:color w:val="auto"/>
              </w:rPr>
              <w:t>Standby letters of credit</w:t>
            </w:r>
          </w:p>
        </w:tc>
        <w:tc>
          <w:tcPr>
            <w:tcW w:w="1680" w:type="dxa"/>
            <w:vAlign w:val="bottom"/>
          </w:tcPr>
          <w:p>
            <w:pPr>
              <w:spacing w:after="0"/>
              <w:rPr>
                <w:sz w:val="22"/>
                <w:szCs w:val="22"/>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1,419</w:t>
            </w:r>
          </w:p>
        </w:tc>
        <w:tc>
          <w:tcPr>
            <w:tcW w:w="5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2,299</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620" w:right="2959"/>
        <w:spacing w:after="0" w:line="260" w:lineRule="auto"/>
        <w:rPr>
          <w:sz w:val="20"/>
          <w:szCs w:val="20"/>
          <w:color w:val="auto"/>
        </w:rPr>
      </w:pPr>
      <w:r>
        <w:rPr>
          <w:rFonts w:ascii="Courier New" w:cs="Courier New" w:eastAsia="Courier New" w:hAnsi="Courier New"/>
          <w:sz w:val="15"/>
          <w:szCs w:val="15"/>
          <w:color w:val="auto"/>
        </w:rPr>
        <w:t>Commitments to extend credit, credit card arrangements and standby letters of credit all include exposure to some credit loss in the event of nonperformance of the customer. The Bank's credit policies and procedures for credit commitments and financial guarantees are the same as those for extensions of credit that are recorded in the financial statements. Because these instruments have fixed maturity dates, and because many of them expire without being drawn upon, they generally do not present any significant liquidity risk to the Bank.</w:t>
      </w:r>
    </w:p>
    <w:p>
      <w:pPr>
        <w:spacing w:after="0" w:line="82" w:lineRule="exact"/>
        <w:rPr>
          <w:sz w:val="20"/>
          <w:szCs w:val="20"/>
          <w:color w:val="auto"/>
        </w:rPr>
      </w:pPr>
    </w:p>
    <w:p>
      <w:pPr>
        <w:ind w:left="1620" w:right="3039"/>
        <w:spacing w:after="0" w:line="277" w:lineRule="auto"/>
        <w:rPr>
          <w:sz w:val="20"/>
          <w:szCs w:val="20"/>
          <w:color w:val="auto"/>
        </w:rPr>
      </w:pPr>
      <w:r>
        <w:rPr>
          <w:rFonts w:ascii="Courier New" w:cs="Courier New" w:eastAsia="Courier New" w:hAnsi="Courier New"/>
          <w:sz w:val="15"/>
          <w:szCs w:val="15"/>
          <w:color w:val="auto"/>
        </w:rPr>
        <w:t>In the ordinary course of business, the company at times, is subject to pending and threatened legal actions and proceedings. It is the opinion of management that the outcome of any such matters and proceedings would not have a material effect on the financial position of the company.</w:t>
      </w:r>
    </w:p>
    <w:p>
      <w:pPr>
        <w:spacing w:after="0" w:line="68"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5"/>
          <w:szCs w:val="15"/>
          <w:color w:val="auto"/>
        </w:rPr>
        <w:t>CONCENTRATIONS OF CREDIT</w:t>
      </w:r>
    </w:p>
    <w:p>
      <w:pPr>
        <w:spacing w:after="0" w:line="180" w:lineRule="exact"/>
        <w:rPr>
          <w:sz w:val="20"/>
          <w:szCs w:val="20"/>
          <w:color w:val="auto"/>
        </w:rPr>
      </w:pPr>
    </w:p>
    <w:p>
      <w:pPr>
        <w:ind w:left="1620" w:right="3039"/>
        <w:spacing w:after="0" w:line="264" w:lineRule="auto"/>
        <w:rPr>
          <w:sz w:val="20"/>
          <w:szCs w:val="20"/>
          <w:color w:val="auto"/>
        </w:rPr>
      </w:pPr>
      <w:r>
        <w:rPr>
          <w:rFonts w:ascii="Courier New" w:cs="Courier New" w:eastAsia="Courier New" w:hAnsi="Courier New"/>
          <w:sz w:val="15"/>
          <w:szCs w:val="15"/>
          <w:color w:val="auto"/>
        </w:rPr>
        <w:t>All of the Bank's loans, commitments, and standby letters of credit have been granted to customers in the Bank's market area of northwest Ohio. All such customers are depositors of the Bank. Also, investments in state and municipal securities may involve governmental entities within the Bank's market area. The concentrations of credit by type of loan are set forth in Note 4. Standby letters of credit were granted primarily to commercial borrowers.</w:t>
      </w:r>
    </w:p>
    <w:p>
      <w:pPr>
        <w:sectPr>
          <w:pgSz w:w="11900" w:h="16838" w:orient="portrait"/>
          <w:cols w:equalWidth="0" w:num="1">
            <w:col w:w="10219"/>
          </w:cols>
          <w:pgMar w:left="2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65" w:right="1440" w:bottom="144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49</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54"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5"/>
          <w:szCs w:val="15"/>
          <w:color w:val="auto"/>
        </w:rPr>
        <w:t>REGULATORY CAPITAL REQUIREMENTS</w:t>
      </w:r>
    </w:p>
    <w:p>
      <w:pPr>
        <w:spacing w:after="0" w:line="180" w:lineRule="exact"/>
        <w:rPr>
          <w:sz w:val="20"/>
          <w:szCs w:val="20"/>
          <w:color w:val="auto"/>
        </w:rPr>
      </w:pPr>
    </w:p>
    <w:p>
      <w:pPr>
        <w:ind w:left="1620" w:right="820"/>
        <w:spacing w:after="0" w:line="267" w:lineRule="auto"/>
        <w:rPr>
          <w:sz w:val="20"/>
          <w:szCs w:val="20"/>
          <w:color w:val="auto"/>
        </w:rPr>
      </w:pPr>
      <w:r>
        <w:rPr>
          <w:rFonts w:ascii="Courier New" w:cs="Courier New" w:eastAsia="Courier New" w:hAnsi="Courier New"/>
          <w:sz w:val="15"/>
          <w:szCs w:val="15"/>
          <w:color w:val="auto"/>
        </w:rPr>
        <w:t>Federal regulatory agencies have adopted various capital standards for financial institutions, including risk-based capital standards. The primary objectives of the risk-based capital framework are to provide a more consistent system for comparing capital positions of financial institutions and to take into account the different risks among financial institutions' assets and off-balance sheet items.</w:t>
      </w:r>
    </w:p>
    <w:p>
      <w:pPr>
        <w:spacing w:after="0" w:line="75" w:lineRule="exact"/>
        <w:rPr>
          <w:sz w:val="20"/>
          <w:szCs w:val="20"/>
          <w:color w:val="auto"/>
        </w:rPr>
      </w:pPr>
    </w:p>
    <w:p>
      <w:pPr>
        <w:ind w:left="1620" w:right="740"/>
        <w:spacing w:after="0" w:line="271" w:lineRule="auto"/>
        <w:rPr>
          <w:sz w:val="20"/>
          <w:szCs w:val="20"/>
          <w:color w:val="auto"/>
        </w:rPr>
      </w:pPr>
      <w:r>
        <w:rPr>
          <w:rFonts w:ascii="Courier New" w:cs="Courier New" w:eastAsia="Courier New" w:hAnsi="Courier New"/>
          <w:sz w:val="15"/>
          <w:szCs w:val="15"/>
          <w:color w:val="auto"/>
        </w:rPr>
        <w:t>Quantitative measures established by regulation to ensure capital adequacy require the Banks to maintain certain minimum amounts and ratios of total and Tier 1 capital (as defined) to average assets (as defined). Management believes the Bank meets all capital adequacy requirements to which they are subject as of December 31, 1998.</w:t>
      </w:r>
    </w:p>
    <w:p>
      <w:pPr>
        <w:spacing w:after="0" w:line="72" w:lineRule="exact"/>
        <w:rPr>
          <w:sz w:val="20"/>
          <w:szCs w:val="20"/>
          <w:color w:val="auto"/>
        </w:rPr>
      </w:pPr>
    </w:p>
    <w:p>
      <w:pPr>
        <w:ind w:left="1620" w:right="920"/>
        <w:spacing w:after="0" w:line="271" w:lineRule="auto"/>
        <w:rPr>
          <w:sz w:val="20"/>
          <w:szCs w:val="20"/>
          <w:color w:val="auto"/>
        </w:rPr>
      </w:pPr>
      <w:r>
        <w:rPr>
          <w:rFonts w:ascii="Courier New" w:cs="Courier New" w:eastAsia="Courier New" w:hAnsi="Courier New"/>
          <w:sz w:val="15"/>
          <w:szCs w:val="15"/>
          <w:color w:val="auto"/>
        </w:rPr>
        <w:t>To be categorized as well capitalized, the Company must maintain the total risk-based, Tier 1 risk-based, and Tier 1 leverage ratios as set forth in the minimum requirements column below. A comparison of the Company's capital as of December 31, 1998 and 1997 with the minimum requirement is presented below:</w:t>
      </w:r>
    </w:p>
    <w:p>
      <w:pPr>
        <w:spacing w:after="0" w:line="200" w:lineRule="exact"/>
        <w:rPr>
          <w:sz w:val="20"/>
          <w:szCs w:val="20"/>
          <w:color w:val="auto"/>
        </w:rPr>
      </w:pPr>
    </w:p>
    <w:p>
      <w:pPr>
        <w:spacing w:after="0" w:line="222"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3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60" w:type="dxa"/>
            <w:vAlign w:val="bottom"/>
          </w:tcPr>
          <w:p>
            <w:pPr>
              <w:jc w:val="right"/>
              <w:ind w:right="924"/>
              <w:spacing w:after="0"/>
              <w:rPr>
                <w:sz w:val="20"/>
                <w:szCs w:val="20"/>
                <w:color w:val="auto"/>
              </w:rPr>
            </w:pPr>
            <w:r>
              <w:rPr>
                <w:rFonts w:ascii="Courier New" w:cs="Courier New" w:eastAsia="Courier New" w:hAnsi="Courier New"/>
                <w:sz w:val="15"/>
                <w:szCs w:val="15"/>
                <w:color w:val="auto"/>
                <w:w w:val="99"/>
              </w:rPr>
              <w:t>Actual</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3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17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30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060" w:type="dxa"/>
            <w:vAlign w:val="bottom"/>
          </w:tcPr>
          <w:p>
            <w:pPr>
              <w:spacing w:after="0"/>
              <w:rPr>
                <w:sz w:val="20"/>
                <w:szCs w:val="20"/>
                <w:color w:val="auto"/>
              </w:rPr>
            </w:pPr>
            <w:r>
              <w:rPr>
                <w:rFonts w:ascii="Courier New" w:cs="Courier New" w:eastAsia="Courier New" w:hAnsi="Courier New"/>
                <w:sz w:val="15"/>
                <w:szCs w:val="15"/>
                <w:color w:val="auto"/>
              </w:rPr>
              <w:t>Tier 1 Risk-based Capital:</w:t>
            </w:r>
          </w:p>
        </w:tc>
        <w:tc>
          <w:tcPr>
            <w:tcW w:w="17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11.80%</w:t>
            </w:r>
          </w:p>
        </w:tc>
        <w:tc>
          <w:tcPr>
            <w:tcW w:w="15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10.05%</w:t>
            </w:r>
          </w:p>
        </w:tc>
        <w:tc>
          <w:tcPr>
            <w:tcW w:w="0" w:type="dxa"/>
            <w:vAlign w:val="bottom"/>
          </w:tcPr>
          <w:p>
            <w:pPr>
              <w:spacing w:after="0"/>
              <w:rPr>
                <w:sz w:val="1"/>
                <w:szCs w:val="1"/>
                <w:color w:val="auto"/>
              </w:rPr>
            </w:pPr>
          </w:p>
        </w:tc>
      </w:tr>
      <w:tr>
        <w:trPr>
          <w:trHeight w:val="175"/>
        </w:trPr>
        <w:tc>
          <w:tcPr>
            <w:tcW w:w="3060" w:type="dxa"/>
            <w:vAlign w:val="bottom"/>
          </w:tcPr>
          <w:p>
            <w:pPr>
              <w:ind w:left="380"/>
              <w:spacing w:after="0"/>
              <w:rPr>
                <w:sz w:val="20"/>
                <w:szCs w:val="20"/>
                <w:color w:val="auto"/>
              </w:rPr>
            </w:pPr>
            <w:r>
              <w:rPr>
                <w:rFonts w:ascii="Courier New" w:cs="Courier New" w:eastAsia="Courier New" w:hAnsi="Courier New"/>
                <w:sz w:val="15"/>
                <w:szCs w:val="15"/>
                <w:color w:val="auto"/>
              </w:rPr>
              <w:t>Company</w:t>
            </w:r>
          </w:p>
        </w:tc>
        <w:tc>
          <w:tcPr>
            <w:tcW w:w="17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380"/>
              <w:spacing w:after="0"/>
              <w:rPr>
                <w:sz w:val="20"/>
                <w:szCs w:val="20"/>
                <w:color w:val="auto"/>
              </w:rPr>
            </w:pPr>
            <w:r>
              <w:rPr>
                <w:rFonts w:ascii="Courier New" w:cs="Courier New" w:eastAsia="Courier New" w:hAnsi="Courier New"/>
                <w:sz w:val="15"/>
                <w:szCs w:val="15"/>
                <w:color w:val="auto"/>
              </w:rPr>
              <w:t>The Farmers &amp; Merchants</w:t>
            </w:r>
          </w:p>
        </w:tc>
        <w:tc>
          <w:tcPr>
            <w:tcW w:w="17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10.33%</w:t>
            </w:r>
          </w:p>
        </w:tc>
        <w:tc>
          <w:tcPr>
            <w:tcW w:w="15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9.58%</w:t>
            </w:r>
          </w:p>
        </w:tc>
        <w:tc>
          <w:tcPr>
            <w:tcW w:w="0" w:type="dxa"/>
            <w:vAlign w:val="bottom"/>
          </w:tcPr>
          <w:p>
            <w:pPr>
              <w:spacing w:after="0"/>
              <w:rPr>
                <w:sz w:val="1"/>
                <w:szCs w:val="1"/>
                <w:color w:val="auto"/>
              </w:rPr>
            </w:pPr>
          </w:p>
        </w:tc>
      </w:tr>
      <w:tr>
        <w:trPr>
          <w:trHeight w:val="175"/>
        </w:trPr>
        <w:tc>
          <w:tcPr>
            <w:tcW w:w="3060" w:type="dxa"/>
            <w:vAlign w:val="bottom"/>
          </w:tcPr>
          <w:p>
            <w:pPr>
              <w:ind w:left="640"/>
              <w:spacing w:after="0"/>
              <w:rPr>
                <w:sz w:val="20"/>
                <w:szCs w:val="20"/>
                <w:color w:val="auto"/>
              </w:rPr>
            </w:pPr>
            <w:r>
              <w:rPr>
                <w:rFonts w:ascii="Courier New" w:cs="Courier New" w:eastAsia="Courier New" w:hAnsi="Courier New"/>
                <w:sz w:val="15"/>
                <w:szCs w:val="15"/>
                <w:color w:val="auto"/>
              </w:rPr>
              <w:t>State Bank</w:t>
            </w:r>
          </w:p>
        </w:tc>
        <w:tc>
          <w:tcPr>
            <w:tcW w:w="17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tcPr>
          <w:p>
            <w:pPr>
              <w:spacing w:after="0"/>
              <w:rPr>
                <w:sz w:val="20"/>
                <w:szCs w:val="20"/>
                <w:color w:val="auto"/>
              </w:rPr>
            </w:pPr>
            <w:r>
              <w:rPr>
                <w:rFonts w:ascii="Courier New" w:cs="Courier New" w:eastAsia="Courier New" w:hAnsi="Courier New"/>
                <w:sz w:val="15"/>
                <w:szCs w:val="15"/>
                <w:color w:val="auto"/>
              </w:rPr>
              <w:t>Total Risk-based Capital:</w:t>
            </w:r>
          </w:p>
        </w:tc>
        <w:tc>
          <w:tcPr>
            <w:tcW w:w="17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13.44%</w:t>
            </w:r>
          </w:p>
        </w:tc>
        <w:tc>
          <w:tcPr>
            <w:tcW w:w="15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12.98%</w:t>
            </w:r>
          </w:p>
        </w:tc>
        <w:tc>
          <w:tcPr>
            <w:tcW w:w="0" w:type="dxa"/>
            <w:vAlign w:val="bottom"/>
          </w:tcPr>
          <w:p>
            <w:pPr>
              <w:spacing w:after="0"/>
              <w:rPr>
                <w:sz w:val="1"/>
                <w:szCs w:val="1"/>
                <w:color w:val="auto"/>
              </w:rPr>
            </w:pPr>
          </w:p>
        </w:tc>
      </w:tr>
      <w:tr>
        <w:trPr>
          <w:trHeight w:val="175"/>
        </w:trPr>
        <w:tc>
          <w:tcPr>
            <w:tcW w:w="3060" w:type="dxa"/>
            <w:vAlign w:val="bottom"/>
          </w:tcPr>
          <w:p>
            <w:pPr>
              <w:ind w:left="380"/>
              <w:spacing w:after="0"/>
              <w:rPr>
                <w:sz w:val="20"/>
                <w:szCs w:val="20"/>
                <w:color w:val="auto"/>
              </w:rPr>
            </w:pPr>
            <w:r>
              <w:rPr>
                <w:rFonts w:ascii="Courier New" w:cs="Courier New" w:eastAsia="Courier New" w:hAnsi="Courier New"/>
                <w:sz w:val="15"/>
                <w:szCs w:val="15"/>
                <w:color w:val="auto"/>
              </w:rPr>
              <w:t>Company</w:t>
            </w:r>
          </w:p>
        </w:tc>
        <w:tc>
          <w:tcPr>
            <w:tcW w:w="17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380"/>
              <w:spacing w:after="0"/>
              <w:rPr>
                <w:sz w:val="20"/>
                <w:szCs w:val="20"/>
                <w:color w:val="auto"/>
              </w:rPr>
            </w:pPr>
            <w:r>
              <w:rPr>
                <w:rFonts w:ascii="Courier New" w:cs="Courier New" w:eastAsia="Courier New" w:hAnsi="Courier New"/>
                <w:sz w:val="15"/>
                <w:szCs w:val="15"/>
                <w:color w:val="auto"/>
              </w:rPr>
              <w:t>The Farmers &amp; Merchants</w:t>
            </w:r>
          </w:p>
        </w:tc>
        <w:tc>
          <w:tcPr>
            <w:tcW w:w="17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13.97%</w:t>
            </w:r>
          </w:p>
        </w:tc>
        <w:tc>
          <w:tcPr>
            <w:tcW w:w="15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13.44%</w:t>
            </w:r>
          </w:p>
        </w:tc>
        <w:tc>
          <w:tcPr>
            <w:tcW w:w="0" w:type="dxa"/>
            <w:vAlign w:val="bottom"/>
          </w:tcPr>
          <w:p>
            <w:pPr>
              <w:spacing w:after="0"/>
              <w:rPr>
                <w:sz w:val="1"/>
                <w:szCs w:val="1"/>
                <w:color w:val="auto"/>
              </w:rPr>
            </w:pPr>
          </w:p>
        </w:tc>
      </w:tr>
      <w:tr>
        <w:trPr>
          <w:trHeight w:val="175"/>
        </w:trPr>
        <w:tc>
          <w:tcPr>
            <w:tcW w:w="3060" w:type="dxa"/>
            <w:vAlign w:val="bottom"/>
          </w:tcPr>
          <w:p>
            <w:pPr>
              <w:ind w:left="640"/>
              <w:spacing w:after="0"/>
              <w:rPr>
                <w:sz w:val="20"/>
                <w:szCs w:val="20"/>
                <w:color w:val="auto"/>
              </w:rPr>
            </w:pPr>
            <w:r>
              <w:rPr>
                <w:rFonts w:ascii="Courier New" w:cs="Courier New" w:eastAsia="Courier New" w:hAnsi="Courier New"/>
                <w:sz w:val="15"/>
                <w:szCs w:val="15"/>
                <w:color w:val="auto"/>
              </w:rPr>
              <w:t>State Bank</w:t>
            </w:r>
          </w:p>
        </w:tc>
        <w:tc>
          <w:tcPr>
            <w:tcW w:w="17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tcPr>
          <w:p>
            <w:pPr>
              <w:spacing w:after="0"/>
              <w:rPr>
                <w:sz w:val="20"/>
                <w:szCs w:val="20"/>
                <w:color w:val="auto"/>
              </w:rPr>
            </w:pPr>
            <w:r>
              <w:rPr>
                <w:rFonts w:ascii="Courier New" w:cs="Courier New" w:eastAsia="Courier New" w:hAnsi="Courier New"/>
                <w:sz w:val="15"/>
                <w:szCs w:val="15"/>
                <w:color w:val="auto"/>
              </w:rPr>
              <w:t>Leverage Ratio:</w:t>
            </w:r>
          </w:p>
        </w:tc>
        <w:tc>
          <w:tcPr>
            <w:tcW w:w="17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9.17%</w:t>
            </w:r>
          </w:p>
        </w:tc>
        <w:tc>
          <w:tcPr>
            <w:tcW w:w="15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9.06%</w:t>
            </w:r>
          </w:p>
        </w:tc>
        <w:tc>
          <w:tcPr>
            <w:tcW w:w="0" w:type="dxa"/>
            <w:vAlign w:val="bottom"/>
          </w:tcPr>
          <w:p>
            <w:pPr>
              <w:spacing w:after="0"/>
              <w:rPr>
                <w:sz w:val="1"/>
                <w:szCs w:val="1"/>
                <w:color w:val="auto"/>
              </w:rPr>
            </w:pPr>
          </w:p>
        </w:tc>
      </w:tr>
      <w:tr>
        <w:trPr>
          <w:trHeight w:val="175"/>
        </w:trPr>
        <w:tc>
          <w:tcPr>
            <w:tcW w:w="3060" w:type="dxa"/>
            <w:vAlign w:val="bottom"/>
          </w:tcPr>
          <w:p>
            <w:pPr>
              <w:ind w:left="380"/>
              <w:spacing w:after="0"/>
              <w:rPr>
                <w:sz w:val="20"/>
                <w:szCs w:val="20"/>
                <w:color w:val="auto"/>
              </w:rPr>
            </w:pPr>
            <w:r>
              <w:rPr>
                <w:rFonts w:ascii="Courier New" w:cs="Courier New" w:eastAsia="Courier New" w:hAnsi="Courier New"/>
                <w:sz w:val="15"/>
                <w:szCs w:val="15"/>
                <w:color w:val="auto"/>
              </w:rPr>
              <w:t>Company</w:t>
            </w:r>
          </w:p>
        </w:tc>
        <w:tc>
          <w:tcPr>
            <w:tcW w:w="17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380"/>
              <w:spacing w:after="0"/>
              <w:rPr>
                <w:sz w:val="20"/>
                <w:szCs w:val="20"/>
                <w:color w:val="auto"/>
              </w:rPr>
            </w:pPr>
            <w:r>
              <w:rPr>
                <w:rFonts w:ascii="Courier New" w:cs="Courier New" w:eastAsia="Courier New" w:hAnsi="Courier New"/>
                <w:sz w:val="15"/>
                <w:szCs w:val="15"/>
                <w:color w:val="auto"/>
              </w:rPr>
              <w:t>The Farmers &amp; Merchants</w:t>
            </w:r>
          </w:p>
        </w:tc>
        <w:tc>
          <w:tcPr>
            <w:tcW w:w="17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7.53%</w:t>
            </w:r>
          </w:p>
        </w:tc>
        <w:tc>
          <w:tcPr>
            <w:tcW w:w="156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7.06%</w:t>
            </w:r>
          </w:p>
        </w:tc>
        <w:tc>
          <w:tcPr>
            <w:tcW w:w="0" w:type="dxa"/>
            <w:vAlign w:val="bottom"/>
          </w:tcPr>
          <w:p>
            <w:pPr>
              <w:spacing w:after="0"/>
              <w:rPr>
                <w:sz w:val="1"/>
                <w:szCs w:val="1"/>
                <w:color w:val="auto"/>
              </w:rPr>
            </w:pPr>
          </w:p>
        </w:tc>
      </w:tr>
      <w:tr>
        <w:trPr>
          <w:trHeight w:val="256"/>
        </w:trPr>
        <w:tc>
          <w:tcPr>
            <w:tcW w:w="3060" w:type="dxa"/>
            <w:vAlign w:val="bottom"/>
          </w:tcPr>
          <w:p>
            <w:pPr>
              <w:ind w:left="640"/>
              <w:spacing w:after="0"/>
              <w:rPr>
                <w:sz w:val="20"/>
                <w:szCs w:val="20"/>
                <w:color w:val="auto"/>
              </w:rPr>
            </w:pPr>
            <w:r>
              <w:rPr>
                <w:rFonts w:ascii="Courier New" w:cs="Courier New" w:eastAsia="Courier New" w:hAnsi="Courier New"/>
                <w:sz w:val="15"/>
                <w:szCs w:val="15"/>
                <w:color w:val="auto"/>
              </w:rPr>
              <w:t>State Bank</w:t>
            </w:r>
          </w:p>
        </w:tc>
        <w:tc>
          <w:tcPr>
            <w:tcW w:w="1760" w:type="dxa"/>
            <w:vAlign w:val="bottom"/>
            <w:vMerge w:val="continue"/>
          </w:tcPr>
          <w:p>
            <w:pPr>
              <w:spacing w:after="0"/>
              <w:rPr>
                <w:sz w:val="22"/>
                <w:szCs w:val="22"/>
                <w:color w:val="auto"/>
              </w:rPr>
            </w:pPr>
          </w:p>
        </w:tc>
        <w:tc>
          <w:tcPr>
            <w:tcW w:w="1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820" w:firstLine="1636"/>
        <w:spacing w:after="0" w:line="368" w:lineRule="auto"/>
        <w:rPr>
          <w:sz w:val="20"/>
          <w:szCs w:val="20"/>
          <w:color w:val="auto"/>
        </w:rPr>
      </w:pPr>
      <w:r>
        <w:rPr>
          <w:rFonts w:ascii="Courier New" w:cs="Courier New" w:eastAsia="Courier New" w:hAnsi="Courier New"/>
          <w:sz w:val="15"/>
          <w:szCs w:val="15"/>
          <w:color w:val="auto"/>
        </w:rPr>
        <w:t>According to regulatory guidelines, the Bank is considered to be "well capitalized".</w:t>
      </w:r>
    </w:p>
    <w:p>
      <w:pPr>
        <w:spacing w:after="0" w:line="3" w:lineRule="exact"/>
        <w:rPr>
          <w:sz w:val="20"/>
          <w:szCs w:val="20"/>
          <w:color w:val="auto"/>
        </w:rPr>
      </w:pPr>
    </w:p>
    <w:p>
      <w:pPr>
        <w:ind w:left="1620" w:right="740"/>
        <w:spacing w:after="0" w:line="262" w:lineRule="auto"/>
        <w:rPr>
          <w:sz w:val="20"/>
          <w:szCs w:val="20"/>
          <w:color w:val="auto"/>
        </w:rPr>
      </w:pPr>
      <w:r>
        <w:rPr>
          <w:rFonts w:ascii="Courier New" w:cs="Courier New" w:eastAsia="Courier New" w:hAnsi="Courier New"/>
          <w:sz w:val="15"/>
          <w:szCs w:val="15"/>
          <w:color w:val="auto"/>
        </w:rPr>
        <w:t>The Bank is restricted as to the amount of dividends which can be paid. Dividends declared by the Bank that exceed the net income for the current year plus retained income for the preceding two years must be approved by federal and state regulatory agencies. Under this formula dividends of $6.2 million may be paid without prior regulatory approval. Regardless of formal regulatory restrictions, the Bank may not pay dividends that would result in its capital levels being reduced below the minimum requirements shown above.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Minimum</w:t>
      </w:r>
    </w:p>
    <w:p>
      <w:pPr>
        <w:spacing w:after="0" w:line="3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Requirements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4.00%</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4.00%</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8.00%</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8.00%</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4.00%</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4.00%</w:t>
      </w:r>
    </w:p>
    <w:p>
      <w:pPr>
        <w:spacing w:after="0" w:line="2748" w:lineRule="exact"/>
        <w:rPr>
          <w:sz w:val="20"/>
          <w:szCs w:val="20"/>
          <w:color w:val="auto"/>
        </w:rPr>
      </w:pPr>
    </w:p>
    <w:p>
      <w:pPr>
        <w:sectPr>
          <w:pgSz w:w="11900" w:h="16838" w:orient="portrait"/>
          <w:cols w:equalWidth="0" w:num="2">
            <w:col w:w="8000" w:space="440"/>
            <w:col w:w="1779"/>
          </w:cols>
          <w:pgMar w:left="2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65" w:right="1440" w:bottom="1440"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50</w:t>
      </w:r>
    </w:p>
    <w:p>
      <w:pPr>
        <w:spacing w:after="0" w:line="35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0"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NOTE 17.</w:t>
      </w:r>
      <w:r>
        <w:rPr>
          <w:sz w:val="20"/>
          <w:szCs w:val="20"/>
          <w:color w:val="auto"/>
        </w:rPr>
        <w:tab/>
      </w:r>
      <w:r>
        <w:rPr>
          <w:rFonts w:ascii="Courier New" w:cs="Courier New" w:eastAsia="Courier New" w:hAnsi="Courier New"/>
          <w:sz w:val="15"/>
          <w:szCs w:val="15"/>
          <w:color w:val="auto"/>
        </w:rPr>
        <w:t>FAIR VALUE INFORMATION AND INTEREST RATE RISK</w:t>
      </w:r>
    </w:p>
    <w:p>
      <w:pPr>
        <w:spacing w:after="0" w:line="180" w:lineRule="exact"/>
        <w:rPr>
          <w:sz w:val="20"/>
          <w:szCs w:val="20"/>
          <w:color w:val="auto"/>
        </w:rPr>
      </w:pPr>
    </w:p>
    <w:p>
      <w:pPr>
        <w:ind w:left="1620" w:right="3540"/>
        <w:spacing w:after="0" w:line="262" w:lineRule="auto"/>
        <w:rPr>
          <w:sz w:val="20"/>
          <w:szCs w:val="20"/>
          <w:color w:val="auto"/>
        </w:rPr>
      </w:pPr>
      <w:r>
        <w:rPr>
          <w:rFonts w:ascii="Courier New" w:cs="Courier New" w:eastAsia="Courier New" w:hAnsi="Courier New"/>
          <w:sz w:val="15"/>
          <w:szCs w:val="15"/>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Further, the tax ramifications related to the realization of the unrealized gains and losses can have a significant effect on the fair value estimates and have not been considered in any of the estimates.</w:t>
      </w:r>
    </w:p>
    <w:p>
      <w:pPr>
        <w:spacing w:after="0" w:line="78"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The book values and estimated fair values for on and</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off-balance sheet financial instruments as of December 31,</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1998 and 1997 are reflected below:</w:t>
      </w:r>
    </w:p>
    <w:p>
      <w:pPr>
        <w:spacing w:after="0" w:line="200" w:lineRule="exact"/>
        <w:rPr>
          <w:sz w:val="20"/>
          <w:szCs w:val="20"/>
          <w:color w:val="auto"/>
        </w:rPr>
      </w:pPr>
    </w:p>
    <w:p>
      <w:pPr>
        <w:spacing w:after="0" w:line="301"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310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82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spacing w:after="0"/>
              <w:rPr>
                <w:sz w:val="15"/>
                <w:szCs w:val="15"/>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Book</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Fair</w:t>
            </w:r>
          </w:p>
        </w:tc>
        <w:tc>
          <w:tcPr>
            <w:tcW w:w="3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Book</w:t>
            </w:r>
          </w:p>
        </w:tc>
        <w:tc>
          <w:tcPr>
            <w:tcW w:w="36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5"/>
        </w:trPr>
        <w:tc>
          <w:tcPr>
            <w:tcW w:w="382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Value</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Value</w:t>
            </w:r>
          </w:p>
        </w:tc>
        <w:tc>
          <w:tcPr>
            <w:tcW w:w="3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Value</w:t>
            </w:r>
          </w:p>
        </w:tc>
        <w:tc>
          <w:tcPr>
            <w:tcW w:w="36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7"/>
              </w:rPr>
              <w:t>Value</w:t>
            </w:r>
          </w:p>
        </w:tc>
        <w:tc>
          <w:tcPr>
            <w:tcW w:w="0" w:type="dxa"/>
            <w:vAlign w:val="bottom"/>
          </w:tcPr>
          <w:p>
            <w:pPr>
              <w:spacing w:after="0"/>
              <w:rPr>
                <w:sz w:val="1"/>
                <w:szCs w:val="1"/>
                <w:color w:val="auto"/>
              </w:rPr>
            </w:pPr>
          </w:p>
        </w:tc>
      </w:tr>
      <w:tr>
        <w:trPr>
          <w:trHeight w:val="256"/>
        </w:trPr>
        <w:tc>
          <w:tcPr>
            <w:tcW w:w="3820" w:type="dxa"/>
            <w:vAlign w:val="bottom"/>
            <w:vMerge w:val="restart"/>
          </w:tcPr>
          <w:p>
            <w:pPr>
              <w:spacing w:after="0"/>
              <w:rPr>
                <w:sz w:val="20"/>
                <w:szCs w:val="20"/>
                <w:color w:val="auto"/>
              </w:rPr>
            </w:pPr>
            <w:r>
              <w:rPr>
                <w:rFonts w:ascii="Courier New" w:cs="Courier New" w:eastAsia="Courier New" w:hAnsi="Courier New"/>
                <w:sz w:val="15"/>
                <w:szCs w:val="15"/>
                <w:color w:val="auto"/>
              </w:rPr>
              <w:t>Financial Assets:</w:t>
            </w:r>
          </w:p>
        </w:tc>
        <w:tc>
          <w:tcPr>
            <w:tcW w:w="1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82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3820" w:type="dxa"/>
            <w:vAlign w:val="bottom"/>
          </w:tcPr>
          <w:p>
            <w:pPr>
              <w:ind w:left="380"/>
              <w:spacing w:after="0"/>
              <w:rPr>
                <w:sz w:val="20"/>
                <w:szCs w:val="20"/>
                <w:color w:val="auto"/>
              </w:rPr>
            </w:pPr>
            <w:r>
              <w:rPr>
                <w:rFonts w:ascii="Courier New" w:cs="Courier New" w:eastAsia="Courier New" w:hAnsi="Courier New"/>
                <w:sz w:val="15"/>
                <w:szCs w:val="15"/>
                <w:color w:val="auto"/>
              </w:rPr>
              <w:t>Cash</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18,649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18,649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16,313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16,313</w:t>
            </w:r>
          </w:p>
        </w:tc>
        <w:tc>
          <w:tcPr>
            <w:tcW w:w="0" w:type="dxa"/>
            <w:vAlign w:val="bottom"/>
          </w:tcPr>
          <w:p>
            <w:pPr>
              <w:spacing w:after="0"/>
              <w:rPr>
                <w:sz w:val="1"/>
                <w:szCs w:val="1"/>
                <w:color w:val="auto"/>
              </w:rPr>
            </w:pPr>
          </w:p>
        </w:tc>
      </w:tr>
      <w:tr>
        <w:trPr>
          <w:trHeight w:val="175"/>
        </w:trPr>
        <w:tc>
          <w:tcPr>
            <w:tcW w:w="3820" w:type="dxa"/>
            <w:vAlign w:val="bottom"/>
          </w:tcPr>
          <w:p>
            <w:pPr>
              <w:ind w:left="380"/>
              <w:spacing w:after="0"/>
              <w:rPr>
                <w:sz w:val="20"/>
                <w:szCs w:val="20"/>
                <w:color w:val="auto"/>
              </w:rPr>
            </w:pPr>
            <w:r>
              <w:rPr>
                <w:rFonts w:ascii="Courier New" w:cs="Courier New" w:eastAsia="Courier New" w:hAnsi="Courier New"/>
                <w:sz w:val="15"/>
                <w:szCs w:val="15"/>
                <w:color w:val="auto"/>
              </w:rPr>
              <w:t>Interest bearing</w:t>
            </w:r>
          </w:p>
        </w:tc>
        <w:tc>
          <w:tcPr>
            <w:tcW w:w="1060" w:type="dxa"/>
            <w:vAlign w:val="bottom"/>
          </w:tcPr>
          <w:p>
            <w:pPr>
              <w:spacing w:after="0"/>
              <w:rPr>
                <w:sz w:val="15"/>
                <w:szCs w:val="15"/>
                <w:color w:val="auto"/>
              </w:rPr>
            </w:pPr>
          </w:p>
        </w:tc>
        <w:tc>
          <w:tcPr>
            <w:tcW w:w="9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100</w:t>
            </w:r>
          </w:p>
        </w:tc>
        <w:tc>
          <w:tcPr>
            <w:tcW w:w="320" w:type="dxa"/>
            <w:vAlign w:val="bottom"/>
          </w:tcPr>
          <w:p>
            <w:pPr>
              <w:spacing w:after="0"/>
              <w:rPr>
                <w:sz w:val="15"/>
                <w:szCs w:val="15"/>
                <w:color w:val="auto"/>
              </w:rPr>
            </w:pP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spacing w:after="0"/>
              <w:rPr>
                <w:sz w:val="15"/>
                <w:szCs w:val="15"/>
                <w:color w:val="auto"/>
              </w:rPr>
            </w:pP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820" w:type="dxa"/>
            <w:vAlign w:val="bottom"/>
          </w:tcPr>
          <w:p>
            <w:pPr>
              <w:ind w:left="640"/>
              <w:spacing w:after="0"/>
              <w:rPr>
                <w:sz w:val="20"/>
                <w:szCs w:val="20"/>
                <w:color w:val="auto"/>
              </w:rPr>
            </w:pPr>
            <w:r>
              <w:rPr>
                <w:rFonts w:ascii="Courier New" w:cs="Courier New" w:eastAsia="Courier New" w:hAnsi="Courier New"/>
                <w:sz w:val="15"/>
                <w:szCs w:val="15"/>
                <w:color w:val="auto"/>
              </w:rPr>
              <w:t>deposits</w:t>
            </w:r>
          </w:p>
        </w:tc>
        <w:tc>
          <w:tcPr>
            <w:tcW w:w="10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380"/>
              <w:spacing w:after="0"/>
              <w:rPr>
                <w:sz w:val="20"/>
                <w:szCs w:val="20"/>
                <w:color w:val="auto"/>
              </w:rPr>
            </w:pPr>
            <w:r>
              <w:rPr>
                <w:rFonts w:ascii="Courier New" w:cs="Courier New" w:eastAsia="Courier New" w:hAnsi="Courier New"/>
                <w:sz w:val="15"/>
                <w:szCs w:val="15"/>
                <w:color w:val="auto"/>
              </w:rPr>
              <w:t>Federal funds sold</w:t>
            </w:r>
          </w:p>
        </w:tc>
        <w:tc>
          <w:tcPr>
            <w:tcW w:w="1060" w:type="dxa"/>
            <w:vAlign w:val="bottom"/>
          </w:tcPr>
          <w:p>
            <w:pPr>
              <w:spacing w:after="0"/>
              <w:rPr>
                <w:sz w:val="15"/>
                <w:szCs w:val="15"/>
                <w:color w:val="auto"/>
              </w:rPr>
            </w:pP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19,045</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19,045</w:t>
            </w:r>
          </w:p>
        </w:tc>
        <w:tc>
          <w:tcPr>
            <w:tcW w:w="3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6,485</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6,485</w:t>
            </w:r>
          </w:p>
        </w:tc>
        <w:tc>
          <w:tcPr>
            <w:tcW w:w="0" w:type="dxa"/>
            <w:vAlign w:val="bottom"/>
          </w:tcPr>
          <w:p>
            <w:pPr>
              <w:spacing w:after="0"/>
              <w:rPr>
                <w:sz w:val="1"/>
                <w:szCs w:val="1"/>
                <w:color w:val="auto"/>
              </w:rPr>
            </w:pPr>
          </w:p>
        </w:tc>
      </w:tr>
      <w:tr>
        <w:trPr>
          <w:trHeight w:val="175"/>
        </w:trPr>
        <w:tc>
          <w:tcPr>
            <w:tcW w:w="3820" w:type="dxa"/>
            <w:vAlign w:val="bottom"/>
          </w:tcPr>
          <w:p>
            <w:pPr>
              <w:ind w:left="380"/>
              <w:spacing w:after="0"/>
              <w:rPr>
                <w:sz w:val="20"/>
                <w:szCs w:val="20"/>
                <w:color w:val="auto"/>
              </w:rPr>
            </w:pPr>
            <w:r>
              <w:rPr>
                <w:rFonts w:ascii="Courier New" w:cs="Courier New" w:eastAsia="Courier New" w:hAnsi="Courier New"/>
                <w:sz w:val="15"/>
                <w:szCs w:val="15"/>
                <w:color w:val="auto"/>
              </w:rPr>
              <w:t>Investment Securities:</w:t>
            </w:r>
          </w:p>
        </w:tc>
        <w:tc>
          <w:tcPr>
            <w:tcW w:w="1060" w:type="dxa"/>
            <w:vAlign w:val="bottom"/>
          </w:tcPr>
          <w:p>
            <w:pPr>
              <w:spacing w:after="0"/>
              <w:rPr>
                <w:sz w:val="15"/>
                <w:szCs w:val="15"/>
                <w:color w:val="auto"/>
              </w:rPr>
            </w:pPr>
          </w:p>
        </w:tc>
        <w:tc>
          <w:tcPr>
            <w:tcW w:w="9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123,911</w:t>
            </w:r>
          </w:p>
        </w:tc>
        <w:tc>
          <w:tcPr>
            <w:tcW w:w="320" w:type="dxa"/>
            <w:vAlign w:val="bottom"/>
          </w:tcPr>
          <w:p>
            <w:pPr>
              <w:spacing w:after="0"/>
              <w:rPr>
                <w:sz w:val="15"/>
                <w:szCs w:val="15"/>
                <w:color w:val="auto"/>
              </w:rPr>
            </w:pP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123,911</w:t>
            </w:r>
          </w:p>
        </w:tc>
        <w:tc>
          <w:tcPr>
            <w:tcW w:w="360" w:type="dxa"/>
            <w:vAlign w:val="bottom"/>
          </w:tcPr>
          <w:p>
            <w:pPr>
              <w:spacing w:after="0"/>
              <w:rPr>
                <w:sz w:val="15"/>
                <w:szCs w:val="15"/>
                <w:color w:val="auto"/>
              </w:rPr>
            </w:pP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92,050</w:t>
            </w:r>
          </w:p>
        </w:tc>
        <w:tc>
          <w:tcPr>
            <w:tcW w:w="3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92,050</w:t>
            </w:r>
          </w:p>
        </w:tc>
        <w:tc>
          <w:tcPr>
            <w:tcW w:w="0" w:type="dxa"/>
            <w:vAlign w:val="bottom"/>
          </w:tcPr>
          <w:p>
            <w:pPr>
              <w:spacing w:after="0"/>
              <w:rPr>
                <w:sz w:val="1"/>
                <w:szCs w:val="1"/>
                <w:color w:val="auto"/>
              </w:rPr>
            </w:pPr>
          </w:p>
        </w:tc>
      </w:tr>
      <w:tr>
        <w:trPr>
          <w:trHeight w:val="175"/>
        </w:trPr>
        <w:tc>
          <w:tcPr>
            <w:tcW w:w="3820" w:type="dxa"/>
            <w:vAlign w:val="bottom"/>
          </w:tcPr>
          <w:p>
            <w:pPr>
              <w:ind w:left="640"/>
              <w:spacing w:after="0"/>
              <w:rPr>
                <w:sz w:val="20"/>
                <w:szCs w:val="20"/>
                <w:color w:val="auto"/>
              </w:rPr>
            </w:pPr>
            <w:r>
              <w:rPr>
                <w:rFonts w:ascii="Courier New" w:cs="Courier New" w:eastAsia="Courier New" w:hAnsi="Courier New"/>
                <w:sz w:val="15"/>
                <w:szCs w:val="15"/>
                <w:color w:val="auto"/>
              </w:rPr>
              <w:t>Available for sale</w:t>
            </w:r>
          </w:p>
        </w:tc>
        <w:tc>
          <w:tcPr>
            <w:tcW w:w="10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640"/>
              <w:spacing w:after="0"/>
              <w:rPr>
                <w:sz w:val="20"/>
                <w:szCs w:val="20"/>
                <w:color w:val="auto"/>
              </w:rPr>
            </w:pPr>
            <w:r>
              <w:rPr>
                <w:rFonts w:ascii="Courier New" w:cs="Courier New" w:eastAsia="Courier New" w:hAnsi="Courier New"/>
                <w:sz w:val="15"/>
                <w:szCs w:val="15"/>
                <w:color w:val="auto"/>
              </w:rPr>
              <w:t>Net loans</w:t>
            </w:r>
          </w:p>
        </w:tc>
        <w:tc>
          <w:tcPr>
            <w:tcW w:w="1060" w:type="dxa"/>
            <w:vAlign w:val="bottom"/>
          </w:tcPr>
          <w:p>
            <w:pPr>
              <w:spacing w:after="0"/>
              <w:rPr>
                <w:sz w:val="15"/>
                <w:szCs w:val="15"/>
                <w:color w:val="auto"/>
              </w:rPr>
            </w:pP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407,721</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422,147</w:t>
            </w:r>
          </w:p>
        </w:tc>
        <w:tc>
          <w:tcPr>
            <w:tcW w:w="3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398,643</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406,323</w:t>
            </w:r>
          </w:p>
        </w:tc>
        <w:tc>
          <w:tcPr>
            <w:tcW w:w="0" w:type="dxa"/>
            <w:vAlign w:val="bottom"/>
          </w:tcPr>
          <w:p>
            <w:pPr>
              <w:spacing w:after="0"/>
              <w:rPr>
                <w:sz w:val="1"/>
                <w:szCs w:val="1"/>
                <w:color w:val="auto"/>
              </w:rPr>
            </w:pPr>
          </w:p>
        </w:tc>
      </w:tr>
      <w:tr>
        <w:trPr>
          <w:trHeight w:val="175"/>
        </w:trPr>
        <w:tc>
          <w:tcPr>
            <w:tcW w:w="3820" w:type="dxa"/>
            <w:vAlign w:val="bottom"/>
          </w:tcPr>
          <w:p>
            <w:pPr>
              <w:ind w:left="640"/>
              <w:spacing w:after="0"/>
              <w:rPr>
                <w:sz w:val="20"/>
                <w:szCs w:val="20"/>
                <w:color w:val="auto"/>
              </w:rPr>
            </w:pPr>
            <w:r>
              <w:rPr>
                <w:rFonts w:ascii="Courier New" w:cs="Courier New" w:eastAsia="Courier New" w:hAnsi="Courier New"/>
                <w:sz w:val="15"/>
                <w:szCs w:val="15"/>
                <w:color w:val="auto"/>
              </w:rPr>
              <w:t>Accrued interest</w:t>
            </w:r>
          </w:p>
        </w:tc>
        <w:tc>
          <w:tcPr>
            <w:tcW w:w="1060" w:type="dxa"/>
            <w:vAlign w:val="bottom"/>
          </w:tcPr>
          <w:p>
            <w:pPr>
              <w:spacing w:after="0"/>
              <w:rPr>
                <w:sz w:val="15"/>
                <w:szCs w:val="15"/>
                <w:color w:val="auto"/>
              </w:rPr>
            </w:pPr>
          </w:p>
        </w:tc>
        <w:tc>
          <w:tcPr>
            <w:tcW w:w="9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5,187</w:t>
            </w:r>
          </w:p>
        </w:tc>
        <w:tc>
          <w:tcPr>
            <w:tcW w:w="320" w:type="dxa"/>
            <w:vAlign w:val="bottom"/>
          </w:tcPr>
          <w:p>
            <w:pPr>
              <w:spacing w:after="0"/>
              <w:rPr>
                <w:sz w:val="15"/>
                <w:szCs w:val="15"/>
                <w:color w:val="auto"/>
              </w:rPr>
            </w:pP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5,187</w:t>
            </w:r>
          </w:p>
        </w:tc>
        <w:tc>
          <w:tcPr>
            <w:tcW w:w="360" w:type="dxa"/>
            <w:vAlign w:val="bottom"/>
          </w:tcPr>
          <w:p>
            <w:pPr>
              <w:spacing w:after="0"/>
              <w:rPr>
                <w:sz w:val="15"/>
                <w:szCs w:val="15"/>
                <w:color w:val="auto"/>
              </w:rPr>
            </w:pP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5,069</w:t>
            </w:r>
          </w:p>
        </w:tc>
        <w:tc>
          <w:tcPr>
            <w:tcW w:w="3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5,069</w:t>
            </w:r>
          </w:p>
        </w:tc>
        <w:tc>
          <w:tcPr>
            <w:tcW w:w="0" w:type="dxa"/>
            <w:vAlign w:val="bottom"/>
          </w:tcPr>
          <w:p>
            <w:pPr>
              <w:spacing w:after="0"/>
              <w:rPr>
                <w:sz w:val="1"/>
                <w:szCs w:val="1"/>
                <w:color w:val="auto"/>
              </w:rPr>
            </w:pPr>
          </w:p>
        </w:tc>
      </w:tr>
      <w:tr>
        <w:trPr>
          <w:trHeight w:val="256"/>
        </w:trPr>
        <w:tc>
          <w:tcPr>
            <w:tcW w:w="3820" w:type="dxa"/>
            <w:vAlign w:val="bottom"/>
          </w:tcPr>
          <w:p>
            <w:pPr>
              <w:ind w:left="820"/>
              <w:spacing w:after="0"/>
              <w:rPr>
                <w:sz w:val="20"/>
                <w:szCs w:val="20"/>
                <w:color w:val="auto"/>
              </w:rPr>
            </w:pPr>
            <w:r>
              <w:rPr>
                <w:rFonts w:ascii="Courier New" w:cs="Courier New" w:eastAsia="Courier New" w:hAnsi="Courier New"/>
                <w:sz w:val="15"/>
                <w:szCs w:val="15"/>
                <w:color w:val="auto"/>
              </w:rPr>
              <w:t>receivable</w:t>
            </w:r>
          </w:p>
        </w:tc>
        <w:tc>
          <w:tcPr>
            <w:tcW w:w="10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820" w:type="dxa"/>
            <w:vAlign w:val="bottom"/>
          </w:tcPr>
          <w:p>
            <w:pPr>
              <w:ind w:left="380"/>
              <w:spacing w:after="0"/>
              <w:rPr>
                <w:sz w:val="20"/>
                <w:szCs w:val="20"/>
                <w:color w:val="auto"/>
              </w:rPr>
            </w:pPr>
            <w:r>
              <w:rPr>
                <w:rFonts w:ascii="Courier New" w:cs="Courier New" w:eastAsia="Courier New" w:hAnsi="Courier New"/>
                <w:sz w:val="15"/>
                <w:szCs w:val="15"/>
                <w:color w:val="auto"/>
              </w:rPr>
              <w:t>Financial Liabilities:</w:t>
            </w:r>
          </w:p>
        </w:tc>
        <w:tc>
          <w:tcPr>
            <w:tcW w:w="10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512,183</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515,500</w:t>
            </w:r>
          </w:p>
        </w:tc>
        <w:tc>
          <w:tcPr>
            <w:tcW w:w="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461,298</w:t>
            </w:r>
          </w:p>
        </w:tc>
        <w:tc>
          <w:tcPr>
            <w:tcW w:w="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462,967</w:t>
            </w:r>
          </w:p>
        </w:tc>
        <w:tc>
          <w:tcPr>
            <w:tcW w:w="0" w:type="dxa"/>
            <w:vAlign w:val="bottom"/>
          </w:tcPr>
          <w:p>
            <w:pPr>
              <w:spacing w:after="0"/>
              <w:rPr>
                <w:sz w:val="1"/>
                <w:szCs w:val="1"/>
                <w:color w:val="auto"/>
              </w:rPr>
            </w:pPr>
          </w:p>
        </w:tc>
      </w:tr>
      <w:tr>
        <w:trPr>
          <w:trHeight w:val="175"/>
        </w:trPr>
        <w:tc>
          <w:tcPr>
            <w:tcW w:w="3820" w:type="dxa"/>
            <w:vAlign w:val="bottom"/>
          </w:tcPr>
          <w:p>
            <w:pPr>
              <w:ind w:left="820"/>
              <w:spacing w:after="0"/>
              <w:rPr>
                <w:sz w:val="20"/>
                <w:szCs w:val="20"/>
                <w:color w:val="auto"/>
              </w:rPr>
            </w:pPr>
            <w:r>
              <w:rPr>
                <w:rFonts w:ascii="Courier New" w:cs="Courier New" w:eastAsia="Courier New" w:hAnsi="Courier New"/>
                <w:sz w:val="15"/>
                <w:szCs w:val="15"/>
                <w:color w:val="auto"/>
              </w:rPr>
              <w:t>Deposits</w:t>
            </w:r>
          </w:p>
        </w:tc>
        <w:tc>
          <w:tcPr>
            <w:tcW w:w="10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820"/>
              <w:spacing w:after="0"/>
              <w:rPr>
                <w:sz w:val="20"/>
                <w:szCs w:val="20"/>
                <w:color w:val="auto"/>
              </w:rPr>
            </w:pPr>
            <w:r>
              <w:rPr>
                <w:rFonts w:ascii="Courier New" w:cs="Courier New" w:eastAsia="Courier New" w:hAnsi="Courier New"/>
                <w:sz w:val="15"/>
                <w:szCs w:val="15"/>
                <w:color w:val="auto"/>
              </w:rPr>
              <w:t>Short-term borrowing:</w:t>
            </w: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1200"/>
              <w:spacing w:after="0"/>
              <w:rPr>
                <w:sz w:val="20"/>
                <w:szCs w:val="20"/>
                <w:color w:val="auto"/>
              </w:rPr>
            </w:pPr>
            <w:r>
              <w:rPr>
                <w:rFonts w:ascii="Courier New" w:cs="Courier New" w:eastAsia="Courier New" w:hAnsi="Courier New"/>
                <w:sz w:val="15"/>
                <w:szCs w:val="15"/>
                <w:color w:val="auto"/>
              </w:rPr>
              <w:t>Federal funds</w:t>
            </w: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1380"/>
              <w:spacing w:after="0"/>
              <w:rPr>
                <w:sz w:val="20"/>
                <w:szCs w:val="20"/>
                <w:color w:val="auto"/>
              </w:rPr>
            </w:pPr>
            <w:r>
              <w:rPr>
                <w:rFonts w:ascii="Courier New" w:cs="Courier New" w:eastAsia="Courier New" w:hAnsi="Courier New"/>
                <w:sz w:val="15"/>
                <w:szCs w:val="15"/>
                <w:color w:val="auto"/>
              </w:rPr>
              <w:t>purchased</w:t>
            </w: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1200"/>
              <w:spacing w:after="0"/>
              <w:rPr>
                <w:sz w:val="20"/>
                <w:szCs w:val="20"/>
                <w:color w:val="auto"/>
              </w:rPr>
            </w:pPr>
            <w:r>
              <w:rPr>
                <w:rFonts w:ascii="Courier New" w:cs="Courier New" w:eastAsia="Courier New" w:hAnsi="Courier New"/>
                <w:sz w:val="15"/>
                <w:szCs w:val="15"/>
                <w:color w:val="auto"/>
              </w:rPr>
              <w:t>Securities sold</w:t>
            </w: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1380"/>
              <w:spacing w:after="0"/>
              <w:rPr>
                <w:sz w:val="20"/>
                <w:szCs w:val="20"/>
                <w:color w:val="auto"/>
              </w:rPr>
            </w:pPr>
            <w:r>
              <w:rPr>
                <w:rFonts w:ascii="Courier New" w:cs="Courier New" w:eastAsia="Courier New" w:hAnsi="Courier New"/>
                <w:sz w:val="15"/>
                <w:szCs w:val="15"/>
                <w:color w:val="auto"/>
              </w:rPr>
              <w:t>under agreement</w:t>
            </w:r>
          </w:p>
        </w:tc>
        <w:tc>
          <w:tcPr>
            <w:tcW w:w="1060" w:type="dxa"/>
            <w:vAlign w:val="bottom"/>
          </w:tcPr>
          <w:p>
            <w:pPr>
              <w:spacing w:after="0"/>
              <w:rPr>
                <w:sz w:val="15"/>
                <w:szCs w:val="15"/>
                <w:color w:val="auto"/>
              </w:rPr>
            </w:pPr>
          </w:p>
        </w:tc>
        <w:tc>
          <w:tcPr>
            <w:tcW w:w="9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2,916</w:t>
            </w:r>
          </w:p>
        </w:tc>
        <w:tc>
          <w:tcPr>
            <w:tcW w:w="320" w:type="dxa"/>
            <w:vAlign w:val="bottom"/>
          </w:tcPr>
          <w:p>
            <w:pPr>
              <w:spacing w:after="0"/>
              <w:rPr>
                <w:sz w:val="15"/>
                <w:szCs w:val="15"/>
                <w:color w:val="auto"/>
              </w:rPr>
            </w:pP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2,916</w:t>
            </w:r>
          </w:p>
        </w:tc>
        <w:tc>
          <w:tcPr>
            <w:tcW w:w="360" w:type="dxa"/>
            <w:vAlign w:val="bottom"/>
          </w:tcPr>
          <w:p>
            <w:pPr>
              <w:spacing w:after="0"/>
              <w:rPr>
                <w:sz w:val="15"/>
                <w:szCs w:val="15"/>
                <w:color w:val="auto"/>
              </w:rPr>
            </w:pP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2,598</w:t>
            </w:r>
          </w:p>
        </w:tc>
        <w:tc>
          <w:tcPr>
            <w:tcW w:w="3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2,598</w:t>
            </w:r>
          </w:p>
        </w:tc>
        <w:tc>
          <w:tcPr>
            <w:tcW w:w="0" w:type="dxa"/>
            <w:vAlign w:val="bottom"/>
          </w:tcPr>
          <w:p>
            <w:pPr>
              <w:spacing w:after="0"/>
              <w:rPr>
                <w:sz w:val="1"/>
                <w:szCs w:val="1"/>
                <w:color w:val="auto"/>
              </w:rPr>
            </w:pPr>
          </w:p>
        </w:tc>
      </w:tr>
      <w:tr>
        <w:trPr>
          <w:trHeight w:val="175"/>
        </w:trPr>
        <w:tc>
          <w:tcPr>
            <w:tcW w:w="3820" w:type="dxa"/>
            <w:vAlign w:val="bottom"/>
          </w:tcPr>
          <w:p>
            <w:pPr>
              <w:ind w:left="1380"/>
              <w:spacing w:after="0"/>
              <w:rPr>
                <w:sz w:val="20"/>
                <w:szCs w:val="20"/>
                <w:color w:val="auto"/>
              </w:rPr>
            </w:pPr>
            <w:r>
              <w:rPr>
                <w:rFonts w:ascii="Courier New" w:cs="Courier New" w:eastAsia="Courier New" w:hAnsi="Courier New"/>
                <w:sz w:val="15"/>
                <w:szCs w:val="15"/>
                <w:color w:val="auto"/>
              </w:rPr>
              <w:t>to repurchase</w:t>
            </w:r>
          </w:p>
        </w:tc>
        <w:tc>
          <w:tcPr>
            <w:tcW w:w="10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820"/>
              <w:spacing w:after="0"/>
              <w:rPr>
                <w:sz w:val="20"/>
                <w:szCs w:val="20"/>
                <w:color w:val="auto"/>
              </w:rPr>
            </w:pPr>
            <w:r>
              <w:rPr>
                <w:rFonts w:ascii="Courier New" w:cs="Courier New" w:eastAsia="Courier New" w:hAnsi="Courier New"/>
                <w:sz w:val="15"/>
                <w:szCs w:val="15"/>
                <w:color w:val="auto"/>
              </w:rPr>
              <w:t>Other borrowing</w:t>
            </w:r>
          </w:p>
        </w:tc>
        <w:tc>
          <w:tcPr>
            <w:tcW w:w="1060" w:type="dxa"/>
            <w:vAlign w:val="bottom"/>
          </w:tcPr>
          <w:p>
            <w:pPr>
              <w:spacing w:after="0"/>
              <w:rPr>
                <w:sz w:val="15"/>
                <w:szCs w:val="15"/>
                <w:color w:val="auto"/>
              </w:rPr>
            </w:pP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11,240</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11,341</w:t>
            </w:r>
          </w:p>
        </w:tc>
        <w:tc>
          <w:tcPr>
            <w:tcW w:w="3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11,292</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11,642</w:t>
            </w:r>
          </w:p>
        </w:tc>
        <w:tc>
          <w:tcPr>
            <w:tcW w:w="0" w:type="dxa"/>
            <w:vAlign w:val="bottom"/>
          </w:tcPr>
          <w:p>
            <w:pPr>
              <w:spacing w:after="0"/>
              <w:rPr>
                <w:sz w:val="1"/>
                <w:szCs w:val="1"/>
                <w:color w:val="auto"/>
              </w:rPr>
            </w:pPr>
          </w:p>
        </w:tc>
      </w:tr>
      <w:tr>
        <w:trPr>
          <w:trHeight w:val="256"/>
        </w:trPr>
        <w:tc>
          <w:tcPr>
            <w:tcW w:w="3820" w:type="dxa"/>
            <w:vAlign w:val="bottom"/>
          </w:tcPr>
          <w:p>
            <w:pPr>
              <w:ind w:left="820"/>
              <w:spacing w:after="0"/>
              <w:rPr>
                <w:sz w:val="20"/>
                <w:szCs w:val="20"/>
                <w:color w:val="auto"/>
              </w:rPr>
            </w:pPr>
            <w:r>
              <w:rPr>
                <w:rFonts w:ascii="Courier New" w:cs="Courier New" w:eastAsia="Courier New" w:hAnsi="Courier New"/>
                <w:sz w:val="15"/>
                <w:szCs w:val="15"/>
                <w:color w:val="auto"/>
              </w:rPr>
              <w:t>Accrued interest payable</w:t>
            </w:r>
          </w:p>
        </w:tc>
        <w:tc>
          <w:tcPr>
            <w:tcW w:w="1060" w:type="dxa"/>
            <w:vAlign w:val="bottom"/>
          </w:tcPr>
          <w:p>
            <w:pPr>
              <w:spacing w:after="0"/>
              <w:rPr>
                <w:sz w:val="22"/>
                <w:szCs w:val="22"/>
                <w:color w:val="auto"/>
              </w:rPr>
            </w:pP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1,991</w:t>
            </w:r>
          </w:p>
        </w:tc>
        <w:tc>
          <w:tcPr>
            <w:tcW w:w="320" w:type="dxa"/>
            <w:vAlign w:val="bottom"/>
          </w:tcPr>
          <w:p>
            <w:pPr>
              <w:spacing w:after="0"/>
              <w:rPr>
                <w:sz w:val="22"/>
                <w:szCs w:val="22"/>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1,991</w:t>
            </w:r>
          </w:p>
        </w:tc>
        <w:tc>
          <w:tcPr>
            <w:tcW w:w="360" w:type="dxa"/>
            <w:vAlign w:val="bottom"/>
          </w:tcPr>
          <w:p>
            <w:pPr>
              <w:spacing w:after="0"/>
              <w:rPr>
                <w:sz w:val="22"/>
                <w:szCs w:val="22"/>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1,926</w:t>
            </w:r>
          </w:p>
        </w:tc>
        <w:tc>
          <w:tcPr>
            <w:tcW w:w="3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1,926</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620" w:firstLine="1636"/>
        <w:spacing w:after="0" w:line="368" w:lineRule="auto"/>
        <w:rPr>
          <w:sz w:val="20"/>
          <w:szCs w:val="20"/>
          <w:color w:val="auto"/>
        </w:rPr>
      </w:pPr>
      <w:r>
        <w:rPr>
          <w:rFonts w:ascii="Courier New" w:cs="Courier New" w:eastAsia="Courier New" w:hAnsi="Courier New"/>
          <w:sz w:val="15"/>
          <w:szCs w:val="15"/>
          <w:color w:val="auto"/>
        </w:rPr>
        <w:t>The following assumptions and methods were used in estimating the fair value for financial instruments:</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CASH AND SHORT-TERM INVESTMENTS:</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For cash on hand and in banks, as well as, federal</w:t>
      </w:r>
    </w:p>
    <w:p>
      <w:pPr>
        <w:spacing w:after="0" w:line="3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funds sold, the carrying amount is a reasonable</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estimate of fair value.</w:t>
      </w:r>
    </w:p>
    <w:p>
      <w:pPr>
        <w:spacing w:after="0" w:line="200" w:lineRule="exact"/>
        <w:rPr>
          <w:sz w:val="20"/>
          <w:szCs w:val="20"/>
          <w:color w:val="auto"/>
        </w:rPr>
      </w:pPr>
    </w:p>
    <w:p>
      <w:pPr>
        <w:spacing w:after="0" w:line="30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800"/>
          </w:cols>
          <w:pgMar w:left="240" w:top="265" w:right="859"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51</w:t>
      </w:r>
    </w:p>
    <w:p>
      <w:pPr>
        <w:spacing w:after="0" w:line="200" w:lineRule="exact"/>
        <w:rPr>
          <w:sz w:val="20"/>
          <w:szCs w:val="20"/>
          <w:color w:val="auto"/>
        </w:rPr>
      </w:pPr>
    </w:p>
    <w:p>
      <w:pPr>
        <w:spacing w:after="0" w:line="329"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54"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NOTE 17.</w:t>
      </w:r>
      <w:r>
        <w:rPr>
          <w:sz w:val="20"/>
          <w:szCs w:val="20"/>
          <w:color w:val="auto"/>
        </w:rPr>
        <w:tab/>
      </w:r>
      <w:r>
        <w:rPr>
          <w:rFonts w:ascii="Courier New" w:cs="Courier New" w:eastAsia="Courier New" w:hAnsi="Courier New"/>
          <w:sz w:val="15"/>
          <w:szCs w:val="15"/>
          <w:color w:val="auto"/>
        </w:rPr>
        <w:t>FAIR VALUE INFORMATION AND INTEREST RATE RISK (Continued)</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INVESTMENT SECURITIES:</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Fair value is based on quoted market prices or dealer</w:t>
      </w:r>
    </w:p>
    <w:p>
      <w:pPr>
        <w:spacing w:after="0" w:line="3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quotes. See Note 3, Investment Securities, for</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additional information.</w:t>
      </w:r>
    </w:p>
    <w:p>
      <w:pPr>
        <w:spacing w:after="0" w:line="152"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STOCK IN FEDERAL HOME LOAN BANK:</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No ready market exists for the stock, and it has no</w:t>
      </w:r>
    </w:p>
    <w:p>
      <w:pPr>
        <w:spacing w:after="0" w:line="3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quoted market value. The stock is redeemable at par;</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therefore, fair value equals cost.</w:t>
      </w:r>
    </w:p>
    <w:p>
      <w:pPr>
        <w:spacing w:after="0" w:line="152"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LOANS:</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Most commercial and real estate mortgage loans are</w:t>
      </w:r>
    </w:p>
    <w:p>
      <w:pPr>
        <w:spacing w:after="0" w:line="3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made on a variable rate basis. For those</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variable-rate loans that reprice frequently, and with</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no significant change in credit risk, fair values are</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based on carrying values. The estimated fair value of</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fixed rate loan portfolio is based on expected</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future cash flows discounted by an appropriate rate</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derived in part from the Treasury yield curve.</w:t>
      </w:r>
    </w:p>
    <w:p>
      <w:pPr>
        <w:spacing w:after="0" w:line="152"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DEPOSITS:</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fair value of demand deposits, savings accounts,</w:t>
      </w:r>
    </w:p>
    <w:p>
      <w:pPr>
        <w:spacing w:after="0" w:line="3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and certain money market deposits is the amount</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payable on demand at the reporting date. The fair</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value of fixed-maturity certificates of deposits is</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estimated using anticipated future cash flows</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discounted by an appropriate rate derived in part</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from the Treasury yield curve.</w:t>
      </w:r>
    </w:p>
    <w:p>
      <w:pPr>
        <w:spacing w:after="0" w:line="152"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BORROWINGS:</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Short-term borrowings are carried at cost which</w:t>
      </w:r>
    </w:p>
    <w:p>
      <w:pPr>
        <w:spacing w:after="0" w:line="3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approximates fair value. Other long-term debt was</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generally valued using a discounted cash flows</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analysis with a discounted rate based on current</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incremental borrowing rates for similar types of</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arrangements, or if not available, based on an</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approach similar to that used for loans and deposits.</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Long-term borrowings include their related current</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maturities.</w:t>
      </w:r>
    </w:p>
    <w:p>
      <w:pPr>
        <w:spacing w:after="0" w:line="152"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ACCRUED INTEREST RECEIVABLE AND PAYABLE</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carrying amounts of accrued interest approximate</w:t>
      </w:r>
    </w:p>
    <w:p>
      <w:pPr>
        <w:spacing w:after="0" w:line="3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their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65"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52</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54"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5"/>
          <w:szCs w:val="15"/>
          <w:color w:val="auto"/>
        </w:rPr>
        <w:t>FARMERS &amp; MERCHANTS BANCORP, INC. (PARENT COMPANY ONLY)</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FINANCIAL INFORMATION</w:t>
      </w:r>
    </w:p>
    <w:p>
      <w:pPr>
        <w:spacing w:after="0" w:line="200" w:lineRule="exact"/>
        <w:rPr>
          <w:sz w:val="20"/>
          <w:szCs w:val="20"/>
          <w:color w:val="auto"/>
        </w:rPr>
      </w:pPr>
    </w:p>
    <w:p>
      <w:pPr>
        <w:spacing w:after="0" w:line="301" w:lineRule="exact"/>
        <w:rPr>
          <w:sz w:val="20"/>
          <w:szCs w:val="20"/>
          <w:color w:val="auto"/>
        </w:rPr>
      </w:pPr>
    </w:p>
    <w:tbl>
      <w:tblPr>
        <w:tblLayout w:type="fixed"/>
        <w:tblInd w:w="1620" w:type="dxa"/>
        <w:tblCellMar>
          <w:top w:w="0" w:type="dxa"/>
          <w:left w:w="0" w:type="dxa"/>
          <w:bottom w:w="0" w:type="dxa"/>
          <w:right w:w="0" w:type="dxa"/>
        </w:tblCellMar>
      </w:tblPr>
      <w:tr>
        <w:trPr>
          <w:trHeight w:val="256"/>
        </w:trPr>
        <w:tc>
          <w:tcPr>
            <w:tcW w:w="310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240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BALANCE SHEETS</w:t>
            </w:r>
          </w:p>
        </w:tc>
        <w:tc>
          <w:tcPr>
            <w:tcW w:w="110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spacing w:after="0"/>
              <w:rPr>
                <w:sz w:val="22"/>
                <w:szCs w:val="22"/>
                <w:color w:val="auto"/>
              </w:rPr>
            </w:pPr>
          </w:p>
        </w:tc>
        <w:tc>
          <w:tcPr>
            <w:tcW w:w="8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93"/>
        </w:trPr>
        <w:tc>
          <w:tcPr>
            <w:tcW w:w="3100" w:type="dxa"/>
            <w:vAlign w:val="bottom"/>
            <w:vMerge w:val="continue"/>
          </w:tcPr>
          <w:p>
            <w:pPr>
              <w:spacing w:after="0"/>
              <w:rPr>
                <w:sz w:val="8"/>
                <w:szCs w:val="8"/>
                <w:color w:val="auto"/>
              </w:rPr>
            </w:pPr>
          </w:p>
        </w:tc>
        <w:tc>
          <w:tcPr>
            <w:tcW w:w="24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31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1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4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685</w:t>
            </w:r>
          </w:p>
        </w:tc>
        <w:tc>
          <w:tcPr>
            <w:tcW w:w="5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816</w:t>
            </w:r>
          </w:p>
        </w:tc>
        <w:tc>
          <w:tcPr>
            <w:tcW w:w="0" w:type="dxa"/>
            <w:vAlign w:val="bottom"/>
          </w:tcPr>
          <w:p>
            <w:pPr>
              <w:spacing w:after="0"/>
              <w:rPr>
                <w:sz w:val="1"/>
                <w:szCs w:val="1"/>
                <w:color w:val="auto"/>
              </w:rPr>
            </w:pPr>
          </w:p>
        </w:tc>
      </w:tr>
      <w:tr>
        <w:trPr>
          <w:trHeight w:val="175"/>
        </w:trPr>
        <w:tc>
          <w:tcPr>
            <w:tcW w:w="3100" w:type="dxa"/>
            <w:vAlign w:val="bottom"/>
          </w:tcPr>
          <w:p>
            <w:pPr>
              <w:ind w:left="200"/>
              <w:spacing w:after="0"/>
              <w:rPr>
                <w:sz w:val="20"/>
                <w:szCs w:val="20"/>
                <w:color w:val="auto"/>
              </w:rPr>
            </w:pPr>
            <w:r>
              <w:rPr>
                <w:rFonts w:ascii="Courier New" w:cs="Courier New" w:eastAsia="Courier New" w:hAnsi="Courier New"/>
                <w:sz w:val="15"/>
                <w:szCs w:val="15"/>
                <w:color w:val="auto"/>
              </w:rPr>
              <w:t>Cash</w:t>
            </w:r>
          </w:p>
        </w:tc>
        <w:tc>
          <w:tcPr>
            <w:tcW w:w="2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200"/>
              <w:spacing w:after="0"/>
              <w:rPr>
                <w:sz w:val="20"/>
                <w:szCs w:val="20"/>
                <w:color w:val="auto"/>
              </w:rPr>
            </w:pPr>
            <w:r>
              <w:rPr>
                <w:rFonts w:ascii="Courier New" w:cs="Courier New" w:eastAsia="Courier New" w:hAnsi="Courier New"/>
                <w:sz w:val="15"/>
                <w:szCs w:val="15"/>
                <w:color w:val="auto"/>
              </w:rPr>
              <w:t>Related party receivables:</w:t>
            </w:r>
          </w:p>
        </w:tc>
        <w:tc>
          <w:tcPr>
            <w:tcW w:w="2400" w:type="dxa"/>
            <w:vAlign w:val="bottom"/>
          </w:tcPr>
          <w:p>
            <w:pPr>
              <w:spacing w:after="0"/>
              <w:rPr>
                <w:sz w:val="15"/>
                <w:szCs w:val="15"/>
                <w:color w:val="auto"/>
              </w:rPr>
            </w:pPr>
          </w:p>
        </w:tc>
        <w:tc>
          <w:tcPr>
            <w:tcW w:w="11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52</w:t>
            </w:r>
          </w:p>
        </w:tc>
        <w:tc>
          <w:tcPr>
            <w:tcW w:w="5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650</w:t>
            </w:r>
          </w:p>
        </w:tc>
        <w:tc>
          <w:tcPr>
            <w:tcW w:w="0" w:type="dxa"/>
            <w:vAlign w:val="bottom"/>
          </w:tcPr>
          <w:p>
            <w:pPr>
              <w:spacing w:after="0"/>
              <w:rPr>
                <w:sz w:val="1"/>
                <w:szCs w:val="1"/>
                <w:color w:val="auto"/>
              </w:rPr>
            </w:pPr>
          </w:p>
        </w:tc>
      </w:tr>
      <w:tr>
        <w:trPr>
          <w:trHeight w:val="175"/>
        </w:trPr>
        <w:tc>
          <w:tcPr>
            <w:tcW w:w="3100" w:type="dxa"/>
            <w:vAlign w:val="bottom"/>
          </w:tcPr>
          <w:p>
            <w:pPr>
              <w:ind w:left="640"/>
              <w:spacing w:after="0"/>
              <w:rPr>
                <w:sz w:val="20"/>
                <w:szCs w:val="20"/>
                <w:color w:val="auto"/>
              </w:rPr>
            </w:pPr>
            <w:r>
              <w:rPr>
                <w:rFonts w:ascii="Courier New" w:cs="Courier New" w:eastAsia="Courier New" w:hAnsi="Courier New"/>
                <w:sz w:val="15"/>
                <w:szCs w:val="15"/>
                <w:color w:val="auto"/>
              </w:rPr>
              <w:t>Dividends</w:t>
            </w:r>
          </w:p>
        </w:tc>
        <w:tc>
          <w:tcPr>
            <w:tcW w:w="24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640"/>
              <w:spacing w:after="0"/>
              <w:rPr>
                <w:sz w:val="20"/>
                <w:szCs w:val="20"/>
                <w:color w:val="auto"/>
              </w:rPr>
            </w:pPr>
            <w:r>
              <w:rPr>
                <w:rFonts w:ascii="Courier New" w:cs="Courier New" w:eastAsia="Courier New" w:hAnsi="Courier New"/>
                <w:sz w:val="15"/>
                <w:szCs w:val="15"/>
                <w:color w:val="auto"/>
              </w:rPr>
              <w:t>Note receivable</w:t>
            </w:r>
          </w:p>
        </w:tc>
        <w:tc>
          <w:tcPr>
            <w:tcW w:w="240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10,000</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175"/>
        </w:trPr>
        <w:tc>
          <w:tcPr>
            <w:tcW w:w="3100" w:type="dxa"/>
            <w:vAlign w:val="bottom"/>
          </w:tcPr>
          <w:p>
            <w:pPr>
              <w:ind w:left="200"/>
              <w:spacing w:after="0"/>
              <w:rPr>
                <w:sz w:val="20"/>
                <w:szCs w:val="20"/>
                <w:color w:val="auto"/>
              </w:rPr>
            </w:pPr>
            <w:r>
              <w:rPr>
                <w:rFonts w:ascii="Courier New" w:cs="Courier New" w:eastAsia="Courier New" w:hAnsi="Courier New"/>
                <w:sz w:val="15"/>
                <w:szCs w:val="15"/>
                <w:color w:val="auto"/>
              </w:rPr>
              <w:t>Investment in subsidiaries</w:t>
            </w:r>
          </w:p>
        </w:tc>
        <w:tc>
          <w:tcPr>
            <w:tcW w:w="240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45,617</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38,207</w:t>
            </w:r>
          </w:p>
        </w:tc>
        <w:tc>
          <w:tcPr>
            <w:tcW w:w="0" w:type="dxa"/>
            <w:vAlign w:val="bottom"/>
          </w:tcPr>
          <w:p>
            <w:pPr>
              <w:spacing w:after="0"/>
              <w:rPr>
                <w:sz w:val="1"/>
                <w:szCs w:val="1"/>
                <w:color w:val="auto"/>
              </w:rPr>
            </w:pPr>
          </w:p>
        </w:tc>
      </w:tr>
      <w:tr>
        <w:trPr>
          <w:trHeight w:val="256"/>
        </w:trPr>
        <w:tc>
          <w:tcPr>
            <w:tcW w:w="3100" w:type="dxa"/>
            <w:vAlign w:val="bottom"/>
          </w:tcPr>
          <w:p>
            <w:pPr>
              <w:spacing w:after="0"/>
              <w:rPr>
                <w:sz w:val="22"/>
                <w:szCs w:val="22"/>
                <w:color w:val="auto"/>
              </w:rPr>
            </w:pPr>
          </w:p>
        </w:tc>
        <w:tc>
          <w:tcPr>
            <w:tcW w:w="3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1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56,354</w:t>
            </w:r>
          </w:p>
        </w:tc>
        <w:tc>
          <w:tcPr>
            <w:tcW w:w="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49,673</w:t>
            </w:r>
          </w:p>
        </w:tc>
        <w:tc>
          <w:tcPr>
            <w:tcW w:w="0" w:type="dxa"/>
            <w:vAlign w:val="bottom"/>
          </w:tcPr>
          <w:p>
            <w:pPr>
              <w:spacing w:after="0"/>
              <w:rPr>
                <w:sz w:val="1"/>
                <w:szCs w:val="1"/>
                <w:color w:val="auto"/>
              </w:rPr>
            </w:pPr>
          </w:p>
        </w:tc>
      </w:tr>
      <w:tr>
        <w:trPr>
          <w:trHeight w:val="256"/>
        </w:trPr>
        <w:tc>
          <w:tcPr>
            <w:tcW w:w="3100" w:type="dxa"/>
            <w:vAlign w:val="bottom"/>
          </w:tcPr>
          <w:p>
            <w:pPr>
              <w:spacing w:after="0"/>
              <w:rPr>
                <w:sz w:val="22"/>
                <w:szCs w:val="22"/>
                <w:color w:val="auto"/>
              </w:rPr>
            </w:pPr>
          </w:p>
        </w:tc>
        <w:tc>
          <w:tcPr>
            <w:tcW w:w="3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1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24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354</w:t>
            </w:r>
          </w:p>
        </w:tc>
        <w:tc>
          <w:tcPr>
            <w:tcW w:w="5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179</w:t>
            </w:r>
          </w:p>
        </w:tc>
        <w:tc>
          <w:tcPr>
            <w:tcW w:w="0" w:type="dxa"/>
            <w:vAlign w:val="bottom"/>
          </w:tcPr>
          <w:p>
            <w:pPr>
              <w:spacing w:after="0"/>
              <w:rPr>
                <w:sz w:val="1"/>
                <w:szCs w:val="1"/>
                <w:color w:val="auto"/>
              </w:rPr>
            </w:pPr>
          </w:p>
        </w:tc>
      </w:tr>
      <w:tr>
        <w:trPr>
          <w:trHeight w:val="175"/>
        </w:trPr>
        <w:tc>
          <w:tcPr>
            <w:tcW w:w="3100" w:type="dxa"/>
            <w:vAlign w:val="bottom"/>
          </w:tcPr>
          <w:p>
            <w:pPr>
              <w:ind w:left="380"/>
              <w:spacing w:after="0"/>
              <w:rPr>
                <w:sz w:val="20"/>
                <w:szCs w:val="20"/>
                <w:color w:val="auto"/>
              </w:rPr>
            </w:pPr>
            <w:r>
              <w:rPr>
                <w:rFonts w:ascii="Courier New" w:cs="Courier New" w:eastAsia="Courier New" w:hAnsi="Courier New"/>
                <w:sz w:val="15"/>
                <w:szCs w:val="15"/>
                <w:color w:val="auto"/>
              </w:rPr>
              <w:t>Accrued expenses</w:t>
            </w:r>
          </w:p>
        </w:tc>
        <w:tc>
          <w:tcPr>
            <w:tcW w:w="2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380"/>
              <w:spacing w:after="0"/>
              <w:rPr>
                <w:sz w:val="20"/>
                <w:szCs w:val="20"/>
                <w:color w:val="auto"/>
              </w:rPr>
            </w:pPr>
            <w:r>
              <w:rPr>
                <w:rFonts w:ascii="Courier New" w:cs="Courier New" w:eastAsia="Courier New" w:hAnsi="Courier New"/>
                <w:sz w:val="15"/>
                <w:szCs w:val="15"/>
                <w:color w:val="auto"/>
              </w:rPr>
              <w:t>Dividends payable</w:t>
            </w:r>
          </w:p>
        </w:tc>
        <w:tc>
          <w:tcPr>
            <w:tcW w:w="240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650</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650</w:t>
            </w:r>
          </w:p>
        </w:tc>
        <w:tc>
          <w:tcPr>
            <w:tcW w:w="0" w:type="dxa"/>
            <w:vAlign w:val="bottom"/>
          </w:tcPr>
          <w:p>
            <w:pPr>
              <w:spacing w:after="0"/>
              <w:rPr>
                <w:sz w:val="1"/>
                <w:szCs w:val="1"/>
                <w:color w:val="auto"/>
              </w:rPr>
            </w:pPr>
          </w:p>
        </w:tc>
      </w:tr>
      <w:tr>
        <w:trPr>
          <w:trHeight w:val="256"/>
        </w:trPr>
        <w:tc>
          <w:tcPr>
            <w:tcW w:w="3100" w:type="dxa"/>
            <w:vAlign w:val="bottom"/>
          </w:tcPr>
          <w:p>
            <w:pPr>
              <w:spacing w:after="0"/>
              <w:rPr>
                <w:sz w:val="22"/>
                <w:szCs w:val="22"/>
                <w:color w:val="auto"/>
              </w:rPr>
            </w:pPr>
          </w:p>
        </w:tc>
        <w:tc>
          <w:tcPr>
            <w:tcW w:w="3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100" w:type="dxa"/>
            <w:vAlign w:val="bottom"/>
          </w:tcPr>
          <w:p>
            <w:pPr>
              <w:ind w:left="640"/>
              <w:spacing w:after="0"/>
              <w:rPr>
                <w:sz w:val="20"/>
                <w:szCs w:val="20"/>
                <w:color w:val="auto"/>
              </w:rPr>
            </w:pPr>
            <w:r>
              <w:rPr>
                <w:rFonts w:ascii="Courier New" w:cs="Courier New" w:eastAsia="Courier New" w:hAnsi="Courier New"/>
                <w:sz w:val="15"/>
                <w:szCs w:val="15"/>
                <w:color w:val="auto"/>
              </w:rPr>
              <w:t>Total Liabilities</w:t>
            </w:r>
          </w:p>
        </w:tc>
        <w:tc>
          <w:tcPr>
            <w:tcW w:w="2400" w:type="dxa"/>
            <w:vAlign w:val="bottom"/>
          </w:tcPr>
          <w:p>
            <w:pPr>
              <w:spacing w:after="0"/>
              <w:rPr>
                <w:sz w:val="23"/>
                <w:szCs w:val="23"/>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1,004</w:t>
            </w: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829</w:t>
            </w:r>
          </w:p>
        </w:tc>
        <w:tc>
          <w:tcPr>
            <w:tcW w:w="0" w:type="dxa"/>
            <w:vAlign w:val="bottom"/>
          </w:tcPr>
          <w:p>
            <w:pPr>
              <w:spacing w:after="0"/>
              <w:rPr>
                <w:sz w:val="1"/>
                <w:szCs w:val="1"/>
                <w:color w:val="auto"/>
              </w:rPr>
            </w:pPr>
          </w:p>
        </w:tc>
      </w:tr>
      <w:tr>
        <w:trPr>
          <w:trHeight w:val="256"/>
        </w:trPr>
        <w:tc>
          <w:tcPr>
            <w:tcW w:w="3100" w:type="dxa"/>
            <w:vAlign w:val="bottom"/>
          </w:tcPr>
          <w:p>
            <w:pPr>
              <w:spacing w:after="0"/>
              <w:rPr>
                <w:sz w:val="22"/>
                <w:szCs w:val="22"/>
                <w:color w:val="auto"/>
              </w:rPr>
            </w:pPr>
          </w:p>
        </w:tc>
        <w:tc>
          <w:tcPr>
            <w:tcW w:w="3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1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200"/>
              <w:spacing w:after="0"/>
              <w:rPr>
                <w:sz w:val="20"/>
                <w:szCs w:val="20"/>
                <w:color w:val="auto"/>
              </w:rPr>
            </w:pPr>
            <w:r>
              <w:rPr>
                <w:rFonts w:ascii="Courier New" w:cs="Courier New" w:eastAsia="Courier New" w:hAnsi="Courier New"/>
                <w:sz w:val="15"/>
                <w:szCs w:val="15"/>
                <w:color w:val="auto"/>
              </w:rPr>
              <w:t>Common stock, no par value -</w:t>
            </w:r>
          </w:p>
        </w:tc>
        <w:tc>
          <w:tcPr>
            <w:tcW w:w="2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380"/>
              <w:spacing w:after="0"/>
              <w:rPr>
                <w:sz w:val="20"/>
                <w:szCs w:val="20"/>
                <w:color w:val="auto"/>
              </w:rPr>
            </w:pPr>
            <w:r>
              <w:rPr>
                <w:rFonts w:ascii="Courier New" w:cs="Courier New" w:eastAsia="Courier New" w:hAnsi="Courier New"/>
                <w:sz w:val="15"/>
                <w:szCs w:val="15"/>
                <w:color w:val="auto"/>
              </w:rPr>
              <w:t>authorized 1,500,000 shares;</w:t>
            </w:r>
          </w:p>
        </w:tc>
        <w:tc>
          <w:tcPr>
            <w:tcW w:w="2400" w:type="dxa"/>
            <w:vAlign w:val="bottom"/>
          </w:tcPr>
          <w:p>
            <w:pPr>
              <w:spacing w:after="0"/>
              <w:rPr>
                <w:sz w:val="15"/>
                <w:szCs w:val="15"/>
                <w:color w:val="auto"/>
              </w:rPr>
            </w:pPr>
          </w:p>
        </w:tc>
        <w:tc>
          <w:tcPr>
            <w:tcW w:w="11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12,677</w:t>
            </w:r>
          </w:p>
        </w:tc>
        <w:tc>
          <w:tcPr>
            <w:tcW w:w="5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12,677</w:t>
            </w:r>
          </w:p>
        </w:tc>
        <w:tc>
          <w:tcPr>
            <w:tcW w:w="0" w:type="dxa"/>
            <w:vAlign w:val="bottom"/>
          </w:tcPr>
          <w:p>
            <w:pPr>
              <w:spacing w:after="0"/>
              <w:rPr>
                <w:sz w:val="1"/>
                <w:szCs w:val="1"/>
                <w:color w:val="auto"/>
              </w:rPr>
            </w:pPr>
          </w:p>
        </w:tc>
      </w:tr>
      <w:tr>
        <w:trPr>
          <w:trHeight w:val="175"/>
        </w:trPr>
        <w:tc>
          <w:tcPr>
            <w:tcW w:w="3100" w:type="dxa"/>
            <w:vAlign w:val="bottom"/>
          </w:tcPr>
          <w:p>
            <w:pPr>
              <w:ind w:left="380"/>
              <w:spacing w:after="0"/>
              <w:rPr>
                <w:sz w:val="20"/>
                <w:szCs w:val="20"/>
                <w:color w:val="auto"/>
              </w:rPr>
            </w:pPr>
            <w:r>
              <w:rPr>
                <w:rFonts w:ascii="Courier New" w:cs="Courier New" w:eastAsia="Courier New" w:hAnsi="Courier New"/>
                <w:sz w:val="15"/>
                <w:szCs w:val="15"/>
                <w:color w:val="auto"/>
              </w:rPr>
              <w:t>issued 1,300,000 shares</w:t>
            </w:r>
          </w:p>
        </w:tc>
        <w:tc>
          <w:tcPr>
            <w:tcW w:w="24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200"/>
              <w:spacing w:after="0"/>
              <w:rPr>
                <w:sz w:val="20"/>
                <w:szCs w:val="20"/>
                <w:color w:val="auto"/>
              </w:rPr>
            </w:pPr>
            <w:r>
              <w:rPr>
                <w:rFonts w:ascii="Courier New" w:cs="Courier New" w:eastAsia="Courier New" w:hAnsi="Courier New"/>
                <w:sz w:val="15"/>
                <w:szCs w:val="15"/>
                <w:color w:val="auto"/>
              </w:rPr>
              <w:t>Undivided profits</w:t>
            </w:r>
          </w:p>
        </w:tc>
        <w:tc>
          <w:tcPr>
            <w:tcW w:w="240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41,002</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35,165</w:t>
            </w:r>
          </w:p>
        </w:tc>
        <w:tc>
          <w:tcPr>
            <w:tcW w:w="0" w:type="dxa"/>
            <w:vAlign w:val="bottom"/>
          </w:tcPr>
          <w:p>
            <w:pPr>
              <w:spacing w:after="0"/>
              <w:rPr>
                <w:sz w:val="1"/>
                <w:szCs w:val="1"/>
                <w:color w:val="auto"/>
              </w:rPr>
            </w:pPr>
          </w:p>
        </w:tc>
      </w:tr>
      <w:tr>
        <w:trPr>
          <w:trHeight w:val="175"/>
        </w:trPr>
        <w:tc>
          <w:tcPr>
            <w:tcW w:w="3100" w:type="dxa"/>
            <w:vAlign w:val="bottom"/>
          </w:tcPr>
          <w:p>
            <w:pPr>
              <w:ind w:left="200"/>
              <w:spacing w:after="0"/>
              <w:rPr>
                <w:sz w:val="20"/>
                <w:szCs w:val="20"/>
                <w:color w:val="auto"/>
              </w:rPr>
            </w:pPr>
            <w:r>
              <w:rPr>
                <w:rFonts w:ascii="Courier New" w:cs="Courier New" w:eastAsia="Courier New" w:hAnsi="Courier New"/>
                <w:sz w:val="15"/>
                <w:szCs w:val="15"/>
                <w:color w:val="auto"/>
              </w:rPr>
              <w:t>Unrealized gain on securities</w:t>
            </w:r>
          </w:p>
        </w:tc>
        <w:tc>
          <w:tcPr>
            <w:tcW w:w="2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380"/>
              <w:spacing w:after="0"/>
              <w:rPr>
                <w:sz w:val="20"/>
                <w:szCs w:val="20"/>
                <w:color w:val="auto"/>
              </w:rPr>
            </w:pPr>
            <w:r>
              <w:rPr>
                <w:rFonts w:ascii="Courier New" w:cs="Courier New" w:eastAsia="Courier New" w:hAnsi="Courier New"/>
                <w:sz w:val="15"/>
                <w:szCs w:val="15"/>
                <w:color w:val="auto"/>
              </w:rPr>
              <w:t>classified as Available for</w:t>
            </w:r>
          </w:p>
        </w:tc>
        <w:tc>
          <w:tcPr>
            <w:tcW w:w="2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380"/>
              <w:spacing w:after="0"/>
              <w:rPr>
                <w:sz w:val="20"/>
                <w:szCs w:val="20"/>
                <w:color w:val="auto"/>
              </w:rPr>
            </w:pPr>
            <w:r>
              <w:rPr>
                <w:rFonts w:ascii="Courier New" w:cs="Courier New" w:eastAsia="Courier New" w:hAnsi="Courier New"/>
                <w:sz w:val="15"/>
                <w:szCs w:val="15"/>
                <w:color w:val="auto"/>
              </w:rPr>
              <w:t>Sale (net of tax effect of</w:t>
            </w:r>
          </w:p>
        </w:tc>
        <w:tc>
          <w:tcPr>
            <w:tcW w:w="2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380"/>
              <w:spacing w:after="0"/>
              <w:rPr>
                <w:sz w:val="20"/>
                <w:szCs w:val="20"/>
                <w:color w:val="auto"/>
              </w:rPr>
            </w:pPr>
            <w:r>
              <w:rPr>
                <w:rFonts w:ascii="Courier New" w:cs="Courier New" w:eastAsia="Courier New" w:hAnsi="Courier New"/>
                <w:sz w:val="15"/>
                <w:szCs w:val="15"/>
                <w:color w:val="auto"/>
              </w:rPr>
              <w:t>$862 for 1998 and $515 for</w:t>
            </w:r>
          </w:p>
        </w:tc>
        <w:tc>
          <w:tcPr>
            <w:tcW w:w="2400" w:type="dxa"/>
            <w:vAlign w:val="bottom"/>
          </w:tcPr>
          <w:p>
            <w:pPr>
              <w:spacing w:after="0"/>
              <w:rPr>
                <w:sz w:val="15"/>
                <w:szCs w:val="15"/>
                <w:color w:val="auto"/>
              </w:rPr>
            </w:pPr>
          </w:p>
        </w:tc>
        <w:tc>
          <w:tcPr>
            <w:tcW w:w="11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1,671</w:t>
            </w:r>
          </w:p>
        </w:tc>
        <w:tc>
          <w:tcPr>
            <w:tcW w:w="5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1,002</w:t>
            </w:r>
          </w:p>
        </w:tc>
        <w:tc>
          <w:tcPr>
            <w:tcW w:w="0" w:type="dxa"/>
            <w:vAlign w:val="bottom"/>
          </w:tcPr>
          <w:p>
            <w:pPr>
              <w:spacing w:after="0"/>
              <w:rPr>
                <w:sz w:val="1"/>
                <w:szCs w:val="1"/>
                <w:color w:val="auto"/>
              </w:rPr>
            </w:pPr>
          </w:p>
        </w:tc>
      </w:tr>
      <w:tr>
        <w:trPr>
          <w:trHeight w:val="175"/>
        </w:trPr>
        <w:tc>
          <w:tcPr>
            <w:tcW w:w="3100" w:type="dxa"/>
            <w:vAlign w:val="bottom"/>
          </w:tcPr>
          <w:p>
            <w:pPr>
              <w:ind w:left="380"/>
              <w:spacing w:after="0"/>
              <w:rPr>
                <w:sz w:val="20"/>
                <w:szCs w:val="20"/>
                <w:color w:val="auto"/>
              </w:rPr>
            </w:pPr>
            <w:r>
              <w:rPr>
                <w:rFonts w:ascii="Courier New" w:cs="Courier New" w:eastAsia="Courier New" w:hAnsi="Courier New"/>
                <w:sz w:val="15"/>
                <w:szCs w:val="15"/>
                <w:color w:val="auto"/>
              </w:rPr>
              <w:t>1997)</w:t>
            </w:r>
          </w:p>
        </w:tc>
        <w:tc>
          <w:tcPr>
            <w:tcW w:w="24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00" w:type="dxa"/>
            <w:vAlign w:val="bottom"/>
          </w:tcPr>
          <w:p>
            <w:pPr>
              <w:spacing w:after="0"/>
              <w:rPr>
                <w:sz w:val="22"/>
                <w:szCs w:val="22"/>
                <w:color w:val="auto"/>
              </w:rPr>
            </w:pPr>
          </w:p>
        </w:tc>
        <w:tc>
          <w:tcPr>
            <w:tcW w:w="3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1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55,350</w:t>
            </w: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48,844</w:t>
            </w:r>
          </w:p>
        </w:tc>
        <w:tc>
          <w:tcPr>
            <w:tcW w:w="0" w:type="dxa"/>
            <w:vAlign w:val="bottom"/>
          </w:tcPr>
          <w:p>
            <w:pPr>
              <w:spacing w:after="0"/>
              <w:rPr>
                <w:sz w:val="1"/>
                <w:szCs w:val="1"/>
                <w:color w:val="auto"/>
              </w:rPr>
            </w:pPr>
          </w:p>
        </w:tc>
      </w:tr>
      <w:tr>
        <w:trPr>
          <w:trHeight w:val="256"/>
        </w:trPr>
        <w:tc>
          <w:tcPr>
            <w:tcW w:w="3100" w:type="dxa"/>
            <w:vAlign w:val="bottom"/>
          </w:tcPr>
          <w:p>
            <w:pPr>
              <w:spacing w:after="0"/>
              <w:rPr>
                <w:sz w:val="22"/>
                <w:szCs w:val="22"/>
                <w:color w:val="auto"/>
              </w:rPr>
            </w:pPr>
          </w:p>
        </w:tc>
        <w:tc>
          <w:tcPr>
            <w:tcW w:w="3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1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w:t>
            </w:r>
          </w:p>
        </w:tc>
        <w:tc>
          <w:tcPr>
            <w:tcW w:w="24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56,354</w:t>
            </w:r>
          </w:p>
        </w:tc>
        <w:tc>
          <w:tcPr>
            <w:tcW w:w="5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49,673</w:t>
            </w:r>
          </w:p>
        </w:tc>
        <w:tc>
          <w:tcPr>
            <w:tcW w:w="0" w:type="dxa"/>
            <w:vAlign w:val="bottom"/>
          </w:tcPr>
          <w:p>
            <w:pPr>
              <w:spacing w:after="0"/>
              <w:rPr>
                <w:sz w:val="1"/>
                <w:szCs w:val="1"/>
                <w:color w:val="auto"/>
              </w:rPr>
            </w:pPr>
          </w:p>
        </w:tc>
      </w:tr>
      <w:tr>
        <w:trPr>
          <w:trHeight w:val="175"/>
        </w:trPr>
        <w:tc>
          <w:tcPr>
            <w:tcW w:w="3100" w:type="dxa"/>
            <w:vAlign w:val="bottom"/>
          </w:tcPr>
          <w:p>
            <w:pPr>
              <w:ind w:left="200"/>
              <w:spacing w:after="0"/>
              <w:rPr>
                <w:sz w:val="20"/>
                <w:szCs w:val="20"/>
                <w:color w:val="auto"/>
              </w:rPr>
            </w:pPr>
            <w:r>
              <w:rPr>
                <w:rFonts w:ascii="Courier New" w:cs="Courier New" w:eastAsia="Courier New" w:hAnsi="Courier New"/>
                <w:sz w:val="15"/>
                <w:szCs w:val="15"/>
                <w:color w:val="auto"/>
              </w:rPr>
              <w:t>EQUITY</w:t>
            </w:r>
          </w:p>
        </w:tc>
        <w:tc>
          <w:tcPr>
            <w:tcW w:w="2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00" w:type="dxa"/>
            <w:vAlign w:val="bottom"/>
          </w:tcPr>
          <w:p>
            <w:pPr>
              <w:spacing w:after="0"/>
              <w:rPr>
                <w:sz w:val="22"/>
                <w:szCs w:val="22"/>
                <w:color w:val="auto"/>
              </w:rPr>
            </w:pPr>
          </w:p>
        </w:tc>
        <w:tc>
          <w:tcPr>
            <w:tcW w:w="3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65"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53</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0"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5"/>
          <w:szCs w:val="15"/>
          <w:color w:val="auto"/>
        </w:rPr>
        <w:t>FARMERS &amp; MERCHANTS BANCORP, INC. (PARENT COMPANY ONLY)</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FINANCIAL INFORMATION (Continued)</w:t>
      </w:r>
    </w:p>
    <w:p>
      <w:pPr>
        <w:spacing w:after="0" w:line="152" w:lineRule="exact"/>
        <w:rPr>
          <w:sz w:val="20"/>
          <w:szCs w:val="20"/>
          <w:color w:val="auto"/>
        </w:rPr>
      </w:pPr>
    </w:p>
    <w:tbl>
      <w:tblPr>
        <w:tblLayout w:type="fixed"/>
        <w:tblInd w:w="1620" w:type="dxa"/>
        <w:tblCellMar>
          <w:top w:w="0" w:type="dxa"/>
          <w:left w:w="0" w:type="dxa"/>
          <w:bottom w:w="0" w:type="dxa"/>
          <w:right w:w="0" w:type="dxa"/>
        </w:tblCellMar>
      </w:tblPr>
      <w:tr>
        <w:trPr>
          <w:trHeight w:val="256"/>
        </w:trPr>
        <w:tc>
          <w:tcPr>
            <w:tcW w:w="5180" w:type="dxa"/>
            <w:vAlign w:val="bottom"/>
            <w:gridSpan w:val="2"/>
          </w:tcPr>
          <w:p>
            <w:pPr>
              <w:ind w:left="3000"/>
              <w:spacing w:after="0"/>
              <w:rPr>
                <w:sz w:val="20"/>
                <w:szCs w:val="20"/>
                <w:color w:val="auto"/>
              </w:rPr>
            </w:pPr>
            <w:r>
              <w:rPr>
                <w:rFonts w:ascii="Courier New" w:cs="Courier New" w:eastAsia="Courier New" w:hAnsi="Courier New"/>
                <w:sz w:val="15"/>
                <w:szCs w:val="15"/>
                <w:color w:val="auto"/>
              </w:rPr>
              <w:t>STATEMENTS OF INCOME</w:t>
            </w: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1998</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24"/>
                <w:szCs w:val="24"/>
                <w:color w:val="auto"/>
              </w:rPr>
            </w:pP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1180" w:type="dxa"/>
            <w:vAlign w:val="bottom"/>
            <w:vMerge w:val="restart"/>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7"/>
              </w:rPr>
              <w:t>7,313</w:t>
            </w:r>
          </w:p>
        </w:tc>
        <w:tc>
          <w:tcPr>
            <w:tcW w:w="3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6,406</w:t>
            </w:r>
          </w:p>
        </w:tc>
        <w:tc>
          <w:tcPr>
            <w:tcW w:w="4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5,510</w:t>
            </w:r>
          </w:p>
        </w:tc>
        <w:tc>
          <w:tcPr>
            <w:tcW w:w="0" w:type="dxa"/>
            <w:vAlign w:val="bottom"/>
          </w:tcPr>
          <w:p>
            <w:pPr>
              <w:spacing w:after="0"/>
              <w:rPr>
                <w:sz w:val="1"/>
                <w:szCs w:val="1"/>
                <w:color w:val="auto"/>
              </w:rPr>
            </w:pPr>
          </w:p>
        </w:tc>
      </w:tr>
      <w:tr>
        <w:trPr>
          <w:trHeight w:val="175"/>
        </w:trPr>
        <w:tc>
          <w:tcPr>
            <w:tcW w:w="4000" w:type="dxa"/>
            <w:vAlign w:val="bottom"/>
          </w:tcPr>
          <w:p>
            <w:pPr>
              <w:ind w:left="380"/>
              <w:spacing w:after="0"/>
              <w:rPr>
                <w:sz w:val="20"/>
                <w:szCs w:val="20"/>
                <w:color w:val="auto"/>
              </w:rPr>
            </w:pPr>
            <w:r>
              <w:rPr>
                <w:rFonts w:ascii="Courier New" w:cs="Courier New" w:eastAsia="Courier New" w:hAnsi="Courier New"/>
                <w:sz w:val="15"/>
                <w:szCs w:val="15"/>
                <w:color w:val="auto"/>
              </w:rPr>
              <w:t>Equity in net income of subsidiaries</w:t>
            </w:r>
          </w:p>
        </w:tc>
        <w:tc>
          <w:tcPr>
            <w:tcW w:w="11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380"/>
              <w:spacing w:after="0"/>
              <w:rPr>
                <w:sz w:val="20"/>
                <w:szCs w:val="20"/>
                <w:color w:val="auto"/>
              </w:rPr>
            </w:pPr>
            <w:r>
              <w:rPr>
                <w:rFonts w:ascii="Courier New" w:cs="Courier New" w:eastAsia="Courier New" w:hAnsi="Courier New"/>
                <w:sz w:val="15"/>
                <w:szCs w:val="15"/>
                <w:color w:val="auto"/>
              </w:rPr>
              <w:t>Interest income</w:t>
            </w:r>
          </w:p>
        </w:tc>
        <w:tc>
          <w:tcPr>
            <w:tcW w:w="1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600</w:t>
            </w:r>
          </w:p>
        </w:tc>
        <w:tc>
          <w:tcPr>
            <w:tcW w:w="36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600</w:t>
            </w:r>
          </w:p>
        </w:tc>
        <w:tc>
          <w:tcPr>
            <w:tcW w:w="40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00" w:type="dxa"/>
            <w:vAlign w:val="bottom"/>
          </w:tcPr>
          <w:p>
            <w:pPr>
              <w:ind w:left="640"/>
              <w:spacing w:after="0"/>
              <w:rPr>
                <w:sz w:val="20"/>
                <w:szCs w:val="20"/>
                <w:color w:val="auto"/>
              </w:rPr>
            </w:pPr>
            <w:r>
              <w:rPr>
                <w:rFonts w:ascii="Courier New" w:cs="Courier New" w:eastAsia="Courier New" w:hAnsi="Courier New"/>
                <w:sz w:val="15"/>
                <w:szCs w:val="15"/>
                <w:color w:val="auto"/>
              </w:rPr>
              <w:t>Total Income</w:t>
            </w:r>
          </w:p>
        </w:tc>
        <w:tc>
          <w:tcPr>
            <w:tcW w:w="1180" w:type="dxa"/>
            <w:vAlign w:val="bottom"/>
          </w:tcPr>
          <w:p>
            <w:pPr>
              <w:spacing w:after="0"/>
              <w:rPr>
                <w:sz w:val="23"/>
                <w:szCs w:val="23"/>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7,913</w:t>
            </w:r>
          </w:p>
        </w:tc>
        <w:tc>
          <w:tcPr>
            <w:tcW w:w="360" w:type="dxa"/>
            <w:vAlign w:val="bottom"/>
          </w:tcPr>
          <w:p>
            <w:pPr>
              <w:spacing w:after="0"/>
              <w:rPr>
                <w:sz w:val="23"/>
                <w:szCs w:val="23"/>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7,006</w:t>
            </w:r>
          </w:p>
        </w:tc>
        <w:tc>
          <w:tcPr>
            <w:tcW w:w="400" w:type="dxa"/>
            <w:vAlign w:val="bottom"/>
          </w:tcPr>
          <w:p>
            <w:pPr>
              <w:spacing w:after="0"/>
              <w:rPr>
                <w:sz w:val="23"/>
                <w:szCs w:val="23"/>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5,510</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180" w:type="dxa"/>
            <w:vAlign w:val="bottom"/>
          </w:tcPr>
          <w:p>
            <w:pPr>
              <w:spacing w:after="0"/>
              <w:rPr>
                <w:sz w:val="23"/>
                <w:szCs w:val="23"/>
                <w:color w:val="auto"/>
              </w:rPr>
            </w:pP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19</w:t>
            </w:r>
          </w:p>
        </w:tc>
        <w:tc>
          <w:tcPr>
            <w:tcW w:w="360" w:type="dxa"/>
            <w:vAlign w:val="bottom"/>
          </w:tcPr>
          <w:p>
            <w:pPr>
              <w:spacing w:after="0"/>
              <w:rPr>
                <w:sz w:val="23"/>
                <w:szCs w:val="23"/>
                <w:color w:val="auto"/>
              </w:rPr>
            </w:pPr>
          </w:p>
        </w:tc>
        <w:tc>
          <w:tcPr>
            <w:tcW w:w="12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16</w:t>
            </w:r>
          </w:p>
        </w:tc>
        <w:tc>
          <w:tcPr>
            <w:tcW w:w="400" w:type="dxa"/>
            <w:vAlign w:val="bottom"/>
          </w:tcPr>
          <w:p>
            <w:pPr>
              <w:spacing w:after="0"/>
              <w:rPr>
                <w:sz w:val="23"/>
                <w:szCs w:val="23"/>
                <w:color w:val="auto"/>
              </w:rPr>
            </w:pP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75"/>
        </w:trPr>
        <w:tc>
          <w:tcPr>
            <w:tcW w:w="4000" w:type="dxa"/>
            <w:vAlign w:val="bottom"/>
          </w:tcPr>
          <w:p>
            <w:pPr>
              <w:ind w:left="380"/>
              <w:spacing w:after="0"/>
              <w:rPr>
                <w:sz w:val="20"/>
                <w:szCs w:val="20"/>
                <w:color w:val="auto"/>
              </w:rPr>
            </w:pPr>
            <w:r>
              <w:rPr>
                <w:rFonts w:ascii="Courier New" w:cs="Courier New" w:eastAsia="Courier New" w:hAnsi="Courier New"/>
                <w:sz w:val="15"/>
                <w:szCs w:val="15"/>
                <w:color w:val="auto"/>
              </w:rPr>
              <w:t>Miscellaneous</w:t>
            </w:r>
          </w:p>
        </w:tc>
        <w:tc>
          <w:tcPr>
            <w:tcW w:w="1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380"/>
              <w:spacing w:after="0"/>
              <w:rPr>
                <w:sz w:val="20"/>
                <w:szCs w:val="20"/>
                <w:color w:val="auto"/>
              </w:rPr>
            </w:pPr>
            <w:r>
              <w:rPr>
                <w:rFonts w:ascii="Courier New" w:cs="Courier New" w:eastAsia="Courier New" w:hAnsi="Courier New"/>
                <w:sz w:val="15"/>
                <w:szCs w:val="15"/>
                <w:color w:val="auto"/>
              </w:rPr>
              <w:t>Professional fees</w:t>
            </w:r>
          </w:p>
        </w:tc>
        <w:tc>
          <w:tcPr>
            <w:tcW w:w="1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w:t>
            </w:r>
          </w:p>
        </w:tc>
        <w:tc>
          <w:tcPr>
            <w:tcW w:w="36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15</w:t>
            </w:r>
          </w:p>
        </w:tc>
        <w:tc>
          <w:tcPr>
            <w:tcW w:w="40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5"/>
        </w:trPr>
        <w:tc>
          <w:tcPr>
            <w:tcW w:w="4000" w:type="dxa"/>
            <w:vAlign w:val="bottom"/>
          </w:tcPr>
          <w:p>
            <w:pPr>
              <w:ind w:left="380"/>
              <w:spacing w:after="0"/>
              <w:rPr>
                <w:sz w:val="20"/>
                <w:szCs w:val="20"/>
                <w:color w:val="auto"/>
              </w:rPr>
            </w:pPr>
            <w:r>
              <w:rPr>
                <w:rFonts w:ascii="Courier New" w:cs="Courier New" w:eastAsia="Courier New" w:hAnsi="Courier New"/>
                <w:sz w:val="15"/>
                <w:szCs w:val="15"/>
                <w:color w:val="auto"/>
              </w:rPr>
              <w:t>Supplies</w:t>
            </w:r>
          </w:p>
        </w:tc>
        <w:tc>
          <w:tcPr>
            <w:tcW w:w="1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c>
          <w:tcPr>
            <w:tcW w:w="36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w:t>
            </w:r>
          </w:p>
        </w:tc>
        <w:tc>
          <w:tcPr>
            <w:tcW w:w="40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5"/>
        </w:trPr>
        <w:tc>
          <w:tcPr>
            <w:tcW w:w="4000" w:type="dxa"/>
            <w:vAlign w:val="bottom"/>
          </w:tcPr>
          <w:p>
            <w:pPr>
              <w:ind w:left="380"/>
              <w:spacing w:after="0"/>
              <w:rPr>
                <w:sz w:val="20"/>
                <w:szCs w:val="20"/>
                <w:color w:val="auto"/>
              </w:rPr>
            </w:pPr>
            <w:r>
              <w:rPr>
                <w:rFonts w:ascii="Courier New" w:cs="Courier New" w:eastAsia="Courier New" w:hAnsi="Courier New"/>
                <w:sz w:val="15"/>
                <w:szCs w:val="15"/>
                <w:color w:val="auto"/>
              </w:rPr>
              <w:t>Taxes</w:t>
            </w:r>
          </w:p>
        </w:tc>
        <w:tc>
          <w:tcPr>
            <w:tcW w:w="1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w:t>
            </w:r>
          </w:p>
        </w:tc>
        <w:tc>
          <w:tcPr>
            <w:tcW w:w="36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00" w:type="dxa"/>
            <w:vAlign w:val="bottom"/>
          </w:tcPr>
          <w:p>
            <w:pPr>
              <w:ind w:left="640"/>
              <w:spacing w:after="0"/>
              <w:rPr>
                <w:sz w:val="20"/>
                <w:szCs w:val="20"/>
                <w:color w:val="auto"/>
              </w:rPr>
            </w:pPr>
            <w:r>
              <w:rPr>
                <w:rFonts w:ascii="Courier New" w:cs="Courier New" w:eastAsia="Courier New" w:hAnsi="Courier New"/>
                <w:sz w:val="15"/>
                <w:szCs w:val="15"/>
                <w:color w:val="auto"/>
              </w:rPr>
              <w:t>Total Expenses</w:t>
            </w:r>
          </w:p>
        </w:tc>
        <w:tc>
          <w:tcPr>
            <w:tcW w:w="1180" w:type="dxa"/>
            <w:vAlign w:val="bottom"/>
          </w:tcPr>
          <w:p>
            <w:pPr>
              <w:spacing w:after="0"/>
              <w:rPr>
                <w:sz w:val="23"/>
                <w:szCs w:val="23"/>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360" w:type="dxa"/>
            <w:vAlign w:val="bottom"/>
          </w:tcPr>
          <w:p>
            <w:pPr>
              <w:spacing w:after="0"/>
              <w:rPr>
                <w:sz w:val="23"/>
                <w:szCs w:val="23"/>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38</w:t>
            </w:r>
          </w:p>
        </w:tc>
        <w:tc>
          <w:tcPr>
            <w:tcW w:w="400" w:type="dxa"/>
            <w:vAlign w:val="bottom"/>
          </w:tcPr>
          <w:p>
            <w:pPr>
              <w:spacing w:after="0"/>
              <w:rPr>
                <w:sz w:val="23"/>
                <w:szCs w:val="23"/>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180" w:type="dxa"/>
            <w:vAlign w:val="bottom"/>
          </w:tcPr>
          <w:p>
            <w:pPr>
              <w:spacing w:after="0"/>
              <w:rPr>
                <w:sz w:val="24"/>
                <w:szCs w:val="24"/>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7,833</w:t>
            </w:r>
          </w:p>
        </w:tc>
        <w:tc>
          <w:tcPr>
            <w:tcW w:w="360" w:type="dxa"/>
            <w:vAlign w:val="bottom"/>
          </w:tcPr>
          <w:p>
            <w:pPr>
              <w:spacing w:after="0"/>
              <w:rPr>
                <w:sz w:val="24"/>
                <w:szCs w:val="24"/>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6,968</w:t>
            </w:r>
          </w:p>
        </w:tc>
        <w:tc>
          <w:tcPr>
            <w:tcW w:w="400" w:type="dxa"/>
            <w:vAlign w:val="bottom"/>
          </w:tcPr>
          <w:p>
            <w:pPr>
              <w:spacing w:after="0"/>
              <w:rPr>
                <w:sz w:val="24"/>
                <w:szCs w:val="24"/>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5,469</w:t>
            </w:r>
          </w:p>
        </w:tc>
        <w:tc>
          <w:tcPr>
            <w:tcW w:w="0" w:type="dxa"/>
            <w:vAlign w:val="bottom"/>
          </w:tcPr>
          <w:p>
            <w:pPr>
              <w:spacing w:after="0"/>
              <w:rPr>
                <w:sz w:val="1"/>
                <w:szCs w:val="1"/>
                <w:color w:val="auto"/>
              </w:rPr>
            </w:pPr>
          </w:p>
        </w:tc>
      </w:tr>
      <w:tr>
        <w:trPr>
          <w:trHeight w:val="268"/>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INCOME TAXES (BENEFITS)</w:t>
            </w:r>
          </w:p>
        </w:tc>
        <w:tc>
          <w:tcPr>
            <w:tcW w:w="1180" w:type="dxa"/>
            <w:vAlign w:val="bottom"/>
          </w:tcPr>
          <w:p>
            <w:pPr>
              <w:spacing w:after="0"/>
              <w:rPr>
                <w:sz w:val="23"/>
                <w:szCs w:val="23"/>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176</w:t>
            </w:r>
          </w:p>
        </w:tc>
        <w:tc>
          <w:tcPr>
            <w:tcW w:w="360" w:type="dxa"/>
            <w:vAlign w:val="bottom"/>
          </w:tcPr>
          <w:p>
            <w:pPr>
              <w:spacing w:after="0"/>
              <w:rPr>
                <w:sz w:val="23"/>
                <w:szCs w:val="23"/>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191</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7,657</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6,777</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5,483</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540"/>
          </w:cols>
          <w:pgMar w:left="240" w:top="265" w:right="1119"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54</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0"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5"/>
          <w:szCs w:val="15"/>
          <w:color w:val="auto"/>
        </w:rPr>
        <w:t>FARMERS &amp; MERCHANTS BANCORP, INC. (PARENT COMPANY ONLY)</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FINANCIAL INFORMATION (Continued)</w:t>
      </w:r>
    </w:p>
    <w:p>
      <w:pPr>
        <w:spacing w:after="0" w:line="152"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STATEMENTS OF CHANGES IN SHAREHOLDERS' EQUITY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3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Accumulated</w:t>
            </w: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1400" w:type="dxa"/>
            <w:vAlign w:val="bottom"/>
            <w:gridSpan w:val="2"/>
            <w:vMerge w:val="restart"/>
          </w:tcPr>
          <w:p>
            <w:pPr>
              <w:ind w:left="300"/>
              <w:spacing w:after="0"/>
              <w:rPr>
                <w:sz w:val="20"/>
                <w:szCs w:val="20"/>
                <w:color w:val="auto"/>
              </w:rPr>
            </w:pPr>
            <w:r>
              <w:rPr>
                <w:rFonts w:ascii="Courier New" w:cs="Courier New" w:eastAsia="Courier New" w:hAnsi="Courier New"/>
                <w:sz w:val="15"/>
                <w:szCs w:val="15"/>
                <w:color w:val="auto"/>
              </w:rPr>
              <w:t>Common</w:t>
            </w:r>
          </w:p>
        </w:tc>
        <w:tc>
          <w:tcPr>
            <w:tcW w:w="146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Undivided</w:t>
            </w:r>
          </w:p>
        </w:tc>
        <w:tc>
          <w:tcPr>
            <w:tcW w:w="500" w:type="dxa"/>
            <w:vAlign w:val="bottom"/>
          </w:tcPr>
          <w:p>
            <w:pPr>
              <w:spacing w:after="0"/>
              <w:rPr>
                <w:sz w:val="15"/>
                <w:szCs w:val="15"/>
                <w:color w:val="auto"/>
              </w:rPr>
            </w:pPr>
          </w:p>
        </w:tc>
        <w:tc>
          <w:tcPr>
            <w:tcW w:w="1040" w:type="dxa"/>
            <w:vAlign w:val="bottom"/>
          </w:tcPr>
          <w:p>
            <w:pPr>
              <w:jc w:val="center"/>
              <w:ind w:right="424"/>
              <w:spacing w:after="0"/>
              <w:rPr>
                <w:sz w:val="20"/>
                <w:szCs w:val="20"/>
                <w:color w:val="auto"/>
              </w:rPr>
            </w:pPr>
            <w:r>
              <w:rPr>
                <w:rFonts w:ascii="Courier New" w:cs="Courier New" w:eastAsia="Courier New" w:hAnsi="Courier New"/>
                <w:sz w:val="15"/>
                <w:szCs w:val="15"/>
                <w:color w:val="auto"/>
              </w:rPr>
              <w:t>Other</w:t>
            </w:r>
          </w:p>
        </w:tc>
        <w:tc>
          <w:tcPr>
            <w:tcW w:w="0" w:type="dxa"/>
            <w:vAlign w:val="bottom"/>
          </w:tcPr>
          <w:p>
            <w:pPr>
              <w:spacing w:after="0"/>
              <w:rPr>
                <w:sz w:val="1"/>
                <w:szCs w:val="1"/>
                <w:color w:val="auto"/>
              </w:rPr>
            </w:pPr>
          </w:p>
        </w:tc>
      </w:tr>
      <w:tr>
        <w:trPr>
          <w:trHeight w:val="175"/>
        </w:trPr>
        <w:tc>
          <w:tcPr>
            <w:tcW w:w="388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140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Comprehensive</w:t>
            </w:r>
          </w:p>
        </w:tc>
        <w:tc>
          <w:tcPr>
            <w:tcW w:w="0" w:type="dxa"/>
            <w:vAlign w:val="bottom"/>
          </w:tcPr>
          <w:p>
            <w:pPr>
              <w:spacing w:after="0"/>
              <w:rPr>
                <w:sz w:val="1"/>
                <w:szCs w:val="1"/>
                <w:color w:val="auto"/>
              </w:rPr>
            </w:pPr>
          </w:p>
        </w:tc>
      </w:tr>
      <w:tr>
        <w:trPr>
          <w:trHeight w:val="175"/>
        </w:trPr>
        <w:tc>
          <w:tcPr>
            <w:tcW w:w="38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Stock</w:t>
            </w:r>
          </w:p>
        </w:tc>
        <w:tc>
          <w:tcPr>
            <w:tcW w:w="320" w:type="dxa"/>
            <w:vAlign w:val="bottom"/>
          </w:tcPr>
          <w:p>
            <w:pPr>
              <w:spacing w:after="0"/>
              <w:rPr>
                <w:sz w:val="15"/>
                <w:szCs w:val="15"/>
                <w:color w:val="auto"/>
              </w:rPr>
            </w:pP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Profits</w:t>
            </w:r>
          </w:p>
        </w:tc>
        <w:tc>
          <w:tcPr>
            <w:tcW w:w="500" w:type="dxa"/>
            <w:vAlign w:val="bottom"/>
          </w:tcPr>
          <w:p>
            <w:pPr>
              <w:spacing w:after="0"/>
              <w:rPr>
                <w:sz w:val="15"/>
                <w:szCs w:val="15"/>
                <w:color w:val="auto"/>
              </w:rPr>
            </w:pPr>
          </w:p>
        </w:tc>
        <w:tc>
          <w:tcPr>
            <w:tcW w:w="1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Income</w:t>
            </w:r>
          </w:p>
        </w:tc>
        <w:tc>
          <w:tcPr>
            <w:tcW w:w="0" w:type="dxa"/>
            <w:vAlign w:val="bottom"/>
          </w:tcPr>
          <w:p>
            <w:pPr>
              <w:spacing w:after="0"/>
              <w:rPr>
                <w:sz w:val="1"/>
                <w:szCs w:val="1"/>
                <w:color w:val="auto"/>
              </w:rPr>
            </w:pPr>
          </w:p>
        </w:tc>
      </w:tr>
      <w:tr>
        <w:trPr>
          <w:trHeight w:val="256"/>
        </w:trPr>
        <w:tc>
          <w:tcPr>
            <w:tcW w:w="38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880" w:type="dxa"/>
            <w:vAlign w:val="bottom"/>
          </w:tcPr>
          <w:p>
            <w:pPr>
              <w:spacing w:after="0"/>
              <w:rPr>
                <w:sz w:val="20"/>
                <w:szCs w:val="20"/>
                <w:color w:val="auto"/>
              </w:rPr>
            </w:pPr>
            <w:r>
              <w:rPr>
                <w:rFonts w:ascii="Courier New" w:cs="Courier New" w:eastAsia="Courier New" w:hAnsi="Courier New"/>
                <w:sz w:val="15"/>
                <w:szCs w:val="15"/>
                <w:color w:val="auto"/>
              </w:rPr>
              <w:t>BALANCE at December 31, 1995</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12,677</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26,025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919</w:t>
            </w:r>
          </w:p>
        </w:tc>
        <w:tc>
          <w:tcPr>
            <w:tcW w:w="0" w:type="dxa"/>
            <w:vAlign w:val="bottom"/>
          </w:tcPr>
          <w:p>
            <w:pPr>
              <w:spacing w:after="0"/>
              <w:rPr>
                <w:sz w:val="1"/>
                <w:szCs w:val="1"/>
                <w:color w:val="auto"/>
              </w:rPr>
            </w:pPr>
          </w:p>
        </w:tc>
      </w:tr>
      <w:tr>
        <w:trPr>
          <w:trHeight w:val="175"/>
        </w:trPr>
        <w:tc>
          <w:tcPr>
            <w:tcW w:w="3880" w:type="dxa"/>
            <w:vAlign w:val="bottom"/>
          </w:tcPr>
          <w:p>
            <w:pPr>
              <w:ind w:left="380"/>
              <w:spacing w:after="0"/>
              <w:rPr>
                <w:sz w:val="20"/>
                <w:szCs w:val="20"/>
                <w:color w:val="auto"/>
              </w:rPr>
            </w:pPr>
            <w:r>
              <w:rPr>
                <w:rFonts w:ascii="Courier New" w:cs="Courier New" w:eastAsia="Courier New" w:hAnsi="Courier New"/>
                <w:sz w:val="15"/>
                <w:szCs w:val="15"/>
                <w:color w:val="auto"/>
              </w:rPr>
              <w:t>Net income for 1996</w:t>
            </w:r>
          </w:p>
        </w:tc>
        <w:tc>
          <w:tcPr>
            <w:tcW w:w="4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5,483</w:t>
            </w:r>
          </w:p>
        </w:tc>
        <w:tc>
          <w:tcPr>
            <w:tcW w:w="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880" w:type="dxa"/>
            <w:vAlign w:val="bottom"/>
          </w:tcPr>
          <w:p>
            <w:pPr>
              <w:ind w:left="380"/>
              <w:spacing w:after="0"/>
              <w:rPr>
                <w:sz w:val="20"/>
                <w:szCs w:val="20"/>
                <w:color w:val="auto"/>
              </w:rPr>
            </w:pPr>
            <w:r>
              <w:rPr>
                <w:rFonts w:ascii="Courier New" w:cs="Courier New" w:eastAsia="Courier New" w:hAnsi="Courier New"/>
                <w:sz w:val="15"/>
                <w:szCs w:val="15"/>
                <w:color w:val="auto"/>
              </w:rPr>
              <w:t>Unrealized losses on securities</w:t>
            </w: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tcPr>
          <w:p>
            <w:pPr>
              <w:ind w:left="640"/>
              <w:spacing w:after="0"/>
              <w:rPr>
                <w:sz w:val="20"/>
                <w:szCs w:val="20"/>
                <w:color w:val="auto"/>
              </w:rPr>
            </w:pPr>
            <w:r>
              <w:rPr>
                <w:rFonts w:ascii="Courier New" w:cs="Courier New" w:eastAsia="Courier New" w:hAnsi="Courier New"/>
                <w:sz w:val="15"/>
                <w:szCs w:val="15"/>
                <w:color w:val="auto"/>
              </w:rPr>
              <w:t>classified as Available for Sale</w:t>
            </w:r>
          </w:p>
        </w:tc>
        <w:tc>
          <w:tcPr>
            <w:tcW w:w="440" w:type="dxa"/>
            <w:vAlign w:val="bottom"/>
          </w:tcPr>
          <w:p>
            <w:pPr>
              <w:spacing w:after="0"/>
              <w:rPr>
                <w:sz w:val="15"/>
                <w:szCs w:val="15"/>
                <w:color w:val="auto"/>
              </w:rPr>
            </w:pPr>
          </w:p>
        </w:tc>
        <w:tc>
          <w:tcPr>
            <w:tcW w:w="9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5"/>
                <w:szCs w:val="15"/>
                <w:color w:val="auto"/>
              </w:rPr>
            </w:pPr>
          </w:p>
        </w:tc>
        <w:tc>
          <w:tcPr>
            <w:tcW w:w="11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(228)</w:t>
            </w:r>
          </w:p>
        </w:tc>
        <w:tc>
          <w:tcPr>
            <w:tcW w:w="0" w:type="dxa"/>
            <w:vAlign w:val="bottom"/>
          </w:tcPr>
          <w:p>
            <w:pPr>
              <w:spacing w:after="0"/>
              <w:rPr>
                <w:sz w:val="1"/>
                <w:szCs w:val="1"/>
                <w:color w:val="auto"/>
              </w:rPr>
            </w:pPr>
          </w:p>
        </w:tc>
      </w:tr>
      <w:tr>
        <w:trPr>
          <w:trHeight w:val="175"/>
        </w:trPr>
        <w:tc>
          <w:tcPr>
            <w:tcW w:w="3880" w:type="dxa"/>
            <w:vAlign w:val="bottom"/>
          </w:tcPr>
          <w:p>
            <w:pPr>
              <w:ind w:left="640"/>
              <w:spacing w:after="0"/>
              <w:rPr>
                <w:sz w:val="20"/>
                <w:szCs w:val="20"/>
                <w:color w:val="auto"/>
              </w:rPr>
            </w:pPr>
            <w:r>
              <w:rPr>
                <w:rFonts w:ascii="Courier New" w:cs="Courier New" w:eastAsia="Courier New" w:hAnsi="Courier New"/>
                <w:sz w:val="15"/>
                <w:szCs w:val="15"/>
                <w:color w:val="auto"/>
              </w:rPr>
              <w:t>(net of tax effect of ($115))</w:t>
            </w:r>
          </w:p>
        </w:tc>
        <w:tc>
          <w:tcPr>
            <w:tcW w:w="4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tcPr>
          <w:p>
            <w:pPr>
              <w:ind w:left="380"/>
              <w:spacing w:after="0"/>
              <w:rPr>
                <w:sz w:val="20"/>
                <w:szCs w:val="20"/>
                <w:color w:val="auto"/>
              </w:rPr>
            </w:pPr>
            <w:r>
              <w:rPr>
                <w:rFonts w:ascii="Courier New" w:cs="Courier New" w:eastAsia="Courier New" w:hAnsi="Courier New"/>
                <w:sz w:val="15"/>
                <w:szCs w:val="15"/>
                <w:color w:val="auto"/>
              </w:rPr>
              <w:t>Dividends ($1.15 per share)</w:t>
            </w:r>
          </w:p>
        </w:tc>
        <w:tc>
          <w:tcPr>
            <w:tcW w:w="4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(1,495)</w:t>
            </w:r>
          </w:p>
        </w:tc>
        <w:tc>
          <w:tcPr>
            <w:tcW w:w="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56"/>
        </w:trPr>
        <w:tc>
          <w:tcPr>
            <w:tcW w:w="3880" w:type="dxa"/>
            <w:vAlign w:val="bottom"/>
          </w:tcPr>
          <w:p>
            <w:pPr>
              <w:spacing w:after="0"/>
              <w:rPr>
                <w:sz w:val="22"/>
                <w:szCs w:val="22"/>
                <w:color w:val="auto"/>
              </w:rPr>
            </w:pPr>
          </w:p>
        </w:tc>
        <w:tc>
          <w:tcPr>
            <w:tcW w:w="14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880" w:type="dxa"/>
            <w:vAlign w:val="bottom"/>
          </w:tcPr>
          <w:p>
            <w:pPr>
              <w:spacing w:after="0"/>
              <w:rPr>
                <w:sz w:val="20"/>
                <w:szCs w:val="20"/>
                <w:color w:val="auto"/>
              </w:rPr>
            </w:pPr>
            <w:r>
              <w:rPr>
                <w:rFonts w:ascii="Courier New" w:cs="Courier New" w:eastAsia="Courier New" w:hAnsi="Courier New"/>
                <w:sz w:val="15"/>
                <w:szCs w:val="15"/>
                <w:color w:val="auto"/>
              </w:rPr>
              <w:t>BALANCE at December 31, 1996</w:t>
            </w:r>
          </w:p>
        </w:tc>
        <w:tc>
          <w:tcPr>
            <w:tcW w:w="44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12,677</w:t>
            </w:r>
          </w:p>
        </w:tc>
        <w:tc>
          <w:tcPr>
            <w:tcW w:w="320" w:type="dxa"/>
            <w:vAlign w:val="bottom"/>
          </w:tcPr>
          <w:p>
            <w:pPr>
              <w:spacing w:after="0"/>
              <w:rPr>
                <w:sz w:val="23"/>
                <w:szCs w:val="23"/>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30,013</w:t>
            </w:r>
          </w:p>
        </w:tc>
        <w:tc>
          <w:tcPr>
            <w:tcW w:w="50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691</w:t>
            </w:r>
          </w:p>
        </w:tc>
        <w:tc>
          <w:tcPr>
            <w:tcW w:w="0" w:type="dxa"/>
            <w:vAlign w:val="bottom"/>
          </w:tcPr>
          <w:p>
            <w:pPr>
              <w:spacing w:after="0"/>
              <w:rPr>
                <w:sz w:val="1"/>
                <w:szCs w:val="1"/>
                <w:color w:val="auto"/>
              </w:rPr>
            </w:pPr>
          </w:p>
        </w:tc>
      </w:tr>
      <w:tr>
        <w:trPr>
          <w:trHeight w:val="175"/>
        </w:trPr>
        <w:tc>
          <w:tcPr>
            <w:tcW w:w="3880" w:type="dxa"/>
            <w:vAlign w:val="bottom"/>
          </w:tcPr>
          <w:p>
            <w:pPr>
              <w:ind w:left="380"/>
              <w:spacing w:after="0"/>
              <w:rPr>
                <w:sz w:val="20"/>
                <w:szCs w:val="20"/>
                <w:color w:val="auto"/>
              </w:rPr>
            </w:pPr>
            <w:r>
              <w:rPr>
                <w:rFonts w:ascii="Courier New" w:cs="Courier New" w:eastAsia="Courier New" w:hAnsi="Courier New"/>
                <w:sz w:val="15"/>
                <w:szCs w:val="15"/>
                <w:color w:val="auto"/>
              </w:rPr>
              <w:t>Net income for 1997</w:t>
            </w:r>
          </w:p>
        </w:tc>
        <w:tc>
          <w:tcPr>
            <w:tcW w:w="4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6,777</w:t>
            </w:r>
          </w:p>
        </w:tc>
        <w:tc>
          <w:tcPr>
            <w:tcW w:w="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880" w:type="dxa"/>
            <w:vAlign w:val="bottom"/>
          </w:tcPr>
          <w:p>
            <w:pPr>
              <w:ind w:left="380"/>
              <w:spacing w:after="0"/>
              <w:rPr>
                <w:sz w:val="20"/>
                <w:szCs w:val="20"/>
                <w:color w:val="auto"/>
              </w:rPr>
            </w:pPr>
            <w:r>
              <w:rPr>
                <w:rFonts w:ascii="Courier New" w:cs="Courier New" w:eastAsia="Courier New" w:hAnsi="Courier New"/>
                <w:sz w:val="15"/>
                <w:szCs w:val="15"/>
                <w:color w:val="auto"/>
              </w:rPr>
              <w:t>Unrealized gains on securities</w:t>
            </w: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tcPr>
          <w:p>
            <w:pPr>
              <w:ind w:left="640"/>
              <w:spacing w:after="0"/>
              <w:rPr>
                <w:sz w:val="20"/>
                <w:szCs w:val="20"/>
                <w:color w:val="auto"/>
              </w:rPr>
            </w:pPr>
            <w:r>
              <w:rPr>
                <w:rFonts w:ascii="Courier New" w:cs="Courier New" w:eastAsia="Courier New" w:hAnsi="Courier New"/>
                <w:sz w:val="15"/>
                <w:szCs w:val="15"/>
                <w:color w:val="auto"/>
              </w:rPr>
              <w:t>classified as Available for Sale</w:t>
            </w:r>
          </w:p>
        </w:tc>
        <w:tc>
          <w:tcPr>
            <w:tcW w:w="440" w:type="dxa"/>
            <w:vAlign w:val="bottom"/>
          </w:tcPr>
          <w:p>
            <w:pPr>
              <w:spacing w:after="0"/>
              <w:rPr>
                <w:sz w:val="15"/>
                <w:szCs w:val="15"/>
                <w:color w:val="auto"/>
              </w:rPr>
            </w:pPr>
          </w:p>
        </w:tc>
        <w:tc>
          <w:tcPr>
            <w:tcW w:w="9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5"/>
                <w:szCs w:val="15"/>
                <w:color w:val="auto"/>
              </w:rPr>
            </w:pPr>
          </w:p>
        </w:tc>
        <w:tc>
          <w:tcPr>
            <w:tcW w:w="11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spacing w:after="0"/>
              <w:rPr>
                <w:sz w:val="15"/>
                <w:szCs w:val="15"/>
                <w:color w:val="auto"/>
              </w:rPr>
            </w:pPr>
          </w:p>
        </w:tc>
        <w:tc>
          <w:tcPr>
            <w:tcW w:w="10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311</w:t>
            </w:r>
          </w:p>
        </w:tc>
        <w:tc>
          <w:tcPr>
            <w:tcW w:w="0" w:type="dxa"/>
            <w:vAlign w:val="bottom"/>
          </w:tcPr>
          <w:p>
            <w:pPr>
              <w:spacing w:after="0"/>
              <w:rPr>
                <w:sz w:val="1"/>
                <w:szCs w:val="1"/>
                <w:color w:val="auto"/>
              </w:rPr>
            </w:pPr>
          </w:p>
        </w:tc>
      </w:tr>
      <w:tr>
        <w:trPr>
          <w:trHeight w:val="175"/>
        </w:trPr>
        <w:tc>
          <w:tcPr>
            <w:tcW w:w="3880" w:type="dxa"/>
            <w:vAlign w:val="bottom"/>
          </w:tcPr>
          <w:p>
            <w:pPr>
              <w:ind w:left="640"/>
              <w:spacing w:after="0"/>
              <w:rPr>
                <w:sz w:val="20"/>
                <w:szCs w:val="20"/>
                <w:color w:val="auto"/>
              </w:rPr>
            </w:pPr>
            <w:r>
              <w:rPr>
                <w:rFonts w:ascii="Courier New" w:cs="Courier New" w:eastAsia="Courier New" w:hAnsi="Courier New"/>
                <w:sz w:val="15"/>
                <w:szCs w:val="15"/>
                <w:color w:val="auto"/>
              </w:rPr>
              <w:t>(net of tax effect of $153)</w:t>
            </w:r>
          </w:p>
        </w:tc>
        <w:tc>
          <w:tcPr>
            <w:tcW w:w="4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tcPr>
          <w:p>
            <w:pPr>
              <w:ind w:left="380"/>
              <w:spacing w:after="0"/>
              <w:rPr>
                <w:sz w:val="20"/>
                <w:szCs w:val="20"/>
                <w:color w:val="auto"/>
              </w:rPr>
            </w:pPr>
            <w:r>
              <w:rPr>
                <w:rFonts w:ascii="Courier New" w:cs="Courier New" w:eastAsia="Courier New" w:hAnsi="Courier New"/>
                <w:sz w:val="15"/>
                <w:szCs w:val="15"/>
                <w:color w:val="auto"/>
              </w:rPr>
              <w:t>Dividends ($1.25 per share)</w:t>
            </w:r>
          </w:p>
        </w:tc>
        <w:tc>
          <w:tcPr>
            <w:tcW w:w="4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(1,625)</w:t>
            </w:r>
          </w:p>
        </w:tc>
        <w:tc>
          <w:tcPr>
            <w:tcW w:w="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56"/>
        </w:trPr>
        <w:tc>
          <w:tcPr>
            <w:tcW w:w="3880" w:type="dxa"/>
            <w:vAlign w:val="bottom"/>
          </w:tcPr>
          <w:p>
            <w:pPr>
              <w:spacing w:after="0"/>
              <w:rPr>
                <w:sz w:val="22"/>
                <w:szCs w:val="22"/>
                <w:color w:val="auto"/>
              </w:rPr>
            </w:pPr>
          </w:p>
        </w:tc>
        <w:tc>
          <w:tcPr>
            <w:tcW w:w="14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3880" w:type="dxa"/>
            <w:vAlign w:val="bottom"/>
          </w:tcPr>
          <w:p>
            <w:pPr>
              <w:spacing w:after="0"/>
              <w:rPr>
                <w:sz w:val="20"/>
                <w:szCs w:val="20"/>
                <w:color w:val="auto"/>
              </w:rPr>
            </w:pPr>
            <w:r>
              <w:rPr>
                <w:rFonts w:ascii="Courier New" w:cs="Courier New" w:eastAsia="Courier New" w:hAnsi="Courier New"/>
                <w:sz w:val="15"/>
                <w:szCs w:val="15"/>
                <w:color w:val="auto"/>
              </w:rPr>
              <w:t>BALANCE at December 31, 1997</w:t>
            </w:r>
          </w:p>
        </w:tc>
        <w:tc>
          <w:tcPr>
            <w:tcW w:w="440" w:type="dxa"/>
            <w:vAlign w:val="bottom"/>
          </w:tcPr>
          <w:p>
            <w:pPr>
              <w:spacing w:after="0"/>
              <w:rPr>
                <w:sz w:val="24"/>
                <w:szCs w:val="24"/>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12,677</w:t>
            </w:r>
          </w:p>
        </w:tc>
        <w:tc>
          <w:tcPr>
            <w:tcW w:w="320" w:type="dxa"/>
            <w:vAlign w:val="bottom"/>
          </w:tcPr>
          <w:p>
            <w:pPr>
              <w:spacing w:after="0"/>
              <w:rPr>
                <w:sz w:val="24"/>
                <w:szCs w:val="24"/>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35,165</w:t>
            </w:r>
          </w:p>
        </w:tc>
        <w:tc>
          <w:tcPr>
            <w:tcW w:w="500" w:type="dxa"/>
            <w:vAlign w:val="bottom"/>
          </w:tcPr>
          <w:p>
            <w:pPr>
              <w:spacing w:after="0"/>
              <w:rPr>
                <w:sz w:val="24"/>
                <w:szCs w:val="24"/>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1,002</w:t>
            </w:r>
          </w:p>
        </w:tc>
        <w:tc>
          <w:tcPr>
            <w:tcW w:w="0" w:type="dxa"/>
            <w:vAlign w:val="bottom"/>
          </w:tcPr>
          <w:p>
            <w:pPr>
              <w:spacing w:after="0"/>
              <w:rPr>
                <w:sz w:val="1"/>
                <w:szCs w:val="1"/>
                <w:color w:val="auto"/>
              </w:rPr>
            </w:pPr>
          </w:p>
        </w:tc>
      </w:tr>
      <w:tr>
        <w:trPr>
          <w:trHeight w:val="175"/>
        </w:trPr>
        <w:tc>
          <w:tcPr>
            <w:tcW w:w="3880" w:type="dxa"/>
            <w:vAlign w:val="bottom"/>
          </w:tcPr>
          <w:p>
            <w:pPr>
              <w:ind w:left="380"/>
              <w:spacing w:after="0"/>
              <w:rPr>
                <w:sz w:val="20"/>
                <w:szCs w:val="20"/>
                <w:color w:val="auto"/>
              </w:rPr>
            </w:pPr>
            <w:r>
              <w:rPr>
                <w:rFonts w:ascii="Courier New" w:cs="Courier New" w:eastAsia="Courier New" w:hAnsi="Courier New"/>
                <w:sz w:val="15"/>
                <w:szCs w:val="15"/>
                <w:color w:val="auto"/>
              </w:rPr>
              <w:t>Net income for 1998</w:t>
            </w:r>
          </w:p>
        </w:tc>
        <w:tc>
          <w:tcPr>
            <w:tcW w:w="4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7,657</w:t>
            </w:r>
          </w:p>
        </w:tc>
        <w:tc>
          <w:tcPr>
            <w:tcW w:w="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880" w:type="dxa"/>
            <w:vAlign w:val="bottom"/>
          </w:tcPr>
          <w:p>
            <w:pPr>
              <w:ind w:left="380"/>
              <w:spacing w:after="0"/>
              <w:rPr>
                <w:sz w:val="20"/>
                <w:szCs w:val="20"/>
                <w:color w:val="auto"/>
              </w:rPr>
            </w:pPr>
            <w:r>
              <w:rPr>
                <w:rFonts w:ascii="Courier New" w:cs="Courier New" w:eastAsia="Courier New" w:hAnsi="Courier New"/>
                <w:sz w:val="15"/>
                <w:szCs w:val="15"/>
                <w:color w:val="auto"/>
              </w:rPr>
              <w:t>Unrealized gains on securities</w:t>
            </w: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tcPr>
          <w:p>
            <w:pPr>
              <w:ind w:left="640"/>
              <w:spacing w:after="0"/>
              <w:rPr>
                <w:sz w:val="20"/>
                <w:szCs w:val="20"/>
                <w:color w:val="auto"/>
              </w:rPr>
            </w:pPr>
            <w:r>
              <w:rPr>
                <w:rFonts w:ascii="Courier New" w:cs="Courier New" w:eastAsia="Courier New" w:hAnsi="Courier New"/>
                <w:sz w:val="15"/>
                <w:szCs w:val="15"/>
                <w:color w:val="auto"/>
              </w:rPr>
              <w:t>classified as Available for Sale</w:t>
            </w:r>
          </w:p>
        </w:tc>
        <w:tc>
          <w:tcPr>
            <w:tcW w:w="440" w:type="dxa"/>
            <w:vAlign w:val="bottom"/>
          </w:tcPr>
          <w:p>
            <w:pPr>
              <w:spacing w:after="0"/>
              <w:rPr>
                <w:sz w:val="15"/>
                <w:szCs w:val="15"/>
                <w:color w:val="auto"/>
              </w:rPr>
            </w:pPr>
          </w:p>
        </w:tc>
        <w:tc>
          <w:tcPr>
            <w:tcW w:w="9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5"/>
                <w:szCs w:val="15"/>
                <w:color w:val="auto"/>
              </w:rPr>
            </w:pPr>
          </w:p>
        </w:tc>
        <w:tc>
          <w:tcPr>
            <w:tcW w:w="11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spacing w:after="0"/>
              <w:rPr>
                <w:sz w:val="15"/>
                <w:szCs w:val="15"/>
                <w:color w:val="auto"/>
              </w:rPr>
            </w:pPr>
          </w:p>
        </w:tc>
        <w:tc>
          <w:tcPr>
            <w:tcW w:w="10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669</w:t>
            </w:r>
          </w:p>
        </w:tc>
        <w:tc>
          <w:tcPr>
            <w:tcW w:w="0" w:type="dxa"/>
            <w:vAlign w:val="bottom"/>
          </w:tcPr>
          <w:p>
            <w:pPr>
              <w:spacing w:after="0"/>
              <w:rPr>
                <w:sz w:val="1"/>
                <w:szCs w:val="1"/>
                <w:color w:val="auto"/>
              </w:rPr>
            </w:pPr>
          </w:p>
        </w:tc>
      </w:tr>
      <w:tr>
        <w:trPr>
          <w:trHeight w:val="175"/>
        </w:trPr>
        <w:tc>
          <w:tcPr>
            <w:tcW w:w="3880" w:type="dxa"/>
            <w:vAlign w:val="bottom"/>
          </w:tcPr>
          <w:p>
            <w:pPr>
              <w:ind w:left="640"/>
              <w:spacing w:after="0"/>
              <w:rPr>
                <w:sz w:val="20"/>
                <w:szCs w:val="20"/>
                <w:color w:val="auto"/>
              </w:rPr>
            </w:pPr>
            <w:r>
              <w:rPr>
                <w:rFonts w:ascii="Courier New" w:cs="Courier New" w:eastAsia="Courier New" w:hAnsi="Courier New"/>
                <w:sz w:val="15"/>
                <w:szCs w:val="15"/>
                <w:color w:val="auto"/>
              </w:rPr>
              <w:t>(net of tax effect of $345)</w:t>
            </w:r>
          </w:p>
        </w:tc>
        <w:tc>
          <w:tcPr>
            <w:tcW w:w="4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tcPr>
          <w:p>
            <w:pPr>
              <w:ind w:left="380"/>
              <w:spacing w:after="0"/>
              <w:rPr>
                <w:sz w:val="20"/>
                <w:szCs w:val="20"/>
                <w:color w:val="auto"/>
              </w:rPr>
            </w:pPr>
            <w:r>
              <w:rPr>
                <w:rFonts w:ascii="Courier New" w:cs="Courier New" w:eastAsia="Courier New" w:hAnsi="Courier New"/>
                <w:sz w:val="15"/>
                <w:szCs w:val="15"/>
                <w:color w:val="auto"/>
              </w:rPr>
              <w:t>Dividends ($1.40 per share)</w:t>
            </w:r>
          </w:p>
        </w:tc>
        <w:tc>
          <w:tcPr>
            <w:tcW w:w="4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(1,820)</w:t>
            </w:r>
          </w:p>
        </w:tc>
        <w:tc>
          <w:tcPr>
            <w:tcW w:w="50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56"/>
        </w:trPr>
        <w:tc>
          <w:tcPr>
            <w:tcW w:w="3880" w:type="dxa"/>
            <w:vAlign w:val="bottom"/>
          </w:tcPr>
          <w:p>
            <w:pPr>
              <w:spacing w:after="0"/>
              <w:rPr>
                <w:sz w:val="22"/>
                <w:szCs w:val="22"/>
                <w:color w:val="auto"/>
              </w:rPr>
            </w:pPr>
          </w:p>
        </w:tc>
        <w:tc>
          <w:tcPr>
            <w:tcW w:w="14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2"/>
                <w:szCs w:val="22"/>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88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12,677</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41,002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1,671</w:t>
            </w:r>
          </w:p>
        </w:tc>
        <w:tc>
          <w:tcPr>
            <w:tcW w:w="0" w:type="dxa"/>
            <w:vAlign w:val="bottom"/>
          </w:tcPr>
          <w:p>
            <w:pPr>
              <w:spacing w:after="0"/>
              <w:rPr>
                <w:sz w:val="1"/>
                <w:szCs w:val="1"/>
                <w:color w:val="auto"/>
              </w:rPr>
            </w:pPr>
          </w:p>
        </w:tc>
      </w:tr>
      <w:tr>
        <w:trPr>
          <w:trHeight w:val="256"/>
        </w:trPr>
        <w:tc>
          <w:tcPr>
            <w:tcW w:w="3880" w:type="dxa"/>
            <w:vAlign w:val="bottom"/>
          </w:tcPr>
          <w:p>
            <w:pPr>
              <w:spacing w:after="0"/>
              <w:rPr>
                <w:sz w:val="22"/>
                <w:szCs w:val="22"/>
                <w:color w:val="auto"/>
              </w:rPr>
            </w:pPr>
          </w:p>
        </w:tc>
        <w:tc>
          <w:tcPr>
            <w:tcW w:w="14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65"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55</w:t>
      </w:r>
    </w:p>
    <w:p>
      <w:pPr>
        <w:spacing w:after="0" w:line="35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0"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5"/>
          <w:szCs w:val="15"/>
          <w:color w:val="auto"/>
        </w:rPr>
        <w:t>FARMERS &amp; MERCHANTS BANCORP, INC. (PARENT COMPANY ONLY)</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FINANCIAL INFORMATION (Continued)</w:t>
      </w:r>
    </w:p>
    <w:p>
      <w:pPr>
        <w:spacing w:after="0" w:line="152" w:lineRule="exact"/>
        <w:rPr>
          <w:sz w:val="20"/>
          <w:szCs w:val="20"/>
          <w:color w:val="auto"/>
        </w:rPr>
      </w:pPr>
    </w:p>
    <w:tbl>
      <w:tblPr>
        <w:tblLayout w:type="fixed"/>
        <w:tblInd w:w="1620" w:type="dxa"/>
        <w:tblCellMar>
          <w:top w:w="0" w:type="dxa"/>
          <w:left w:w="0" w:type="dxa"/>
          <w:bottom w:w="0" w:type="dxa"/>
          <w:right w:w="0" w:type="dxa"/>
        </w:tblCellMar>
      </w:tblPr>
      <w:tr>
        <w:trPr>
          <w:trHeight w:val="256"/>
        </w:trPr>
        <w:tc>
          <w:tcPr>
            <w:tcW w:w="5780" w:type="dxa"/>
            <w:vAlign w:val="bottom"/>
            <w:gridSpan w:val="3"/>
          </w:tcPr>
          <w:p>
            <w:pPr>
              <w:ind w:left="2820"/>
              <w:spacing w:after="0"/>
              <w:rPr>
                <w:sz w:val="20"/>
                <w:szCs w:val="20"/>
                <w:color w:val="auto"/>
              </w:rPr>
            </w:pPr>
            <w:r>
              <w:rPr>
                <w:rFonts w:ascii="Courier New" w:cs="Courier New" w:eastAsia="Courier New" w:hAnsi="Courier New"/>
                <w:sz w:val="15"/>
                <w:szCs w:val="15"/>
                <w:color w:val="auto"/>
              </w:rPr>
              <w:t>STATEMENTS OF CASH FLOWS</w:t>
            </w: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780" w:type="dxa"/>
            <w:vAlign w:val="bottom"/>
          </w:tcPr>
          <w:p>
            <w:pPr>
              <w:spacing w:after="0"/>
              <w:rPr>
                <w:sz w:val="24"/>
                <w:szCs w:val="24"/>
                <w:color w:val="auto"/>
              </w:rPr>
            </w:pPr>
          </w:p>
        </w:tc>
        <w:tc>
          <w:tcPr>
            <w:tcW w:w="1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24"/>
                <w:szCs w:val="24"/>
                <w:color w:val="auto"/>
              </w:rPr>
            </w:pPr>
          </w:p>
        </w:tc>
        <w:tc>
          <w:tcPr>
            <w:tcW w:w="11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spacing w:after="0"/>
              <w:rPr>
                <w:sz w:val="24"/>
                <w:szCs w:val="24"/>
                <w:color w:val="auto"/>
              </w:rPr>
            </w:pP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37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780" w:type="dxa"/>
            <w:vAlign w:val="bottom"/>
          </w:tcPr>
          <w:p>
            <w:pPr>
              <w:spacing w:after="0"/>
              <w:rPr>
                <w:sz w:val="20"/>
                <w:szCs w:val="20"/>
                <w:color w:val="auto"/>
              </w:rPr>
            </w:pPr>
            <w:r>
              <w:rPr>
                <w:rFonts w:ascii="Courier New" w:cs="Courier New" w:eastAsia="Courier New" w:hAnsi="Courier New"/>
                <w:sz w:val="15"/>
                <w:szCs w:val="15"/>
                <w:color w:val="auto"/>
              </w:rPr>
              <w:t>CASH FLOWS FROM OPERATING</w:t>
            </w: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0"/>
              <w:spacing w:after="0"/>
              <w:rPr>
                <w:sz w:val="20"/>
                <w:szCs w:val="20"/>
                <w:color w:val="auto"/>
              </w:rPr>
            </w:pPr>
            <w:r>
              <w:rPr>
                <w:rFonts w:ascii="Courier New" w:cs="Courier New" w:eastAsia="Courier New" w:hAnsi="Courier New"/>
                <w:sz w:val="15"/>
                <w:szCs w:val="15"/>
                <w:color w:val="auto"/>
              </w:rPr>
              <w:t>ACTIVITIES:</w:t>
            </w:r>
          </w:p>
        </w:tc>
        <w:tc>
          <w:tcPr>
            <w:tcW w:w="7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7,657</w:t>
            </w:r>
          </w:p>
        </w:tc>
        <w:tc>
          <w:tcPr>
            <w:tcW w:w="3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6,777</w:t>
            </w:r>
          </w:p>
        </w:tc>
        <w:tc>
          <w:tcPr>
            <w:tcW w:w="4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5,483</w:t>
            </w:r>
          </w:p>
        </w:tc>
        <w:tc>
          <w:tcPr>
            <w:tcW w:w="0" w:type="dxa"/>
            <w:vAlign w:val="bottom"/>
          </w:tcPr>
          <w:p>
            <w:pPr>
              <w:spacing w:after="0"/>
              <w:rPr>
                <w:sz w:val="1"/>
                <w:szCs w:val="1"/>
                <w:color w:val="auto"/>
              </w:rPr>
            </w:pPr>
          </w:p>
        </w:tc>
      </w:tr>
      <w:tr>
        <w:trPr>
          <w:trHeight w:val="175"/>
        </w:trPr>
        <w:tc>
          <w:tcPr>
            <w:tcW w:w="3780" w:type="dxa"/>
            <w:vAlign w:val="bottom"/>
          </w:tcPr>
          <w:p>
            <w:pPr>
              <w:ind w:left="380"/>
              <w:spacing w:after="0"/>
              <w:rPr>
                <w:sz w:val="20"/>
                <w:szCs w:val="20"/>
                <w:color w:val="auto"/>
              </w:rPr>
            </w:pPr>
            <w:r>
              <w:rPr>
                <w:rFonts w:ascii="Courier New" w:cs="Courier New" w:eastAsia="Courier New" w:hAnsi="Courier New"/>
                <w:sz w:val="15"/>
                <w:szCs w:val="15"/>
                <w:color w:val="auto"/>
              </w:rPr>
              <w:t>Net income</w:t>
            </w:r>
          </w:p>
        </w:tc>
        <w:tc>
          <w:tcPr>
            <w:tcW w:w="7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380"/>
              <w:spacing w:after="0"/>
              <w:rPr>
                <w:sz w:val="20"/>
                <w:szCs w:val="20"/>
                <w:color w:val="auto"/>
              </w:rPr>
            </w:pPr>
            <w:r>
              <w:rPr>
                <w:rFonts w:ascii="Courier New" w:cs="Courier New" w:eastAsia="Courier New" w:hAnsi="Courier New"/>
                <w:sz w:val="15"/>
                <w:szCs w:val="15"/>
                <w:color w:val="auto"/>
              </w:rPr>
              <w:t>Adjustments to Reconcile Net</w:t>
            </w: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640"/>
              <w:spacing w:after="0"/>
              <w:rPr>
                <w:sz w:val="20"/>
                <w:szCs w:val="20"/>
                <w:color w:val="auto"/>
              </w:rPr>
            </w:pPr>
            <w:r>
              <w:rPr>
                <w:rFonts w:ascii="Courier New" w:cs="Courier New" w:eastAsia="Courier New" w:hAnsi="Courier New"/>
                <w:sz w:val="15"/>
                <w:szCs w:val="15"/>
                <w:color w:val="auto"/>
              </w:rPr>
              <w:t>Income to Net Cash Provided</w:t>
            </w: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640"/>
              <w:spacing w:after="0"/>
              <w:rPr>
                <w:sz w:val="20"/>
                <w:szCs w:val="20"/>
                <w:color w:val="auto"/>
              </w:rPr>
            </w:pPr>
            <w:r>
              <w:rPr>
                <w:rFonts w:ascii="Courier New" w:cs="Courier New" w:eastAsia="Courier New" w:hAnsi="Courier New"/>
                <w:sz w:val="15"/>
                <w:szCs w:val="15"/>
                <w:color w:val="auto"/>
              </w:rPr>
              <w:t>by Operating Activities:</w:t>
            </w: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820"/>
              <w:spacing w:after="0"/>
              <w:rPr>
                <w:sz w:val="20"/>
                <w:szCs w:val="20"/>
                <w:color w:val="auto"/>
              </w:rPr>
            </w:pPr>
            <w:r>
              <w:rPr>
                <w:rFonts w:ascii="Courier New" w:cs="Courier New" w:eastAsia="Courier New" w:hAnsi="Courier New"/>
                <w:sz w:val="15"/>
                <w:szCs w:val="15"/>
                <w:color w:val="auto"/>
              </w:rPr>
              <w:t>Equity in undistributed net</w:t>
            </w:r>
          </w:p>
        </w:tc>
        <w:tc>
          <w:tcPr>
            <w:tcW w:w="7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(6,143)</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(4,910)</w:t>
            </w:r>
          </w:p>
        </w:tc>
        <w:tc>
          <w:tcPr>
            <w:tcW w:w="460" w:type="dxa"/>
            <w:vAlign w:val="bottom"/>
          </w:tcPr>
          <w:p>
            <w:pPr>
              <w:spacing w:after="0"/>
              <w:rPr>
                <w:sz w:val="15"/>
                <w:szCs w:val="15"/>
                <w:color w:val="auto"/>
              </w:rPr>
            </w:pP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6,316</w:t>
            </w:r>
          </w:p>
        </w:tc>
        <w:tc>
          <w:tcPr>
            <w:tcW w:w="0" w:type="dxa"/>
            <w:vAlign w:val="bottom"/>
          </w:tcPr>
          <w:p>
            <w:pPr>
              <w:spacing w:after="0"/>
              <w:rPr>
                <w:sz w:val="1"/>
                <w:szCs w:val="1"/>
                <w:color w:val="auto"/>
              </w:rPr>
            </w:pPr>
          </w:p>
        </w:tc>
      </w:tr>
      <w:tr>
        <w:trPr>
          <w:trHeight w:val="175"/>
        </w:trPr>
        <w:tc>
          <w:tcPr>
            <w:tcW w:w="3780" w:type="dxa"/>
            <w:vAlign w:val="bottom"/>
          </w:tcPr>
          <w:p>
            <w:pPr>
              <w:ind w:left="1000"/>
              <w:spacing w:after="0"/>
              <w:rPr>
                <w:sz w:val="20"/>
                <w:szCs w:val="20"/>
                <w:color w:val="auto"/>
              </w:rPr>
            </w:pPr>
            <w:r>
              <w:rPr>
                <w:rFonts w:ascii="Courier New" w:cs="Courier New" w:eastAsia="Courier New" w:hAnsi="Courier New"/>
                <w:sz w:val="15"/>
                <w:szCs w:val="15"/>
                <w:color w:val="auto"/>
              </w:rPr>
              <w:t>income of subsidiaries</w:t>
            </w:r>
          </w:p>
        </w:tc>
        <w:tc>
          <w:tcPr>
            <w:tcW w:w="7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380"/>
              <w:spacing w:after="0"/>
              <w:rPr>
                <w:sz w:val="20"/>
                <w:szCs w:val="20"/>
                <w:color w:val="auto"/>
              </w:rPr>
            </w:pPr>
            <w:r>
              <w:rPr>
                <w:rFonts w:ascii="Courier New" w:cs="Courier New" w:eastAsia="Courier New" w:hAnsi="Courier New"/>
                <w:sz w:val="15"/>
                <w:szCs w:val="15"/>
                <w:color w:val="auto"/>
              </w:rPr>
              <w:t>Changes in Operating Assets and</w:t>
            </w: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640"/>
              <w:spacing w:after="0"/>
              <w:rPr>
                <w:sz w:val="20"/>
                <w:szCs w:val="20"/>
                <w:color w:val="auto"/>
              </w:rPr>
            </w:pPr>
            <w:r>
              <w:rPr>
                <w:rFonts w:ascii="Courier New" w:cs="Courier New" w:eastAsia="Courier New" w:hAnsi="Courier New"/>
                <w:sz w:val="15"/>
                <w:szCs w:val="15"/>
                <w:color w:val="auto"/>
              </w:rPr>
              <w:t>Liabilities:</w:t>
            </w:r>
          </w:p>
        </w:tc>
        <w:tc>
          <w:tcPr>
            <w:tcW w:w="780" w:type="dxa"/>
            <w:vAlign w:val="bottom"/>
          </w:tcPr>
          <w:p>
            <w:pPr>
              <w:spacing w:after="0"/>
              <w:rPr>
                <w:sz w:val="15"/>
                <w:szCs w:val="15"/>
                <w:color w:val="auto"/>
              </w:rPr>
            </w:pPr>
          </w:p>
        </w:tc>
        <w:tc>
          <w:tcPr>
            <w:tcW w:w="12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5"/>
                <w:szCs w:val="15"/>
                <w:color w:val="auto"/>
              </w:rPr>
            </w:pPr>
          </w:p>
        </w:tc>
        <w:tc>
          <w:tcPr>
            <w:tcW w:w="11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190</w:t>
            </w:r>
          </w:p>
        </w:tc>
        <w:tc>
          <w:tcPr>
            <w:tcW w:w="460" w:type="dxa"/>
            <w:vAlign w:val="bottom"/>
          </w:tcPr>
          <w:p>
            <w:pPr>
              <w:spacing w:after="0"/>
              <w:rPr>
                <w:sz w:val="15"/>
                <w:szCs w:val="15"/>
                <w:color w:val="auto"/>
              </w:rPr>
            </w:pP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5"/>
        </w:trPr>
        <w:tc>
          <w:tcPr>
            <w:tcW w:w="3780" w:type="dxa"/>
            <w:vAlign w:val="bottom"/>
          </w:tcPr>
          <w:p>
            <w:pPr>
              <w:ind w:left="820"/>
              <w:spacing w:after="0"/>
              <w:rPr>
                <w:sz w:val="20"/>
                <w:szCs w:val="20"/>
                <w:color w:val="auto"/>
              </w:rPr>
            </w:pPr>
            <w:r>
              <w:rPr>
                <w:rFonts w:ascii="Courier New" w:cs="Courier New" w:eastAsia="Courier New" w:hAnsi="Courier New"/>
                <w:sz w:val="15"/>
                <w:szCs w:val="15"/>
                <w:color w:val="auto"/>
              </w:rPr>
              <w:t>Income tax receivable</w:t>
            </w:r>
          </w:p>
        </w:tc>
        <w:tc>
          <w:tcPr>
            <w:tcW w:w="7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820"/>
              <w:spacing w:after="0"/>
              <w:rPr>
                <w:sz w:val="20"/>
                <w:szCs w:val="20"/>
                <w:color w:val="auto"/>
              </w:rPr>
            </w:pPr>
            <w:r>
              <w:rPr>
                <w:rFonts w:ascii="Courier New" w:cs="Courier New" w:eastAsia="Courier New" w:hAnsi="Courier New"/>
                <w:sz w:val="15"/>
                <w:szCs w:val="15"/>
                <w:color w:val="auto"/>
              </w:rPr>
              <w:t>Accrued expenses</w:t>
            </w:r>
          </w:p>
        </w:tc>
        <w:tc>
          <w:tcPr>
            <w:tcW w:w="78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w:t>
            </w:r>
          </w:p>
        </w:tc>
        <w:tc>
          <w:tcPr>
            <w:tcW w:w="36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56"/>
        </w:trPr>
        <w:tc>
          <w:tcPr>
            <w:tcW w:w="3780" w:type="dxa"/>
            <w:vAlign w:val="bottom"/>
          </w:tcPr>
          <w:p>
            <w:pPr>
              <w:spacing w:after="0"/>
              <w:rPr>
                <w:sz w:val="22"/>
                <w:szCs w:val="22"/>
                <w:color w:val="auto"/>
              </w:rPr>
            </w:pPr>
          </w:p>
        </w:tc>
        <w:tc>
          <w:tcPr>
            <w:tcW w:w="2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780" w:type="dxa"/>
            <w:vAlign w:val="bottom"/>
          </w:tcPr>
          <w:p>
            <w:pPr>
              <w:ind w:left="380"/>
              <w:spacing w:after="0"/>
              <w:rPr>
                <w:sz w:val="20"/>
                <w:szCs w:val="20"/>
                <w:color w:val="auto"/>
              </w:rPr>
            </w:pPr>
            <w:r>
              <w:rPr>
                <w:rFonts w:ascii="Courier New" w:cs="Courier New" w:eastAsia="Courier New" w:hAnsi="Courier New"/>
                <w:sz w:val="15"/>
                <w:szCs w:val="15"/>
                <w:color w:val="auto"/>
              </w:rPr>
              <w:t>Net Cash Provided by Operating</w:t>
            </w:r>
          </w:p>
        </w:tc>
        <w:tc>
          <w:tcPr>
            <w:tcW w:w="780" w:type="dxa"/>
            <w:vAlign w:val="bottom"/>
          </w:tcPr>
          <w:p>
            <w:pPr>
              <w:spacing w:after="0"/>
              <w:rPr>
                <w:sz w:val="23"/>
                <w:szCs w:val="23"/>
                <w:color w:val="auto"/>
              </w:rPr>
            </w:pPr>
          </w:p>
        </w:tc>
        <w:tc>
          <w:tcPr>
            <w:tcW w:w="12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1,689</w:t>
            </w:r>
          </w:p>
        </w:tc>
        <w:tc>
          <w:tcPr>
            <w:tcW w:w="360" w:type="dxa"/>
            <w:vAlign w:val="bottom"/>
          </w:tcPr>
          <w:p>
            <w:pPr>
              <w:spacing w:after="0"/>
              <w:rPr>
                <w:sz w:val="23"/>
                <w:szCs w:val="23"/>
                <w:color w:val="auto"/>
              </w:rPr>
            </w:pPr>
          </w:p>
        </w:tc>
        <w:tc>
          <w:tcPr>
            <w:tcW w:w="11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2,057</w:t>
            </w:r>
          </w:p>
        </w:tc>
        <w:tc>
          <w:tcPr>
            <w:tcW w:w="460" w:type="dxa"/>
            <w:vAlign w:val="bottom"/>
          </w:tcPr>
          <w:p>
            <w:pPr>
              <w:spacing w:after="0"/>
              <w:rPr>
                <w:sz w:val="23"/>
                <w:szCs w:val="23"/>
                <w:color w:val="auto"/>
              </w:rPr>
            </w:pP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11,809</w:t>
            </w:r>
          </w:p>
        </w:tc>
        <w:tc>
          <w:tcPr>
            <w:tcW w:w="0" w:type="dxa"/>
            <w:vAlign w:val="bottom"/>
          </w:tcPr>
          <w:p>
            <w:pPr>
              <w:spacing w:after="0"/>
              <w:rPr>
                <w:sz w:val="1"/>
                <w:szCs w:val="1"/>
                <w:color w:val="auto"/>
              </w:rPr>
            </w:pPr>
          </w:p>
        </w:tc>
      </w:tr>
      <w:tr>
        <w:trPr>
          <w:trHeight w:val="175"/>
        </w:trPr>
        <w:tc>
          <w:tcPr>
            <w:tcW w:w="3780" w:type="dxa"/>
            <w:vAlign w:val="bottom"/>
          </w:tcPr>
          <w:p>
            <w:pPr>
              <w:ind w:left="640"/>
              <w:spacing w:after="0"/>
              <w:rPr>
                <w:sz w:val="20"/>
                <w:szCs w:val="20"/>
                <w:color w:val="auto"/>
              </w:rPr>
            </w:pPr>
            <w:r>
              <w:rPr>
                <w:rFonts w:ascii="Courier New" w:cs="Courier New" w:eastAsia="Courier New" w:hAnsi="Courier New"/>
                <w:sz w:val="15"/>
                <w:szCs w:val="15"/>
                <w:color w:val="auto"/>
              </w:rPr>
              <w:t>Activities</w:t>
            </w:r>
          </w:p>
        </w:tc>
        <w:tc>
          <w:tcPr>
            <w:tcW w:w="7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80" w:type="dxa"/>
            <w:vAlign w:val="bottom"/>
          </w:tcPr>
          <w:p>
            <w:pPr>
              <w:spacing w:after="0"/>
              <w:rPr>
                <w:sz w:val="22"/>
                <w:szCs w:val="22"/>
                <w:color w:val="auto"/>
              </w:rPr>
            </w:pPr>
          </w:p>
        </w:tc>
        <w:tc>
          <w:tcPr>
            <w:tcW w:w="2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780" w:type="dxa"/>
            <w:vAlign w:val="bottom"/>
          </w:tcPr>
          <w:p>
            <w:pPr>
              <w:spacing w:after="0"/>
              <w:rPr>
                <w:sz w:val="20"/>
                <w:szCs w:val="20"/>
                <w:color w:val="auto"/>
              </w:rPr>
            </w:pPr>
            <w:r>
              <w:rPr>
                <w:rFonts w:ascii="Courier New" w:cs="Courier New" w:eastAsia="Courier New" w:hAnsi="Courier New"/>
                <w:sz w:val="15"/>
                <w:szCs w:val="15"/>
                <w:color w:val="auto"/>
              </w:rPr>
              <w:t>CASH FLOWS FROM INVESTING</w:t>
            </w: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0"/>
              <w:spacing w:after="0"/>
              <w:rPr>
                <w:sz w:val="20"/>
                <w:szCs w:val="20"/>
                <w:color w:val="auto"/>
              </w:rPr>
            </w:pPr>
            <w:r>
              <w:rPr>
                <w:rFonts w:ascii="Courier New" w:cs="Courier New" w:eastAsia="Courier New" w:hAnsi="Courier New"/>
                <w:sz w:val="15"/>
                <w:szCs w:val="15"/>
                <w:color w:val="auto"/>
              </w:rPr>
              <w:t>ACTIVITIES:</w:t>
            </w: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380"/>
              <w:spacing w:after="0"/>
              <w:rPr>
                <w:sz w:val="20"/>
                <w:szCs w:val="20"/>
                <w:color w:val="auto"/>
              </w:rPr>
            </w:pPr>
            <w:r>
              <w:rPr>
                <w:rFonts w:ascii="Courier New" w:cs="Courier New" w:eastAsia="Courier New" w:hAnsi="Courier New"/>
                <w:sz w:val="15"/>
                <w:szCs w:val="15"/>
                <w:color w:val="auto"/>
              </w:rPr>
              <w:t>(Loan) to repayment by</w:t>
            </w:r>
          </w:p>
        </w:tc>
        <w:tc>
          <w:tcPr>
            <w:tcW w:w="780" w:type="dxa"/>
            <w:vAlign w:val="bottom"/>
          </w:tcPr>
          <w:p>
            <w:pPr>
              <w:spacing w:after="0"/>
              <w:rPr>
                <w:sz w:val="15"/>
                <w:szCs w:val="15"/>
                <w:color w:val="auto"/>
              </w:rPr>
            </w:pPr>
          </w:p>
        </w:tc>
        <w:tc>
          <w:tcPr>
            <w:tcW w:w="12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5"/>
                <w:szCs w:val="15"/>
                <w:color w:val="auto"/>
              </w:rPr>
            </w:pPr>
          </w:p>
        </w:tc>
        <w:tc>
          <w:tcPr>
            <w:tcW w:w="11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175"/>
        </w:trPr>
        <w:tc>
          <w:tcPr>
            <w:tcW w:w="3780" w:type="dxa"/>
            <w:vAlign w:val="bottom"/>
          </w:tcPr>
          <w:p>
            <w:pPr>
              <w:ind w:left="640"/>
              <w:spacing w:after="0"/>
              <w:rPr>
                <w:sz w:val="20"/>
                <w:szCs w:val="20"/>
                <w:color w:val="auto"/>
              </w:rPr>
            </w:pPr>
            <w:r>
              <w:rPr>
                <w:rFonts w:ascii="Courier New" w:cs="Courier New" w:eastAsia="Courier New" w:hAnsi="Courier New"/>
                <w:sz w:val="15"/>
                <w:szCs w:val="15"/>
                <w:color w:val="auto"/>
              </w:rPr>
              <w:t>subsidiary</w:t>
            </w:r>
          </w:p>
        </w:tc>
        <w:tc>
          <w:tcPr>
            <w:tcW w:w="7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80" w:type="dxa"/>
            <w:vAlign w:val="bottom"/>
          </w:tcPr>
          <w:p>
            <w:pPr>
              <w:spacing w:after="0"/>
              <w:rPr>
                <w:sz w:val="22"/>
                <w:szCs w:val="22"/>
                <w:color w:val="auto"/>
              </w:rPr>
            </w:pPr>
          </w:p>
        </w:tc>
        <w:tc>
          <w:tcPr>
            <w:tcW w:w="2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780" w:type="dxa"/>
            <w:vAlign w:val="bottom"/>
          </w:tcPr>
          <w:p>
            <w:pPr>
              <w:spacing w:after="0"/>
              <w:rPr>
                <w:sz w:val="20"/>
                <w:szCs w:val="20"/>
                <w:color w:val="auto"/>
              </w:rPr>
            </w:pPr>
            <w:r>
              <w:rPr>
                <w:rFonts w:ascii="Courier New" w:cs="Courier New" w:eastAsia="Courier New" w:hAnsi="Courier New"/>
                <w:sz w:val="15"/>
                <w:szCs w:val="15"/>
                <w:color w:val="auto"/>
              </w:rPr>
              <w:t>CASH FLOWS FROM FINANCING</w:t>
            </w: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0"/>
              <w:spacing w:after="0"/>
              <w:rPr>
                <w:sz w:val="20"/>
                <w:szCs w:val="20"/>
                <w:color w:val="auto"/>
              </w:rPr>
            </w:pPr>
            <w:r>
              <w:rPr>
                <w:rFonts w:ascii="Courier New" w:cs="Courier New" w:eastAsia="Courier New" w:hAnsi="Courier New"/>
                <w:sz w:val="15"/>
                <w:szCs w:val="15"/>
                <w:color w:val="auto"/>
              </w:rPr>
              <w:t>ACTIVITIES:</w:t>
            </w:r>
          </w:p>
        </w:tc>
        <w:tc>
          <w:tcPr>
            <w:tcW w:w="7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(1,820)</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(1,495)</w:t>
            </w:r>
          </w:p>
        </w:tc>
        <w:tc>
          <w:tcPr>
            <w:tcW w:w="4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(1,625)</w:t>
            </w:r>
          </w:p>
        </w:tc>
        <w:tc>
          <w:tcPr>
            <w:tcW w:w="0" w:type="dxa"/>
            <w:vAlign w:val="bottom"/>
          </w:tcPr>
          <w:p>
            <w:pPr>
              <w:spacing w:after="0"/>
              <w:rPr>
                <w:sz w:val="1"/>
                <w:szCs w:val="1"/>
                <w:color w:val="auto"/>
              </w:rPr>
            </w:pPr>
          </w:p>
        </w:tc>
      </w:tr>
      <w:tr>
        <w:trPr>
          <w:trHeight w:val="175"/>
        </w:trPr>
        <w:tc>
          <w:tcPr>
            <w:tcW w:w="3780" w:type="dxa"/>
            <w:vAlign w:val="bottom"/>
          </w:tcPr>
          <w:p>
            <w:pPr>
              <w:ind w:left="380"/>
              <w:spacing w:after="0"/>
              <w:rPr>
                <w:sz w:val="20"/>
                <w:szCs w:val="20"/>
                <w:color w:val="auto"/>
              </w:rPr>
            </w:pPr>
            <w:r>
              <w:rPr>
                <w:rFonts w:ascii="Courier New" w:cs="Courier New" w:eastAsia="Courier New" w:hAnsi="Courier New"/>
                <w:sz w:val="15"/>
                <w:szCs w:val="15"/>
                <w:color w:val="auto"/>
              </w:rPr>
              <w:t>Payment of dividends</w:t>
            </w:r>
          </w:p>
        </w:tc>
        <w:tc>
          <w:tcPr>
            <w:tcW w:w="7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80" w:type="dxa"/>
            <w:vAlign w:val="bottom"/>
          </w:tcPr>
          <w:p>
            <w:pPr>
              <w:spacing w:after="0"/>
              <w:rPr>
                <w:sz w:val="22"/>
                <w:szCs w:val="22"/>
                <w:color w:val="auto"/>
              </w:rPr>
            </w:pPr>
          </w:p>
        </w:tc>
        <w:tc>
          <w:tcPr>
            <w:tcW w:w="2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w:t>
            </w:r>
          </w:p>
        </w:tc>
        <w:tc>
          <w:tcPr>
            <w:tcW w:w="780" w:type="dxa"/>
            <w:vAlign w:val="bottom"/>
          </w:tcPr>
          <w:p>
            <w:pPr>
              <w:spacing w:after="0"/>
              <w:rPr>
                <w:sz w:val="23"/>
                <w:szCs w:val="23"/>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(131)</w:t>
            </w:r>
          </w:p>
        </w:tc>
        <w:tc>
          <w:tcPr>
            <w:tcW w:w="360" w:type="dxa"/>
            <w:vAlign w:val="bottom"/>
          </w:tcPr>
          <w:p>
            <w:pPr>
              <w:spacing w:after="0"/>
              <w:rPr>
                <w:sz w:val="23"/>
                <w:szCs w:val="23"/>
                <w:color w:val="auto"/>
              </w:rPr>
            </w:pPr>
          </w:p>
        </w:tc>
        <w:tc>
          <w:tcPr>
            <w:tcW w:w="11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562</w:t>
            </w:r>
          </w:p>
        </w:tc>
        <w:tc>
          <w:tcPr>
            <w:tcW w:w="460" w:type="dxa"/>
            <w:vAlign w:val="bottom"/>
          </w:tcPr>
          <w:p>
            <w:pPr>
              <w:spacing w:after="0"/>
              <w:rPr>
                <w:sz w:val="23"/>
                <w:szCs w:val="23"/>
                <w:color w:val="auto"/>
              </w:rPr>
            </w:pP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184</w:t>
            </w:r>
          </w:p>
        </w:tc>
        <w:tc>
          <w:tcPr>
            <w:tcW w:w="0" w:type="dxa"/>
            <w:vAlign w:val="bottom"/>
          </w:tcPr>
          <w:p>
            <w:pPr>
              <w:spacing w:after="0"/>
              <w:rPr>
                <w:sz w:val="1"/>
                <w:szCs w:val="1"/>
                <w:color w:val="auto"/>
              </w:rPr>
            </w:pPr>
          </w:p>
        </w:tc>
      </w:tr>
      <w:tr>
        <w:trPr>
          <w:trHeight w:val="256"/>
        </w:trPr>
        <w:tc>
          <w:tcPr>
            <w:tcW w:w="3780" w:type="dxa"/>
            <w:vAlign w:val="bottom"/>
          </w:tcPr>
          <w:p>
            <w:pPr>
              <w:ind w:left="200"/>
              <w:spacing w:after="0"/>
              <w:rPr>
                <w:sz w:val="20"/>
                <w:szCs w:val="20"/>
                <w:color w:val="auto"/>
              </w:rPr>
            </w:pPr>
            <w:r>
              <w:rPr>
                <w:rFonts w:ascii="Courier New" w:cs="Courier New" w:eastAsia="Courier New" w:hAnsi="Courier New"/>
                <w:sz w:val="15"/>
                <w:szCs w:val="15"/>
                <w:color w:val="auto"/>
              </w:rPr>
              <w:t>cash equivalents</w:t>
            </w:r>
          </w:p>
        </w:tc>
        <w:tc>
          <w:tcPr>
            <w:tcW w:w="78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78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w:t>
            </w:r>
          </w:p>
        </w:tc>
        <w:tc>
          <w:tcPr>
            <w:tcW w:w="780" w:type="dxa"/>
            <w:vAlign w:val="bottom"/>
          </w:tcPr>
          <w:p>
            <w:pPr>
              <w:spacing w:after="0"/>
              <w:rPr>
                <w:sz w:val="23"/>
                <w:szCs w:val="23"/>
                <w:color w:val="auto"/>
              </w:rPr>
            </w:pPr>
          </w:p>
        </w:tc>
        <w:tc>
          <w:tcPr>
            <w:tcW w:w="12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816</w:t>
            </w:r>
          </w:p>
        </w:tc>
        <w:tc>
          <w:tcPr>
            <w:tcW w:w="360" w:type="dxa"/>
            <w:vAlign w:val="bottom"/>
          </w:tcPr>
          <w:p>
            <w:pPr>
              <w:spacing w:after="0"/>
              <w:rPr>
                <w:sz w:val="23"/>
                <w:szCs w:val="23"/>
                <w:color w:val="auto"/>
              </w:rPr>
            </w:pPr>
          </w:p>
        </w:tc>
        <w:tc>
          <w:tcPr>
            <w:tcW w:w="11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254</w:t>
            </w:r>
          </w:p>
        </w:tc>
        <w:tc>
          <w:tcPr>
            <w:tcW w:w="460" w:type="dxa"/>
            <w:vAlign w:val="bottom"/>
          </w:tcPr>
          <w:p>
            <w:pPr>
              <w:spacing w:after="0"/>
              <w:rPr>
                <w:sz w:val="23"/>
                <w:szCs w:val="23"/>
                <w:color w:val="auto"/>
              </w:rPr>
            </w:pP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r>
        <w:trPr>
          <w:trHeight w:val="175"/>
        </w:trPr>
        <w:tc>
          <w:tcPr>
            <w:tcW w:w="3780" w:type="dxa"/>
            <w:vAlign w:val="bottom"/>
          </w:tcPr>
          <w:p>
            <w:pPr>
              <w:ind w:left="200"/>
              <w:spacing w:after="0"/>
              <w:rPr>
                <w:sz w:val="20"/>
                <w:szCs w:val="20"/>
                <w:color w:val="auto"/>
              </w:rPr>
            </w:pPr>
            <w:r>
              <w:rPr>
                <w:rFonts w:ascii="Courier New" w:cs="Courier New" w:eastAsia="Courier New" w:hAnsi="Courier New"/>
                <w:sz w:val="15"/>
                <w:szCs w:val="15"/>
                <w:color w:val="auto"/>
              </w:rPr>
              <w:t>of year</w:t>
            </w:r>
          </w:p>
        </w:tc>
        <w:tc>
          <w:tcPr>
            <w:tcW w:w="7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80" w:type="dxa"/>
            <w:vAlign w:val="bottom"/>
          </w:tcPr>
          <w:p>
            <w:pPr>
              <w:spacing w:after="0"/>
              <w:rPr>
                <w:sz w:val="22"/>
                <w:szCs w:val="22"/>
                <w:color w:val="auto"/>
              </w:rPr>
            </w:pPr>
          </w:p>
        </w:tc>
        <w:tc>
          <w:tcPr>
            <w:tcW w:w="2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780" w:type="dxa"/>
            <w:vAlign w:val="bottom"/>
          </w:tcPr>
          <w:p>
            <w:pPr>
              <w:spacing w:after="0"/>
              <w:rPr>
                <w:sz w:val="20"/>
                <w:szCs w:val="20"/>
                <w:color w:val="auto"/>
              </w:rPr>
            </w:pPr>
            <w:r>
              <w:rPr>
                <w:rFonts w:ascii="Courier New" w:cs="Courier New" w:eastAsia="Courier New" w:hAnsi="Courier New"/>
                <w:sz w:val="15"/>
                <w:szCs w:val="15"/>
                <w:color w:val="auto"/>
              </w:rPr>
              <w:t>CASH AND CASH EQUIVALENTS -</w:t>
            </w:r>
          </w:p>
        </w:tc>
        <w:tc>
          <w:tcPr>
            <w:tcW w:w="7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685</w:t>
            </w:r>
          </w:p>
        </w:tc>
        <w:tc>
          <w:tcPr>
            <w:tcW w:w="3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816</w:t>
            </w:r>
          </w:p>
        </w:tc>
        <w:tc>
          <w:tcPr>
            <w:tcW w:w="4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254</w:t>
            </w:r>
          </w:p>
        </w:tc>
        <w:tc>
          <w:tcPr>
            <w:tcW w:w="0" w:type="dxa"/>
            <w:vAlign w:val="bottom"/>
          </w:tcPr>
          <w:p>
            <w:pPr>
              <w:spacing w:after="0"/>
              <w:rPr>
                <w:sz w:val="1"/>
                <w:szCs w:val="1"/>
                <w:color w:val="auto"/>
              </w:rPr>
            </w:pPr>
          </w:p>
        </w:tc>
      </w:tr>
      <w:tr>
        <w:trPr>
          <w:trHeight w:val="175"/>
        </w:trPr>
        <w:tc>
          <w:tcPr>
            <w:tcW w:w="3780" w:type="dxa"/>
            <w:vAlign w:val="bottom"/>
          </w:tcPr>
          <w:p>
            <w:pPr>
              <w:ind w:left="200"/>
              <w:spacing w:after="0"/>
              <w:rPr>
                <w:sz w:val="20"/>
                <w:szCs w:val="20"/>
                <w:color w:val="auto"/>
              </w:rPr>
            </w:pPr>
            <w:r>
              <w:rPr>
                <w:rFonts w:ascii="Courier New" w:cs="Courier New" w:eastAsia="Courier New" w:hAnsi="Courier New"/>
                <w:sz w:val="15"/>
                <w:szCs w:val="15"/>
                <w:color w:val="auto"/>
              </w:rPr>
              <w:t>END OF YEAR</w:t>
            </w:r>
          </w:p>
        </w:tc>
        <w:tc>
          <w:tcPr>
            <w:tcW w:w="7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80" w:type="dxa"/>
            <w:vAlign w:val="bottom"/>
          </w:tcPr>
          <w:p>
            <w:pPr>
              <w:spacing w:after="0"/>
              <w:rPr>
                <w:sz w:val="22"/>
                <w:szCs w:val="22"/>
                <w:color w:val="auto"/>
              </w:rPr>
            </w:pPr>
          </w:p>
        </w:tc>
        <w:tc>
          <w:tcPr>
            <w:tcW w:w="2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540"/>
          </w:cols>
          <w:pgMar w:left="240" w:top="265" w:right="1119"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56</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29"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5"/>
          <w:szCs w:val="15"/>
          <w:color w:val="auto"/>
        </w:rPr>
        <w:t>FARMERS &amp; MERCHANTS BANCORP, INC. (PARENT COMPANY ONLY)</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FINANCIAL INFORMATION (Continued)</w:t>
      </w:r>
    </w:p>
    <w:p>
      <w:pPr>
        <w:spacing w:after="0" w:line="152"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STOCK SPLIT:</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On June 28, 1996, the Board of Directors authorized a</w:t>
      </w:r>
    </w:p>
    <w:p>
      <w:pPr>
        <w:spacing w:after="0" w:line="3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five-for-one stock split, thereby increasing the</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total number of shares authorized to 1.5 million and</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total number of shares issued and outstanding to</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1.3 million. All references in the accompanying</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financial statements to the number of common shares</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and per share amounts have been restated to reflect</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stock split.</w:t>
      </w:r>
    </w:p>
    <w:p>
      <w:pPr>
        <w:spacing w:after="0" w:line="152"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5"/>
          <w:szCs w:val="15"/>
          <w:color w:val="auto"/>
        </w:rPr>
        <w:t>NOTE 19.</w:t>
      </w:r>
      <w:r>
        <w:rPr>
          <w:sz w:val="20"/>
          <w:szCs w:val="20"/>
          <w:color w:val="auto"/>
        </w:rPr>
        <w:tab/>
      </w:r>
      <w:r>
        <w:rPr>
          <w:rFonts w:ascii="Courier New" w:cs="Courier New" w:eastAsia="Courier New" w:hAnsi="Courier New"/>
          <w:sz w:val="14"/>
          <w:szCs w:val="14"/>
          <w:color w:val="auto"/>
        </w:rPr>
        <w:t>YEAR 2000 COMPLIANCE</w:t>
      </w:r>
    </w:p>
    <w:p>
      <w:pPr>
        <w:spacing w:after="0" w:line="180" w:lineRule="exact"/>
        <w:rPr>
          <w:sz w:val="20"/>
          <w:szCs w:val="20"/>
          <w:color w:val="auto"/>
        </w:rPr>
      </w:pPr>
    </w:p>
    <w:p>
      <w:pPr>
        <w:ind w:left="1620" w:right="2959"/>
        <w:spacing w:after="0" w:line="264" w:lineRule="auto"/>
        <w:rPr>
          <w:sz w:val="20"/>
          <w:szCs w:val="20"/>
          <w:color w:val="auto"/>
        </w:rPr>
      </w:pPr>
      <w:r>
        <w:rPr>
          <w:rFonts w:ascii="Courier New" w:cs="Courier New" w:eastAsia="Courier New" w:hAnsi="Courier New"/>
          <w:sz w:val="15"/>
          <w:szCs w:val="15"/>
          <w:color w:val="auto"/>
        </w:rPr>
        <w:t>The year 2000 has presented a unique set of challenges to those industries reliant on information technology. As a result of methods employed by early programmers, many software applications and operational programs may be unable to distinguish the year 2000 from the year 1900. If not effectively addressed, this problem could result in the production of inaccurate data, or, in the worst cases, the inability of the systems to continue to function altogether.</w:t>
      </w:r>
    </w:p>
    <w:p>
      <w:pPr>
        <w:spacing w:after="0" w:line="78" w:lineRule="exact"/>
        <w:rPr>
          <w:sz w:val="20"/>
          <w:szCs w:val="20"/>
          <w:color w:val="auto"/>
        </w:rPr>
      </w:pPr>
    </w:p>
    <w:p>
      <w:pPr>
        <w:ind w:left="1620" w:right="3039"/>
        <w:spacing w:after="0" w:line="264" w:lineRule="auto"/>
        <w:rPr>
          <w:sz w:val="20"/>
          <w:szCs w:val="20"/>
          <w:color w:val="auto"/>
        </w:rPr>
      </w:pPr>
      <w:r>
        <w:rPr>
          <w:rFonts w:ascii="Courier New" w:cs="Courier New" w:eastAsia="Courier New" w:hAnsi="Courier New"/>
          <w:sz w:val="15"/>
          <w:szCs w:val="15"/>
          <w:color w:val="auto"/>
        </w:rPr>
        <w:t>Financial institutions are particularly vulnerable due to the industry's dependence on electronic data processing systems. In 1997 the Company began the process of identifying the hardware and software issues required to be addressed to assure year 2000 compliance. The Company began by assessing the issues related to the year 2000 and the potential for those issues to adversely affect the Company's own operations and those of its subsidiaries.</w:t>
      </w:r>
    </w:p>
    <w:p>
      <w:pPr>
        <w:spacing w:after="0" w:line="78" w:lineRule="exact"/>
        <w:rPr>
          <w:sz w:val="20"/>
          <w:szCs w:val="20"/>
          <w:color w:val="auto"/>
        </w:rPr>
      </w:pPr>
    </w:p>
    <w:p>
      <w:pPr>
        <w:ind w:left="1620" w:right="3039"/>
        <w:spacing w:after="0" w:line="260" w:lineRule="auto"/>
        <w:rPr>
          <w:sz w:val="20"/>
          <w:szCs w:val="20"/>
          <w:color w:val="auto"/>
        </w:rPr>
      </w:pPr>
      <w:r>
        <w:rPr>
          <w:rFonts w:ascii="Courier New" w:cs="Courier New" w:eastAsia="Courier New" w:hAnsi="Courier New"/>
          <w:sz w:val="15"/>
          <w:szCs w:val="15"/>
          <w:color w:val="auto"/>
        </w:rPr>
        <w:t>Since that time the Company has established a Year 2000 Committee composed of representatives from key areas throughout the organization. It is the purpose of the Committee to identify areas subject to complications related to the year 2000 issues and to initiate remedial measures designed to eliminate any adverse effects on the Company's operations. The Committee has identified all mission-critical software and hardware that may be adversely affected by the year 2000, and has required vendors to represent that the systems and products provided are or will be 2000 compliant.</w:t>
      </w:r>
    </w:p>
    <w:p>
      <w:pPr>
        <w:spacing w:after="0" w:line="82" w:lineRule="exact"/>
        <w:rPr>
          <w:sz w:val="20"/>
          <w:szCs w:val="20"/>
          <w:color w:val="auto"/>
        </w:rPr>
      </w:pPr>
    </w:p>
    <w:p>
      <w:pPr>
        <w:ind w:left="1620" w:right="2959"/>
        <w:spacing w:after="0" w:line="271" w:lineRule="auto"/>
        <w:rPr>
          <w:sz w:val="20"/>
          <w:szCs w:val="20"/>
          <w:color w:val="auto"/>
        </w:rPr>
      </w:pPr>
      <w:r>
        <w:rPr>
          <w:rFonts w:ascii="Courier New" w:cs="Courier New" w:eastAsia="Courier New" w:hAnsi="Courier New"/>
          <w:sz w:val="15"/>
          <w:szCs w:val="15"/>
          <w:color w:val="auto"/>
        </w:rPr>
        <w:t>The Company expects that all mission-critical software will be upgraded to achieve year 2000 compliance and tested by June 30, 1999. In addition the Committee is developing contingency plans for business recovery should a mission-critical system fail at year end, as well as systems which do not become compliant by June 30, 1999.</w:t>
      </w:r>
    </w:p>
    <w:p>
      <w:pPr>
        <w:spacing w:after="0" w:line="72" w:lineRule="exact"/>
        <w:rPr>
          <w:sz w:val="20"/>
          <w:szCs w:val="20"/>
          <w:color w:val="auto"/>
        </w:rPr>
      </w:pPr>
    </w:p>
    <w:p>
      <w:pPr>
        <w:ind w:left="1620" w:right="2959"/>
        <w:spacing w:after="0" w:line="264" w:lineRule="auto"/>
        <w:rPr>
          <w:sz w:val="20"/>
          <w:szCs w:val="20"/>
          <w:color w:val="auto"/>
        </w:rPr>
      </w:pPr>
      <w:r>
        <w:rPr>
          <w:rFonts w:ascii="Courier New" w:cs="Courier New" w:eastAsia="Courier New" w:hAnsi="Courier New"/>
          <w:sz w:val="15"/>
          <w:szCs w:val="15"/>
          <w:color w:val="auto"/>
        </w:rPr>
        <w:t>The Company is committed to a plan for achieving compliance, focusing not only on its own data processing systems, but also on its customers. The Committee has taken steps to educate and assist its customers with identifying their year 2000 compliance problems. In addition the Committee has proposed policy and procedure changes to help identify potential risks to the Company and to gain an understanding of how customers are managing the risks associated with the year 2000.</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65"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57</w:t>
      </w:r>
    </w:p>
    <w:p>
      <w:pPr>
        <w:spacing w:after="0" w:line="354"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NOTE 19.</w:t>
      </w:r>
      <w:r>
        <w:rPr>
          <w:sz w:val="20"/>
          <w:szCs w:val="20"/>
          <w:color w:val="auto"/>
        </w:rPr>
        <w:tab/>
      </w:r>
      <w:r>
        <w:rPr>
          <w:rFonts w:ascii="Courier New" w:cs="Courier New" w:eastAsia="Courier New" w:hAnsi="Courier New"/>
          <w:sz w:val="15"/>
          <w:szCs w:val="15"/>
          <w:color w:val="auto"/>
        </w:rPr>
        <w:t>YEAR 2000 COMPLIANCE (Continued)</w:t>
      </w:r>
    </w:p>
    <w:p>
      <w:pPr>
        <w:spacing w:after="0" w:line="180" w:lineRule="exact"/>
        <w:rPr>
          <w:sz w:val="20"/>
          <w:szCs w:val="20"/>
          <w:color w:val="auto"/>
        </w:rPr>
      </w:pPr>
    </w:p>
    <w:p>
      <w:pPr>
        <w:ind w:left="1620" w:right="2959"/>
        <w:spacing w:after="0" w:line="255" w:lineRule="auto"/>
        <w:rPr>
          <w:sz w:val="20"/>
          <w:szCs w:val="20"/>
          <w:color w:val="auto"/>
        </w:rPr>
      </w:pPr>
      <w:r>
        <w:rPr>
          <w:rFonts w:ascii="Courier New" w:cs="Courier New" w:eastAsia="Courier New" w:hAnsi="Courier New"/>
          <w:sz w:val="15"/>
          <w:szCs w:val="15"/>
          <w:color w:val="auto"/>
        </w:rPr>
        <w:t>Management believes that the Company has an effective company year 2000 compliance program in place and that additional expenditures required to bring its systems into compliance will not have a material adverse effect on the Company's operations, cash flows, or financial condition. Management expects total additional out of pocket expenditures to be approximately $200 thousand. This includes fees to outside consulting firms, costs to upgrade equipment specifically for the purpose of year 2000 compliance, and certain administrative expenditures. However, the year 2000 problem is pervasive and complex and can potentially affect any computer process. Accordingly, no assurance can be given that year 2000 compliance can be achieved without additional unanticipated expenditures and uncertainties that might affect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65"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58</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13, 1999</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Archbold, Ohio</w:t>
      </w:r>
    </w:p>
    <w:p>
      <w:pPr>
        <w:spacing w:after="0" w:line="15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5"/>
          <w:szCs w:val="15"/>
          <w:color w:val="auto"/>
        </w:rPr>
        <w:t>INDEPENDENT AUDITORS' REPORT ON</w:t>
      </w:r>
    </w:p>
    <w:p>
      <w:pPr>
        <w:spacing w:after="0" w:line="3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5"/>
          <w:szCs w:val="15"/>
          <w:color w:val="auto"/>
        </w:rPr>
        <w:t>SUPPLEMENTARY INFORMATION</w:t>
      </w:r>
    </w:p>
    <w:p>
      <w:pPr>
        <w:spacing w:after="0" w:line="152"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Our report on our audits of the basic financial statements of Farmers &amp; Merchants Bancorp, Inc., Archbold, Ohio, and its wholly-owned subsidiaries, The Farmers &amp; Merchants State Bank and Farmers &amp; Merchants Life Insurance Company for the years ended December 31, 1998 and 1997, appears on page 6. The examination was made for the purpose of forming an opinion on the basic financial statements taken as a whole. The five year summary of operations is presented for purposes of additional analysis and is not a required part of the basic financial statements. Such information has been subjected to the auditing procedures applied in the audits of the basic financial statements and, in our opinion, is fairly stated in all material respects in relation to the basic financial statements taken as a whole.</w:t>
      </w:r>
    </w:p>
    <w:p>
      <w:pPr>
        <w:spacing w:after="0" w:line="200" w:lineRule="exact"/>
        <w:rPr>
          <w:sz w:val="20"/>
          <w:szCs w:val="20"/>
          <w:color w:val="auto"/>
        </w:rPr>
      </w:pPr>
    </w:p>
    <w:p>
      <w:pPr>
        <w:spacing w:after="0" w:line="230"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/s/ KROUSE, KERN &amp; CO., INC.</w:t>
      </w:r>
    </w:p>
    <w:p>
      <w:pPr>
        <w:spacing w:after="0" w:line="180"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KROUSE, KERN &amp; CO.,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65"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59</w:t>
      </w:r>
    </w:p>
    <w:p>
      <w:pPr>
        <w:spacing w:after="0" w:line="35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Five Year Summary of Consolidated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(In thousands except for per share</w:t>
            </w:r>
          </w:p>
        </w:tc>
        <w:tc>
          <w:tcPr>
            <w:tcW w:w="32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5"/>
                <w:szCs w:val="15"/>
                <w:color w:val="auto"/>
              </w:rPr>
            </w:pPr>
          </w:p>
        </w:tc>
        <w:tc>
          <w:tcPr>
            <w:tcW w:w="10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5"/>
                <w:szCs w:val="15"/>
                <w:color w:val="auto"/>
              </w:rPr>
            </w:pP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5"/>
                <w:szCs w:val="15"/>
                <w:color w:val="auto"/>
              </w:rPr>
            </w:pP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6"/>
        </w:trPr>
        <w:tc>
          <w:tcPr>
            <w:tcW w:w="35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r>
              <w:rPr>
                <w:rFonts w:ascii="Courier New" w:cs="Courier New" w:eastAsia="Courier New" w:hAnsi="Courier New"/>
                <w:sz w:val="30"/>
                <w:szCs w:val="30"/>
                <w:color w:val="auto"/>
                <w:w w:val="88"/>
                <w:vertAlign w:val="subscript"/>
              </w:rPr>
              <w:t>amounts)</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35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580" w:type="dxa"/>
            <w:vAlign w:val="bottom"/>
          </w:tcPr>
          <w:p>
            <w:pPr>
              <w:spacing w:after="0"/>
              <w:rPr>
                <w:sz w:val="20"/>
                <w:szCs w:val="20"/>
                <w:color w:val="auto"/>
              </w:rPr>
            </w:pPr>
            <w:r>
              <w:rPr>
                <w:rFonts w:ascii="Courier New" w:cs="Courier New" w:eastAsia="Courier New" w:hAnsi="Courier New"/>
                <w:sz w:val="15"/>
                <w:szCs w:val="15"/>
                <w:color w:val="auto"/>
              </w:rPr>
              <w:t>Summary of Income:</w:t>
            </w:r>
          </w:p>
        </w:tc>
        <w:tc>
          <w:tcPr>
            <w:tcW w:w="3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42,888</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40,158</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38,382</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34,228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27,779</w:t>
            </w:r>
          </w:p>
        </w:tc>
        <w:tc>
          <w:tcPr>
            <w:tcW w:w="0" w:type="dxa"/>
            <w:vAlign w:val="bottom"/>
          </w:tcPr>
          <w:p>
            <w:pPr>
              <w:spacing w:after="0"/>
              <w:rPr>
                <w:sz w:val="1"/>
                <w:szCs w:val="1"/>
                <w:color w:val="auto"/>
              </w:rPr>
            </w:pPr>
          </w:p>
        </w:tc>
      </w:tr>
      <w:tr>
        <w:trPr>
          <w:trHeight w:val="175"/>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rPr>
              <w:t>Interest income</w:t>
            </w:r>
          </w:p>
        </w:tc>
        <w:tc>
          <w:tcPr>
            <w:tcW w:w="3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rPr>
              <w:t>Interest expense</w:t>
            </w:r>
          </w:p>
        </w:tc>
        <w:tc>
          <w:tcPr>
            <w:tcW w:w="3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22,085</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21,139</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20,905</w:t>
            </w:r>
          </w:p>
        </w:tc>
        <w:tc>
          <w:tcPr>
            <w:tcW w:w="2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17,749</w:t>
            </w:r>
          </w:p>
        </w:tc>
        <w:tc>
          <w:tcPr>
            <w:tcW w:w="2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12,561</w:t>
            </w: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2"/>
                <w:szCs w:val="22"/>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580" w:type="dxa"/>
            <w:vAlign w:val="bottom"/>
          </w:tcPr>
          <w:p>
            <w:pPr>
              <w:ind w:left="720"/>
              <w:spacing w:after="0"/>
              <w:rPr>
                <w:sz w:val="20"/>
                <w:szCs w:val="20"/>
                <w:color w:val="auto"/>
              </w:rPr>
            </w:pPr>
            <w:r>
              <w:rPr>
                <w:rFonts w:ascii="Courier New" w:cs="Courier New" w:eastAsia="Courier New" w:hAnsi="Courier New"/>
                <w:sz w:val="15"/>
                <w:szCs w:val="15"/>
                <w:color w:val="auto"/>
              </w:rPr>
              <w:t>Net Interest Income</w:t>
            </w:r>
          </w:p>
        </w:tc>
        <w:tc>
          <w:tcPr>
            <w:tcW w:w="320" w:type="dxa"/>
            <w:vAlign w:val="bottom"/>
          </w:tcPr>
          <w:p>
            <w:pPr>
              <w:spacing w:after="0"/>
              <w:rPr>
                <w:sz w:val="24"/>
                <w:szCs w:val="24"/>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20,803</w:t>
            </w:r>
          </w:p>
        </w:tc>
        <w:tc>
          <w:tcPr>
            <w:tcW w:w="280" w:type="dxa"/>
            <w:vAlign w:val="bottom"/>
          </w:tcPr>
          <w:p>
            <w:pPr>
              <w:spacing w:after="0"/>
              <w:rPr>
                <w:sz w:val="24"/>
                <w:szCs w:val="24"/>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19,019</w:t>
            </w:r>
          </w:p>
        </w:tc>
        <w:tc>
          <w:tcPr>
            <w:tcW w:w="280" w:type="dxa"/>
            <w:vAlign w:val="bottom"/>
          </w:tcPr>
          <w:p>
            <w:pPr>
              <w:spacing w:after="0"/>
              <w:rPr>
                <w:sz w:val="24"/>
                <w:szCs w:val="24"/>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17,477</w:t>
            </w:r>
          </w:p>
        </w:tc>
        <w:tc>
          <w:tcPr>
            <w:tcW w:w="260" w:type="dxa"/>
            <w:vAlign w:val="bottom"/>
          </w:tcPr>
          <w:p>
            <w:pPr>
              <w:spacing w:after="0"/>
              <w:rPr>
                <w:sz w:val="24"/>
                <w:szCs w:val="24"/>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16,479</w:t>
            </w:r>
          </w:p>
        </w:tc>
        <w:tc>
          <w:tcPr>
            <w:tcW w:w="260" w:type="dxa"/>
            <w:vAlign w:val="bottom"/>
          </w:tcPr>
          <w:p>
            <w:pPr>
              <w:spacing w:after="0"/>
              <w:rPr>
                <w:sz w:val="24"/>
                <w:szCs w:val="24"/>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15,218</w:t>
            </w:r>
          </w:p>
        </w:tc>
        <w:tc>
          <w:tcPr>
            <w:tcW w:w="0" w:type="dxa"/>
            <w:vAlign w:val="bottom"/>
          </w:tcPr>
          <w:p>
            <w:pPr>
              <w:spacing w:after="0"/>
              <w:rPr>
                <w:sz w:val="1"/>
                <w:szCs w:val="1"/>
                <w:color w:val="auto"/>
              </w:rPr>
            </w:pPr>
          </w:p>
        </w:tc>
      </w:tr>
      <w:tr>
        <w:trPr>
          <w:trHeight w:val="268"/>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rPr>
              <w:t>Provision for loan losses</w:t>
            </w:r>
          </w:p>
        </w:tc>
        <w:tc>
          <w:tcPr>
            <w:tcW w:w="320" w:type="dxa"/>
            <w:vAlign w:val="bottom"/>
          </w:tcPr>
          <w:p>
            <w:pPr>
              <w:spacing w:after="0"/>
              <w:rPr>
                <w:sz w:val="23"/>
                <w:szCs w:val="23"/>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892</w:t>
            </w:r>
          </w:p>
        </w:tc>
        <w:tc>
          <w:tcPr>
            <w:tcW w:w="280" w:type="dxa"/>
            <w:vAlign w:val="bottom"/>
          </w:tcPr>
          <w:p>
            <w:pPr>
              <w:spacing w:after="0"/>
              <w:rPr>
                <w:sz w:val="23"/>
                <w:szCs w:val="23"/>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1,111</w:t>
            </w:r>
          </w:p>
        </w:tc>
        <w:tc>
          <w:tcPr>
            <w:tcW w:w="280" w:type="dxa"/>
            <w:vAlign w:val="bottom"/>
          </w:tcPr>
          <w:p>
            <w:pPr>
              <w:spacing w:after="0"/>
              <w:rPr>
                <w:sz w:val="23"/>
                <w:szCs w:val="23"/>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1,068</w:t>
            </w:r>
          </w:p>
        </w:tc>
        <w:tc>
          <w:tcPr>
            <w:tcW w:w="260" w:type="dxa"/>
            <w:vAlign w:val="bottom"/>
          </w:tcPr>
          <w:p>
            <w:pPr>
              <w:spacing w:after="0"/>
              <w:rPr>
                <w:sz w:val="23"/>
                <w:szCs w:val="23"/>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385</w:t>
            </w:r>
          </w:p>
        </w:tc>
        <w:tc>
          <w:tcPr>
            <w:tcW w:w="2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564</w:t>
            </w: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2"/>
                <w:szCs w:val="22"/>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rPr>
              <w:t>Net interest income after</w:t>
            </w:r>
          </w:p>
        </w:tc>
        <w:tc>
          <w:tcPr>
            <w:tcW w:w="320" w:type="dxa"/>
            <w:vAlign w:val="bottom"/>
          </w:tcPr>
          <w:p>
            <w:pPr>
              <w:spacing w:after="0"/>
              <w:rPr>
                <w:sz w:val="23"/>
                <w:szCs w:val="23"/>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19,911</w:t>
            </w:r>
          </w:p>
        </w:tc>
        <w:tc>
          <w:tcPr>
            <w:tcW w:w="280" w:type="dxa"/>
            <w:vAlign w:val="bottom"/>
          </w:tcPr>
          <w:p>
            <w:pPr>
              <w:spacing w:after="0"/>
              <w:rPr>
                <w:sz w:val="23"/>
                <w:szCs w:val="23"/>
                <w:color w:val="auto"/>
              </w:rPr>
            </w:pPr>
          </w:p>
        </w:tc>
        <w:tc>
          <w:tcPr>
            <w:tcW w:w="10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17,908</w:t>
            </w:r>
          </w:p>
        </w:tc>
        <w:tc>
          <w:tcPr>
            <w:tcW w:w="280" w:type="dxa"/>
            <w:vAlign w:val="bottom"/>
          </w:tcPr>
          <w:p>
            <w:pPr>
              <w:spacing w:after="0"/>
              <w:rPr>
                <w:sz w:val="23"/>
                <w:szCs w:val="23"/>
                <w:color w:val="auto"/>
              </w:rPr>
            </w:pPr>
          </w:p>
        </w:tc>
        <w:tc>
          <w:tcPr>
            <w:tcW w:w="110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16,409</w:t>
            </w:r>
          </w:p>
        </w:tc>
        <w:tc>
          <w:tcPr>
            <w:tcW w:w="260" w:type="dxa"/>
            <w:vAlign w:val="bottom"/>
          </w:tcPr>
          <w:p>
            <w:pPr>
              <w:spacing w:after="0"/>
              <w:rPr>
                <w:sz w:val="23"/>
                <w:szCs w:val="23"/>
                <w:color w:val="auto"/>
              </w:rPr>
            </w:pPr>
          </w:p>
        </w:tc>
        <w:tc>
          <w:tcPr>
            <w:tcW w:w="110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16,094</w:t>
            </w:r>
          </w:p>
        </w:tc>
        <w:tc>
          <w:tcPr>
            <w:tcW w:w="260" w:type="dxa"/>
            <w:vAlign w:val="bottom"/>
          </w:tcPr>
          <w:p>
            <w:pPr>
              <w:spacing w:after="0"/>
              <w:rPr>
                <w:sz w:val="23"/>
                <w:szCs w:val="23"/>
                <w:color w:val="auto"/>
              </w:rPr>
            </w:pPr>
          </w:p>
        </w:tc>
        <w:tc>
          <w:tcPr>
            <w:tcW w:w="9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14,654</w:t>
            </w:r>
          </w:p>
        </w:tc>
        <w:tc>
          <w:tcPr>
            <w:tcW w:w="0" w:type="dxa"/>
            <w:vAlign w:val="bottom"/>
          </w:tcPr>
          <w:p>
            <w:pPr>
              <w:spacing w:after="0"/>
              <w:rPr>
                <w:sz w:val="1"/>
                <w:szCs w:val="1"/>
                <w:color w:val="auto"/>
              </w:rPr>
            </w:pPr>
          </w:p>
        </w:tc>
      </w:tr>
      <w:tr>
        <w:trPr>
          <w:trHeight w:val="175"/>
        </w:trPr>
        <w:tc>
          <w:tcPr>
            <w:tcW w:w="3580" w:type="dxa"/>
            <w:vAlign w:val="bottom"/>
          </w:tcPr>
          <w:p>
            <w:pPr>
              <w:ind w:left="620"/>
              <w:spacing w:after="0"/>
              <w:rPr>
                <w:sz w:val="20"/>
                <w:szCs w:val="20"/>
                <w:color w:val="auto"/>
              </w:rPr>
            </w:pPr>
            <w:r>
              <w:rPr>
                <w:rFonts w:ascii="Courier New" w:cs="Courier New" w:eastAsia="Courier New" w:hAnsi="Courier New"/>
                <w:sz w:val="15"/>
                <w:szCs w:val="15"/>
                <w:color w:val="auto"/>
              </w:rPr>
              <w:t>provision for loan losses</w:t>
            </w: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rPr>
              <w:t>Other income (expense)</w:t>
            </w:r>
          </w:p>
        </w:tc>
        <w:tc>
          <w:tcPr>
            <w:tcW w:w="32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(8,841)</w:t>
            </w:r>
          </w:p>
        </w:tc>
        <w:tc>
          <w:tcPr>
            <w:tcW w:w="2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(8,096)</w:t>
            </w:r>
          </w:p>
        </w:tc>
        <w:tc>
          <w:tcPr>
            <w:tcW w:w="2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(8,614)</w:t>
            </w:r>
          </w:p>
        </w:tc>
        <w:tc>
          <w:tcPr>
            <w:tcW w:w="26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(8,594)</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(7,939)</w:t>
            </w: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2"/>
                <w:szCs w:val="22"/>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rPr>
              <w:t>Earnings before federal</w:t>
            </w:r>
          </w:p>
        </w:tc>
        <w:tc>
          <w:tcPr>
            <w:tcW w:w="320" w:type="dxa"/>
            <w:vAlign w:val="bottom"/>
          </w:tcPr>
          <w:p>
            <w:pPr>
              <w:spacing w:after="0"/>
              <w:rPr>
                <w:sz w:val="23"/>
                <w:szCs w:val="23"/>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11,070</w:t>
            </w:r>
          </w:p>
        </w:tc>
        <w:tc>
          <w:tcPr>
            <w:tcW w:w="280" w:type="dxa"/>
            <w:vAlign w:val="bottom"/>
          </w:tcPr>
          <w:p>
            <w:pPr>
              <w:spacing w:after="0"/>
              <w:rPr>
                <w:sz w:val="23"/>
                <w:szCs w:val="23"/>
                <w:color w:val="auto"/>
              </w:rPr>
            </w:pPr>
          </w:p>
        </w:tc>
        <w:tc>
          <w:tcPr>
            <w:tcW w:w="10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9,812</w:t>
            </w:r>
          </w:p>
        </w:tc>
        <w:tc>
          <w:tcPr>
            <w:tcW w:w="280" w:type="dxa"/>
            <w:vAlign w:val="bottom"/>
          </w:tcPr>
          <w:p>
            <w:pPr>
              <w:spacing w:after="0"/>
              <w:rPr>
                <w:sz w:val="23"/>
                <w:szCs w:val="23"/>
                <w:color w:val="auto"/>
              </w:rPr>
            </w:pPr>
          </w:p>
        </w:tc>
        <w:tc>
          <w:tcPr>
            <w:tcW w:w="110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7,795</w:t>
            </w:r>
          </w:p>
        </w:tc>
        <w:tc>
          <w:tcPr>
            <w:tcW w:w="260" w:type="dxa"/>
            <w:vAlign w:val="bottom"/>
          </w:tcPr>
          <w:p>
            <w:pPr>
              <w:spacing w:after="0"/>
              <w:rPr>
                <w:sz w:val="23"/>
                <w:szCs w:val="23"/>
                <w:color w:val="auto"/>
              </w:rPr>
            </w:pPr>
          </w:p>
        </w:tc>
        <w:tc>
          <w:tcPr>
            <w:tcW w:w="110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7,500</w:t>
            </w:r>
          </w:p>
        </w:tc>
        <w:tc>
          <w:tcPr>
            <w:tcW w:w="260" w:type="dxa"/>
            <w:vAlign w:val="bottom"/>
          </w:tcPr>
          <w:p>
            <w:pPr>
              <w:spacing w:after="0"/>
              <w:rPr>
                <w:sz w:val="23"/>
                <w:szCs w:val="23"/>
                <w:color w:val="auto"/>
              </w:rPr>
            </w:pPr>
          </w:p>
        </w:tc>
        <w:tc>
          <w:tcPr>
            <w:tcW w:w="9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6,715</w:t>
            </w:r>
          </w:p>
        </w:tc>
        <w:tc>
          <w:tcPr>
            <w:tcW w:w="0" w:type="dxa"/>
            <w:vAlign w:val="bottom"/>
          </w:tcPr>
          <w:p>
            <w:pPr>
              <w:spacing w:after="0"/>
              <w:rPr>
                <w:sz w:val="1"/>
                <w:szCs w:val="1"/>
                <w:color w:val="auto"/>
              </w:rPr>
            </w:pPr>
          </w:p>
        </w:tc>
      </w:tr>
      <w:tr>
        <w:trPr>
          <w:trHeight w:val="175"/>
        </w:trPr>
        <w:tc>
          <w:tcPr>
            <w:tcW w:w="3580" w:type="dxa"/>
            <w:vAlign w:val="bottom"/>
          </w:tcPr>
          <w:p>
            <w:pPr>
              <w:ind w:left="620"/>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3,413</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3,035</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2,312</w:t>
            </w:r>
          </w:p>
        </w:tc>
        <w:tc>
          <w:tcPr>
            <w:tcW w:w="2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2,203</w:t>
            </w:r>
          </w:p>
        </w:tc>
        <w:tc>
          <w:tcPr>
            <w:tcW w:w="2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1,749</w:t>
            </w: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2"/>
                <w:szCs w:val="22"/>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7,657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6,777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5,483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5,297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4,966</w:t>
            </w: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2"/>
                <w:szCs w:val="22"/>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rPr>
              <w:t>Per Share of Common Stock:</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620"/>
              <w:spacing w:after="0"/>
              <w:rPr>
                <w:sz w:val="20"/>
                <w:szCs w:val="20"/>
                <w:color w:val="auto"/>
              </w:rPr>
            </w:pPr>
            <w:r>
              <w:rPr>
                <w:rFonts w:ascii="Courier New" w:cs="Courier New" w:eastAsia="Courier New" w:hAnsi="Courier New"/>
                <w:sz w:val="15"/>
                <w:szCs w:val="15"/>
                <w:color w:val="auto"/>
              </w:rPr>
              <w:t>Earnings per common share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720"/>
              <w:spacing w:after="0"/>
              <w:rPr>
                <w:sz w:val="20"/>
                <w:szCs w:val="20"/>
                <w:color w:val="auto"/>
              </w:rPr>
            </w:pPr>
            <w:r>
              <w:rPr>
                <w:rFonts w:ascii="Courier New" w:cs="Courier New" w:eastAsia="Courier New" w:hAnsi="Courier New"/>
                <w:sz w:val="15"/>
                <w:szCs w:val="15"/>
                <w:color w:val="auto"/>
              </w:rPr>
              <w:t>outstanding:</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720"/>
              <w:spacing w:after="0"/>
              <w:rPr>
                <w:sz w:val="20"/>
                <w:szCs w:val="20"/>
                <w:color w:val="auto"/>
              </w:rPr>
            </w:pPr>
            <w:r>
              <w:rPr>
                <w:rFonts w:ascii="Courier New" w:cs="Courier New" w:eastAsia="Courier New" w:hAnsi="Courier New"/>
                <w:sz w:val="15"/>
                <w:szCs w:val="15"/>
                <w:color w:val="auto"/>
              </w:rPr>
              <w:t>(Based on the weighted average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720"/>
              <w:spacing w:after="0"/>
              <w:rPr>
                <w:sz w:val="20"/>
                <w:szCs w:val="20"/>
                <w:color w:val="auto"/>
              </w:rPr>
            </w:pPr>
            <w:r>
              <w:rPr>
                <w:rFonts w:ascii="Courier New" w:cs="Courier New" w:eastAsia="Courier New" w:hAnsi="Courier New"/>
                <w:sz w:val="15"/>
                <w:szCs w:val="15"/>
                <w:color w:val="auto"/>
              </w:rPr>
              <w:t>number of shares outstanding)</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720"/>
              <w:spacing w:after="0"/>
              <w:rPr>
                <w:sz w:val="20"/>
                <w:szCs w:val="20"/>
                <w:color w:val="auto"/>
              </w:rPr>
            </w:pPr>
            <w:r>
              <w:rPr>
                <w:rFonts w:ascii="Courier New" w:cs="Courier New" w:eastAsia="Courier New" w:hAnsi="Courier New"/>
                <w:sz w:val="15"/>
                <w:szCs w:val="15"/>
                <w:color w:val="auto"/>
              </w:rPr>
              <w:t>(All per share amounts have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720"/>
              <w:spacing w:after="0"/>
              <w:rPr>
                <w:sz w:val="20"/>
                <w:szCs w:val="20"/>
                <w:color w:val="auto"/>
              </w:rPr>
            </w:pPr>
            <w:r>
              <w:rPr>
                <w:rFonts w:ascii="Courier New" w:cs="Courier New" w:eastAsia="Courier New" w:hAnsi="Courier New"/>
                <w:sz w:val="15"/>
                <w:szCs w:val="15"/>
                <w:color w:val="auto"/>
              </w:rPr>
              <w:t>been retroactively restated to</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580" w:type="dxa"/>
            <w:vAlign w:val="bottom"/>
          </w:tcPr>
          <w:p>
            <w:pPr>
              <w:ind w:left="720"/>
              <w:spacing w:after="0"/>
              <w:rPr>
                <w:sz w:val="20"/>
                <w:szCs w:val="20"/>
                <w:color w:val="auto"/>
              </w:rPr>
            </w:pPr>
            <w:r>
              <w:rPr>
                <w:rFonts w:ascii="Courier New" w:cs="Courier New" w:eastAsia="Courier New" w:hAnsi="Courier New"/>
                <w:sz w:val="15"/>
                <w:szCs w:val="15"/>
                <w:color w:val="auto"/>
              </w:rPr>
              <w:t>reflect 5 for 1 stock split in</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580" w:type="dxa"/>
            <w:vAlign w:val="bottom"/>
          </w:tcPr>
          <w:p>
            <w:pPr>
              <w:ind w:left="1180"/>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5.22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4.07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3.82</w:t>
            </w:r>
          </w:p>
        </w:tc>
        <w:tc>
          <w:tcPr>
            <w:tcW w:w="0" w:type="dxa"/>
            <w:vAlign w:val="bottom"/>
          </w:tcPr>
          <w:p>
            <w:pPr>
              <w:spacing w:after="0"/>
              <w:rPr>
                <w:sz w:val="1"/>
                <w:szCs w:val="1"/>
                <w:color w:val="auto"/>
              </w:rPr>
            </w:pPr>
          </w:p>
        </w:tc>
      </w:tr>
      <w:tr>
        <w:trPr>
          <w:trHeight w:val="175"/>
        </w:trPr>
        <w:tc>
          <w:tcPr>
            <w:tcW w:w="3580" w:type="dxa"/>
            <w:vAlign w:val="bottom"/>
          </w:tcPr>
          <w:p>
            <w:pPr>
              <w:ind w:left="1180"/>
              <w:spacing w:after="0"/>
              <w:rPr>
                <w:sz w:val="20"/>
                <w:szCs w:val="20"/>
                <w:color w:val="auto"/>
              </w:rPr>
            </w:pPr>
            <w:r>
              <w:rPr>
                <w:rFonts w:ascii="Courier New" w:cs="Courier New" w:eastAsia="Courier New" w:hAnsi="Courier New"/>
                <w:sz w:val="15"/>
                <w:szCs w:val="15"/>
                <w:color w:val="auto"/>
              </w:rPr>
              <w:t>Dividends</w:t>
            </w:r>
          </w:p>
        </w:tc>
        <w:tc>
          <w:tcPr>
            <w:tcW w:w="3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1.40</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1.25</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1.15</w:t>
            </w:r>
          </w:p>
        </w:tc>
        <w:tc>
          <w:tcPr>
            <w:tcW w:w="2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1.10</w:t>
            </w:r>
          </w:p>
        </w:tc>
        <w:tc>
          <w:tcPr>
            <w:tcW w:w="2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5"/>
        </w:trPr>
        <w:tc>
          <w:tcPr>
            <w:tcW w:w="3580" w:type="dxa"/>
            <w:vAlign w:val="bottom"/>
          </w:tcPr>
          <w:p>
            <w:pPr>
              <w:ind w:left="1180"/>
              <w:spacing w:after="0"/>
              <w:rPr>
                <w:sz w:val="20"/>
                <w:szCs w:val="20"/>
                <w:color w:val="auto"/>
              </w:rPr>
            </w:pPr>
            <w:r>
              <w:rPr>
                <w:rFonts w:ascii="Courier New" w:cs="Courier New" w:eastAsia="Courier New" w:hAnsi="Courier New"/>
                <w:sz w:val="15"/>
                <w:szCs w:val="15"/>
                <w:color w:val="auto"/>
              </w:rPr>
              <w:t>Weighted average number</w:t>
            </w:r>
          </w:p>
        </w:tc>
        <w:tc>
          <w:tcPr>
            <w:tcW w:w="320" w:type="dxa"/>
            <w:vAlign w:val="bottom"/>
          </w:tcPr>
          <w:p>
            <w:pPr>
              <w:spacing w:after="0"/>
              <w:rPr>
                <w:sz w:val="15"/>
                <w:szCs w:val="15"/>
                <w:color w:val="auto"/>
              </w:rPr>
            </w:pPr>
          </w:p>
        </w:tc>
        <w:tc>
          <w:tcPr>
            <w:tcW w:w="10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w w:val="98"/>
              </w:rPr>
              <w:t>1,300,000</w:t>
            </w:r>
          </w:p>
        </w:tc>
        <w:tc>
          <w:tcPr>
            <w:tcW w:w="280" w:type="dxa"/>
            <w:vAlign w:val="bottom"/>
          </w:tcPr>
          <w:p>
            <w:pPr>
              <w:spacing w:after="0"/>
              <w:rPr>
                <w:sz w:val="15"/>
                <w:szCs w:val="15"/>
                <w:color w:val="auto"/>
              </w:rPr>
            </w:pPr>
          </w:p>
        </w:tc>
        <w:tc>
          <w:tcPr>
            <w:tcW w:w="10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1,300,000</w:t>
            </w:r>
          </w:p>
        </w:tc>
        <w:tc>
          <w:tcPr>
            <w:tcW w:w="280" w:type="dxa"/>
            <w:vAlign w:val="bottom"/>
          </w:tcPr>
          <w:p>
            <w:pPr>
              <w:spacing w:after="0"/>
              <w:rPr>
                <w:sz w:val="15"/>
                <w:szCs w:val="15"/>
                <w:color w:val="auto"/>
              </w:rPr>
            </w:pPr>
          </w:p>
        </w:tc>
        <w:tc>
          <w:tcPr>
            <w:tcW w:w="110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1,300,000</w:t>
            </w:r>
          </w:p>
        </w:tc>
        <w:tc>
          <w:tcPr>
            <w:tcW w:w="260" w:type="dxa"/>
            <w:vAlign w:val="bottom"/>
          </w:tcPr>
          <w:p>
            <w:pPr>
              <w:spacing w:after="0"/>
              <w:rPr>
                <w:sz w:val="15"/>
                <w:szCs w:val="15"/>
                <w:color w:val="auto"/>
              </w:rPr>
            </w:pPr>
          </w:p>
        </w:tc>
        <w:tc>
          <w:tcPr>
            <w:tcW w:w="110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1,300,000</w:t>
            </w:r>
          </w:p>
        </w:tc>
        <w:tc>
          <w:tcPr>
            <w:tcW w:w="260" w:type="dxa"/>
            <w:vAlign w:val="bottom"/>
          </w:tcPr>
          <w:p>
            <w:pPr>
              <w:spacing w:after="0"/>
              <w:rPr>
                <w:sz w:val="15"/>
                <w:szCs w:val="15"/>
                <w:color w:val="auto"/>
              </w:rPr>
            </w:pPr>
          </w:p>
        </w:tc>
        <w:tc>
          <w:tcPr>
            <w:tcW w:w="9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1,300,000</w:t>
            </w:r>
          </w:p>
        </w:tc>
        <w:tc>
          <w:tcPr>
            <w:tcW w:w="0" w:type="dxa"/>
            <w:vAlign w:val="bottom"/>
          </w:tcPr>
          <w:p>
            <w:pPr>
              <w:spacing w:after="0"/>
              <w:rPr>
                <w:sz w:val="1"/>
                <w:szCs w:val="1"/>
                <w:color w:val="auto"/>
              </w:rPr>
            </w:pPr>
          </w:p>
        </w:tc>
      </w:tr>
      <w:tr>
        <w:trPr>
          <w:trHeight w:val="256"/>
        </w:trPr>
        <w:tc>
          <w:tcPr>
            <w:tcW w:w="3580" w:type="dxa"/>
            <w:vAlign w:val="bottom"/>
          </w:tcPr>
          <w:p>
            <w:pPr>
              <w:ind w:left="1360"/>
              <w:spacing w:after="0"/>
              <w:rPr>
                <w:sz w:val="20"/>
                <w:szCs w:val="20"/>
                <w:color w:val="auto"/>
              </w:rPr>
            </w:pPr>
            <w:r>
              <w:rPr>
                <w:rFonts w:ascii="Courier New" w:cs="Courier New" w:eastAsia="Courier New" w:hAnsi="Courier New"/>
                <w:sz w:val="15"/>
                <w:szCs w:val="15"/>
                <w:color w:val="auto"/>
              </w:rPr>
              <w:t>of shares outstanding</w:t>
            </w:r>
          </w:p>
        </w:tc>
        <w:tc>
          <w:tcPr>
            <w:tcW w:w="3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580" w:type="dxa"/>
            <w:vAlign w:val="bottom"/>
          </w:tcPr>
          <w:p>
            <w:pPr>
              <w:spacing w:after="0"/>
              <w:rPr>
                <w:sz w:val="20"/>
                <w:szCs w:val="20"/>
                <w:color w:val="auto"/>
              </w:rPr>
            </w:pPr>
            <w:r>
              <w:rPr>
                <w:rFonts w:ascii="Courier New" w:cs="Courier New" w:eastAsia="Courier New" w:hAnsi="Courier New"/>
                <w:sz w:val="15"/>
                <w:szCs w:val="15"/>
                <w:color w:val="auto"/>
              </w:rPr>
              <w:t>Year-end assets</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585,869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528,273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501,449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464,090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406,186</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Average assets</w:t>
            </w:r>
          </w:p>
        </w:tc>
        <w:tc>
          <w:tcPr>
            <w:tcW w:w="3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553,277</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510,163</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482,770</w:t>
            </w:r>
          </w:p>
        </w:tc>
        <w:tc>
          <w:tcPr>
            <w:tcW w:w="2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430,304</w:t>
            </w:r>
          </w:p>
        </w:tc>
        <w:tc>
          <w:tcPr>
            <w:tcW w:w="2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387,440</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Year-end equity capital</w:t>
            </w:r>
          </w:p>
        </w:tc>
        <w:tc>
          <w:tcPr>
            <w:tcW w:w="3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55,350</w:t>
            </w:r>
          </w:p>
        </w:tc>
        <w:tc>
          <w:tcPr>
            <w:tcW w:w="2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48,844</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43,381</w:t>
            </w:r>
          </w:p>
        </w:tc>
        <w:tc>
          <w:tcPr>
            <w:tcW w:w="2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39,621</w:t>
            </w:r>
          </w:p>
        </w:tc>
        <w:tc>
          <w:tcPr>
            <w:tcW w:w="2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34,586</w:t>
            </w: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0"/>
                <w:szCs w:val="20"/>
                <w:color w:val="auto"/>
              </w:rPr>
            </w:pPr>
            <w:r>
              <w:rPr>
                <w:rFonts w:ascii="Courier New" w:cs="Courier New" w:eastAsia="Courier New" w:hAnsi="Courier New"/>
                <w:sz w:val="15"/>
                <w:szCs w:val="15"/>
                <w:color w:val="auto"/>
              </w:rPr>
              <w:t>Average equity capital</w:t>
            </w:r>
          </w:p>
        </w:tc>
        <w:tc>
          <w:tcPr>
            <w:tcW w:w="320" w:type="dxa"/>
            <w:vAlign w:val="bottom"/>
          </w:tcPr>
          <w:p>
            <w:pPr>
              <w:spacing w:after="0"/>
              <w:rPr>
                <w:sz w:val="22"/>
                <w:szCs w:val="22"/>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52,940</w:t>
            </w:r>
          </w:p>
        </w:tc>
        <w:tc>
          <w:tcPr>
            <w:tcW w:w="280" w:type="dxa"/>
            <w:vAlign w:val="bottom"/>
          </w:tcPr>
          <w:p>
            <w:pPr>
              <w:spacing w:after="0"/>
              <w:rPr>
                <w:sz w:val="22"/>
                <w:szCs w:val="22"/>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46,548</w:t>
            </w:r>
          </w:p>
        </w:tc>
        <w:tc>
          <w:tcPr>
            <w:tcW w:w="280" w:type="dxa"/>
            <w:vAlign w:val="bottom"/>
          </w:tcPr>
          <w:p>
            <w:pPr>
              <w:spacing w:after="0"/>
              <w:rPr>
                <w:sz w:val="22"/>
                <w:szCs w:val="22"/>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41,501</w:t>
            </w:r>
          </w:p>
        </w:tc>
        <w:tc>
          <w:tcPr>
            <w:tcW w:w="260" w:type="dxa"/>
            <w:vAlign w:val="bottom"/>
          </w:tcPr>
          <w:p>
            <w:pPr>
              <w:spacing w:after="0"/>
              <w:rPr>
                <w:sz w:val="22"/>
                <w:szCs w:val="22"/>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38,034</w:t>
            </w:r>
          </w:p>
        </w:tc>
        <w:tc>
          <w:tcPr>
            <w:tcW w:w="26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32,838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Independent Auditors' Report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Supplementary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60"/>
          </w:cols>
          <w:pgMar w:left="240" w:top="265" w:right="1399"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60</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Trading Market for the Company's Stock</w:t>
      </w:r>
    </w:p>
    <w:p>
      <w:pPr>
        <w:spacing w:after="0" w:line="200" w:lineRule="exact"/>
        <w:rPr>
          <w:sz w:val="20"/>
          <w:szCs w:val="20"/>
          <w:color w:val="auto"/>
        </w:rPr>
      </w:pPr>
    </w:p>
    <w:p>
      <w:pPr>
        <w:spacing w:after="0" w:line="329" w:lineRule="exact"/>
        <w:rPr>
          <w:sz w:val="20"/>
          <w:szCs w:val="20"/>
          <w:color w:val="auto"/>
        </w:rPr>
      </w:pPr>
    </w:p>
    <w:p>
      <w:pPr>
        <w:jc w:val="both"/>
        <w:ind w:right="3540"/>
        <w:spacing w:after="0" w:line="307" w:lineRule="auto"/>
        <w:rPr>
          <w:sz w:val="20"/>
          <w:szCs w:val="20"/>
          <w:color w:val="auto"/>
        </w:rPr>
      </w:pPr>
      <w:r>
        <w:rPr>
          <w:rFonts w:ascii="Courier New" w:cs="Courier New" w:eastAsia="Courier New" w:hAnsi="Courier New"/>
          <w:sz w:val="15"/>
          <w:szCs w:val="15"/>
          <w:color w:val="auto"/>
        </w:rPr>
        <w:t>The Company's stock is not actively traded on any exchange. The range and sales prices, based upon information that the Company has been made aware, are listed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00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Stock Prices</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3900" w:type="dxa"/>
            <w:vAlign w:val="bottom"/>
          </w:tcPr>
          <w:p>
            <w:pPr>
              <w:spacing w:after="0"/>
              <w:rPr>
                <w:sz w:val="15"/>
                <w:szCs w:val="15"/>
                <w:color w:val="auto"/>
              </w:rPr>
            </w:pPr>
          </w:p>
        </w:tc>
        <w:tc>
          <w:tcPr>
            <w:tcW w:w="68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spacing w:after="0"/>
              <w:rPr>
                <w:sz w:val="15"/>
                <w:szCs w:val="15"/>
                <w:color w:val="auto"/>
              </w:rPr>
            </w:pPr>
          </w:p>
        </w:tc>
        <w:tc>
          <w:tcPr>
            <w:tcW w:w="3540" w:type="dxa"/>
            <w:vAlign w:val="bottom"/>
          </w:tcPr>
          <w:p>
            <w:pPr>
              <w:ind w:left="2360"/>
              <w:spacing w:after="0"/>
              <w:rPr>
                <w:sz w:val="20"/>
                <w:szCs w:val="20"/>
                <w:color w:val="auto"/>
              </w:rPr>
            </w:pPr>
            <w:r>
              <w:rPr>
                <w:rFonts w:ascii="Courier New" w:cs="Courier New" w:eastAsia="Courier New" w:hAnsi="Courier New"/>
                <w:sz w:val="15"/>
                <w:szCs w:val="15"/>
                <w:color w:val="auto"/>
              </w:rPr>
              <w:t>Quarter</w:t>
            </w:r>
          </w:p>
        </w:tc>
        <w:tc>
          <w:tcPr>
            <w:tcW w:w="740" w:type="dxa"/>
            <w:vAlign w:val="bottom"/>
          </w:tcPr>
          <w:p>
            <w:pPr>
              <w:spacing w:after="0"/>
              <w:rPr>
                <w:sz w:val="15"/>
                <w:szCs w:val="15"/>
                <w:color w:val="auto"/>
              </w:rPr>
            </w:pPr>
          </w:p>
        </w:tc>
        <w:tc>
          <w:tcPr>
            <w:tcW w:w="12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Low</w:t>
            </w:r>
          </w:p>
        </w:tc>
        <w:tc>
          <w:tcPr>
            <w:tcW w:w="64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High</w:t>
            </w:r>
          </w:p>
        </w:tc>
      </w:tr>
      <w:tr>
        <w:trPr>
          <w:trHeight w:val="256"/>
        </w:trPr>
        <w:tc>
          <w:tcPr>
            <w:tcW w:w="3900" w:type="dxa"/>
            <w:vAlign w:val="bottom"/>
          </w:tcPr>
          <w:p>
            <w:pPr>
              <w:spacing w:after="0"/>
              <w:rPr>
                <w:sz w:val="22"/>
                <w:szCs w:val="22"/>
                <w:color w:val="auto"/>
              </w:rPr>
            </w:pPr>
          </w:p>
        </w:tc>
        <w:tc>
          <w:tcPr>
            <w:tcW w:w="3540" w:type="dxa"/>
            <w:vAlign w:val="bottom"/>
          </w:tcPr>
          <w:p>
            <w:pPr>
              <w:jc w:val="center"/>
              <w:ind w:left="1744"/>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68"/>
        </w:trPr>
        <w:tc>
          <w:tcPr>
            <w:tcW w:w="3900" w:type="dxa"/>
            <w:vAlign w:val="bottom"/>
          </w:tcPr>
          <w:p>
            <w:pPr>
              <w:spacing w:after="0"/>
              <w:rPr>
                <w:sz w:val="20"/>
                <w:szCs w:val="20"/>
                <w:color w:val="auto"/>
              </w:rPr>
            </w:pPr>
            <w:r>
              <w:rPr>
                <w:rFonts w:ascii="Courier New" w:cs="Courier New" w:eastAsia="Courier New" w:hAnsi="Courier New"/>
                <w:sz w:val="15"/>
                <w:szCs w:val="15"/>
                <w:color w:val="auto"/>
              </w:rPr>
              <w:t>1998 - by quarter</w:t>
            </w:r>
          </w:p>
        </w:tc>
        <w:tc>
          <w:tcPr>
            <w:tcW w:w="3540" w:type="dxa"/>
            <w:vAlign w:val="bottom"/>
          </w:tcPr>
          <w:p>
            <w:pPr>
              <w:jc w:val="center"/>
              <w:ind w:left="1744"/>
              <w:spacing w:after="0"/>
              <w:rPr>
                <w:sz w:val="20"/>
                <w:szCs w:val="20"/>
                <w:color w:val="auto"/>
              </w:rPr>
            </w:pPr>
            <w:r>
              <w:rPr>
                <w:rFonts w:ascii="Courier New" w:cs="Courier New" w:eastAsia="Courier New" w:hAnsi="Courier New"/>
                <w:sz w:val="15"/>
                <w:szCs w:val="15"/>
                <w:color w:val="auto"/>
              </w:rPr>
              <w:t>1st</w:t>
            </w:r>
          </w:p>
        </w:tc>
        <w:tc>
          <w:tcPr>
            <w:tcW w:w="7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55.00</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55.00</w:t>
            </w:r>
          </w:p>
        </w:tc>
      </w:tr>
      <w:tr>
        <w:trPr>
          <w:trHeight w:val="175"/>
        </w:trPr>
        <w:tc>
          <w:tcPr>
            <w:tcW w:w="3900" w:type="dxa"/>
            <w:vAlign w:val="bottom"/>
          </w:tcPr>
          <w:p>
            <w:pPr>
              <w:spacing w:after="0"/>
              <w:rPr>
                <w:sz w:val="15"/>
                <w:szCs w:val="15"/>
                <w:color w:val="auto"/>
              </w:rPr>
            </w:pPr>
          </w:p>
        </w:tc>
        <w:tc>
          <w:tcPr>
            <w:tcW w:w="3540" w:type="dxa"/>
            <w:vAlign w:val="bottom"/>
          </w:tcPr>
          <w:p>
            <w:pPr>
              <w:jc w:val="center"/>
              <w:ind w:left="1744"/>
              <w:spacing w:after="0"/>
              <w:rPr>
                <w:sz w:val="20"/>
                <w:szCs w:val="20"/>
                <w:color w:val="auto"/>
              </w:rPr>
            </w:pPr>
            <w:r>
              <w:rPr>
                <w:rFonts w:ascii="Courier New" w:cs="Courier New" w:eastAsia="Courier New" w:hAnsi="Courier New"/>
                <w:sz w:val="15"/>
                <w:szCs w:val="15"/>
                <w:color w:val="auto"/>
              </w:rPr>
              <w:t>2nd</w:t>
            </w:r>
          </w:p>
        </w:tc>
        <w:tc>
          <w:tcPr>
            <w:tcW w:w="740" w:type="dxa"/>
            <w:vAlign w:val="bottom"/>
          </w:tcPr>
          <w:p>
            <w:pPr>
              <w:spacing w:after="0"/>
              <w:rPr>
                <w:sz w:val="15"/>
                <w:szCs w:val="15"/>
                <w:color w:val="auto"/>
              </w:rPr>
            </w:pP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55.00</w:t>
            </w:r>
          </w:p>
        </w:tc>
        <w:tc>
          <w:tcPr>
            <w:tcW w:w="6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65.00</w:t>
            </w:r>
          </w:p>
        </w:tc>
      </w:tr>
      <w:tr>
        <w:trPr>
          <w:trHeight w:val="175"/>
        </w:trPr>
        <w:tc>
          <w:tcPr>
            <w:tcW w:w="3900" w:type="dxa"/>
            <w:vAlign w:val="bottom"/>
          </w:tcPr>
          <w:p>
            <w:pPr>
              <w:spacing w:after="0"/>
              <w:rPr>
                <w:sz w:val="15"/>
                <w:szCs w:val="15"/>
                <w:color w:val="auto"/>
              </w:rPr>
            </w:pPr>
          </w:p>
        </w:tc>
        <w:tc>
          <w:tcPr>
            <w:tcW w:w="3540" w:type="dxa"/>
            <w:vAlign w:val="bottom"/>
          </w:tcPr>
          <w:p>
            <w:pPr>
              <w:jc w:val="center"/>
              <w:ind w:left="1744"/>
              <w:spacing w:after="0"/>
              <w:rPr>
                <w:sz w:val="20"/>
                <w:szCs w:val="20"/>
                <w:color w:val="auto"/>
              </w:rPr>
            </w:pPr>
            <w:r>
              <w:rPr>
                <w:rFonts w:ascii="Courier New" w:cs="Courier New" w:eastAsia="Courier New" w:hAnsi="Courier New"/>
                <w:sz w:val="15"/>
                <w:szCs w:val="15"/>
                <w:color w:val="auto"/>
              </w:rPr>
              <w:t>3rd</w:t>
            </w:r>
          </w:p>
        </w:tc>
        <w:tc>
          <w:tcPr>
            <w:tcW w:w="740" w:type="dxa"/>
            <w:vAlign w:val="bottom"/>
          </w:tcPr>
          <w:p>
            <w:pPr>
              <w:spacing w:after="0"/>
              <w:rPr>
                <w:sz w:val="15"/>
                <w:szCs w:val="15"/>
                <w:color w:val="auto"/>
              </w:rPr>
            </w:pP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65.00</w:t>
            </w:r>
          </w:p>
        </w:tc>
        <w:tc>
          <w:tcPr>
            <w:tcW w:w="6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256"/>
        </w:trPr>
        <w:tc>
          <w:tcPr>
            <w:tcW w:w="3900" w:type="dxa"/>
            <w:vAlign w:val="bottom"/>
          </w:tcPr>
          <w:p>
            <w:pPr>
              <w:spacing w:after="0"/>
              <w:rPr>
                <w:sz w:val="22"/>
                <w:szCs w:val="22"/>
                <w:color w:val="auto"/>
              </w:rPr>
            </w:pPr>
          </w:p>
        </w:tc>
        <w:tc>
          <w:tcPr>
            <w:tcW w:w="3540" w:type="dxa"/>
            <w:vAlign w:val="bottom"/>
          </w:tcPr>
          <w:p>
            <w:pPr>
              <w:jc w:val="center"/>
              <w:ind w:left="1744"/>
              <w:spacing w:after="0"/>
              <w:rPr>
                <w:sz w:val="20"/>
                <w:szCs w:val="20"/>
                <w:color w:val="auto"/>
              </w:rPr>
            </w:pPr>
            <w:r>
              <w:rPr>
                <w:rFonts w:ascii="Courier New" w:cs="Courier New" w:eastAsia="Courier New" w:hAnsi="Courier New"/>
                <w:sz w:val="15"/>
                <w:szCs w:val="15"/>
                <w:color w:val="auto"/>
              </w:rPr>
              <w:t>4th</w:t>
            </w:r>
          </w:p>
        </w:tc>
        <w:tc>
          <w:tcPr>
            <w:tcW w:w="740" w:type="dxa"/>
            <w:vAlign w:val="bottom"/>
          </w:tcPr>
          <w:p>
            <w:pPr>
              <w:spacing w:after="0"/>
              <w:rPr>
                <w:sz w:val="22"/>
                <w:szCs w:val="22"/>
                <w:color w:val="auto"/>
              </w:rPr>
            </w:pP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70.00</w:t>
            </w:r>
          </w:p>
        </w:tc>
        <w:tc>
          <w:tcPr>
            <w:tcW w:w="6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75.00</w:t>
            </w:r>
          </w:p>
        </w:tc>
      </w:tr>
      <w:tr>
        <w:trPr>
          <w:trHeight w:val="268"/>
        </w:trPr>
        <w:tc>
          <w:tcPr>
            <w:tcW w:w="3900" w:type="dxa"/>
            <w:vAlign w:val="bottom"/>
          </w:tcPr>
          <w:p>
            <w:pPr>
              <w:spacing w:after="0"/>
              <w:rPr>
                <w:sz w:val="20"/>
                <w:szCs w:val="20"/>
                <w:color w:val="auto"/>
              </w:rPr>
            </w:pPr>
            <w:r>
              <w:rPr>
                <w:rFonts w:ascii="Courier New" w:cs="Courier New" w:eastAsia="Courier New" w:hAnsi="Courier New"/>
                <w:sz w:val="15"/>
                <w:szCs w:val="15"/>
                <w:color w:val="auto"/>
              </w:rPr>
              <w:t>1997 - by quarter</w:t>
            </w:r>
          </w:p>
        </w:tc>
        <w:tc>
          <w:tcPr>
            <w:tcW w:w="3540" w:type="dxa"/>
            <w:vAlign w:val="bottom"/>
          </w:tcPr>
          <w:p>
            <w:pPr>
              <w:jc w:val="center"/>
              <w:ind w:left="1744"/>
              <w:spacing w:after="0"/>
              <w:rPr>
                <w:sz w:val="20"/>
                <w:szCs w:val="20"/>
                <w:color w:val="auto"/>
              </w:rPr>
            </w:pPr>
            <w:r>
              <w:rPr>
                <w:rFonts w:ascii="Courier New" w:cs="Courier New" w:eastAsia="Courier New" w:hAnsi="Courier New"/>
                <w:sz w:val="15"/>
                <w:szCs w:val="15"/>
                <w:color w:val="auto"/>
              </w:rPr>
              <w:t>1st</w:t>
            </w:r>
          </w:p>
        </w:tc>
        <w:tc>
          <w:tcPr>
            <w:tcW w:w="7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40.00</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175"/>
        </w:trPr>
        <w:tc>
          <w:tcPr>
            <w:tcW w:w="3900" w:type="dxa"/>
            <w:vAlign w:val="bottom"/>
          </w:tcPr>
          <w:p>
            <w:pPr>
              <w:spacing w:after="0"/>
              <w:rPr>
                <w:sz w:val="15"/>
                <w:szCs w:val="15"/>
                <w:color w:val="auto"/>
              </w:rPr>
            </w:pPr>
          </w:p>
        </w:tc>
        <w:tc>
          <w:tcPr>
            <w:tcW w:w="3540" w:type="dxa"/>
            <w:vAlign w:val="bottom"/>
          </w:tcPr>
          <w:p>
            <w:pPr>
              <w:jc w:val="center"/>
              <w:ind w:left="1744"/>
              <w:spacing w:after="0"/>
              <w:rPr>
                <w:sz w:val="20"/>
                <w:szCs w:val="20"/>
                <w:color w:val="auto"/>
              </w:rPr>
            </w:pPr>
            <w:r>
              <w:rPr>
                <w:rFonts w:ascii="Courier New" w:cs="Courier New" w:eastAsia="Courier New" w:hAnsi="Courier New"/>
                <w:sz w:val="15"/>
                <w:szCs w:val="15"/>
                <w:color w:val="auto"/>
              </w:rPr>
              <w:t>2nd</w:t>
            </w:r>
          </w:p>
        </w:tc>
        <w:tc>
          <w:tcPr>
            <w:tcW w:w="740" w:type="dxa"/>
            <w:vAlign w:val="bottom"/>
          </w:tcPr>
          <w:p>
            <w:pPr>
              <w:spacing w:after="0"/>
              <w:rPr>
                <w:sz w:val="15"/>
                <w:szCs w:val="15"/>
                <w:color w:val="auto"/>
              </w:rPr>
            </w:pP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55.00</w:t>
            </w:r>
          </w:p>
        </w:tc>
        <w:tc>
          <w:tcPr>
            <w:tcW w:w="6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72.00</w:t>
            </w:r>
          </w:p>
        </w:tc>
      </w:tr>
      <w:tr>
        <w:trPr>
          <w:trHeight w:val="175"/>
        </w:trPr>
        <w:tc>
          <w:tcPr>
            <w:tcW w:w="3900" w:type="dxa"/>
            <w:vAlign w:val="bottom"/>
          </w:tcPr>
          <w:p>
            <w:pPr>
              <w:spacing w:after="0"/>
              <w:rPr>
                <w:sz w:val="15"/>
                <w:szCs w:val="15"/>
                <w:color w:val="auto"/>
              </w:rPr>
            </w:pPr>
          </w:p>
        </w:tc>
        <w:tc>
          <w:tcPr>
            <w:tcW w:w="3540" w:type="dxa"/>
            <w:vAlign w:val="bottom"/>
          </w:tcPr>
          <w:p>
            <w:pPr>
              <w:jc w:val="center"/>
              <w:ind w:left="1744"/>
              <w:spacing w:after="0"/>
              <w:rPr>
                <w:sz w:val="20"/>
                <w:szCs w:val="20"/>
                <w:color w:val="auto"/>
              </w:rPr>
            </w:pPr>
            <w:r>
              <w:rPr>
                <w:rFonts w:ascii="Courier New" w:cs="Courier New" w:eastAsia="Courier New" w:hAnsi="Courier New"/>
                <w:sz w:val="15"/>
                <w:szCs w:val="15"/>
                <w:color w:val="auto"/>
              </w:rPr>
              <w:t>3rd</w:t>
            </w:r>
          </w:p>
        </w:tc>
        <w:tc>
          <w:tcPr>
            <w:tcW w:w="740" w:type="dxa"/>
            <w:vAlign w:val="bottom"/>
          </w:tcPr>
          <w:p>
            <w:pPr>
              <w:spacing w:after="0"/>
              <w:rPr>
                <w:sz w:val="15"/>
                <w:szCs w:val="15"/>
                <w:color w:val="auto"/>
              </w:rPr>
            </w:pP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72.00</w:t>
            </w:r>
          </w:p>
        </w:tc>
        <w:tc>
          <w:tcPr>
            <w:tcW w:w="6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72.00</w:t>
            </w:r>
          </w:p>
        </w:tc>
      </w:tr>
      <w:tr>
        <w:trPr>
          <w:trHeight w:val="256"/>
        </w:trPr>
        <w:tc>
          <w:tcPr>
            <w:tcW w:w="3900" w:type="dxa"/>
            <w:vAlign w:val="bottom"/>
          </w:tcPr>
          <w:p>
            <w:pPr>
              <w:spacing w:after="0"/>
              <w:rPr>
                <w:sz w:val="22"/>
                <w:szCs w:val="22"/>
                <w:color w:val="auto"/>
              </w:rPr>
            </w:pPr>
          </w:p>
        </w:tc>
        <w:tc>
          <w:tcPr>
            <w:tcW w:w="3540" w:type="dxa"/>
            <w:vAlign w:val="bottom"/>
          </w:tcPr>
          <w:p>
            <w:pPr>
              <w:jc w:val="center"/>
              <w:ind w:left="1744"/>
              <w:spacing w:after="0"/>
              <w:rPr>
                <w:sz w:val="20"/>
                <w:szCs w:val="20"/>
                <w:color w:val="auto"/>
              </w:rPr>
            </w:pPr>
            <w:r>
              <w:rPr>
                <w:rFonts w:ascii="Courier New" w:cs="Courier New" w:eastAsia="Courier New" w:hAnsi="Courier New"/>
                <w:sz w:val="15"/>
                <w:szCs w:val="15"/>
                <w:color w:val="auto"/>
              </w:rPr>
              <w:t>4th</w:t>
            </w:r>
          </w:p>
        </w:tc>
        <w:tc>
          <w:tcPr>
            <w:tcW w:w="740" w:type="dxa"/>
            <w:vAlign w:val="bottom"/>
          </w:tcPr>
          <w:p>
            <w:pPr>
              <w:spacing w:after="0"/>
              <w:rPr>
                <w:sz w:val="22"/>
                <w:szCs w:val="22"/>
                <w:color w:val="auto"/>
              </w:rPr>
            </w:pP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65.00</w:t>
            </w:r>
          </w:p>
        </w:tc>
        <w:tc>
          <w:tcPr>
            <w:tcW w:w="6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declared on a quarterly basis for the last two fiscal years: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40" w:type="dxa"/>
            <w:vAlign w:val="bottom"/>
          </w:tcPr>
          <w:p>
            <w:pPr>
              <w:ind w:left="6260"/>
              <w:spacing w:after="0"/>
              <w:rPr>
                <w:sz w:val="20"/>
                <w:szCs w:val="20"/>
                <w:color w:val="auto"/>
              </w:rPr>
            </w:pPr>
            <w:r>
              <w:rPr>
                <w:rFonts w:ascii="Courier New" w:cs="Courier New" w:eastAsia="Courier New" w:hAnsi="Courier New"/>
                <w:sz w:val="15"/>
                <w:szCs w:val="15"/>
                <w:color w:val="auto"/>
              </w:rPr>
              <w:t>Quarter</w:t>
            </w:r>
          </w:p>
        </w:tc>
        <w:tc>
          <w:tcPr>
            <w:tcW w:w="196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7440" w:type="dxa"/>
            <w:vAlign w:val="bottom"/>
          </w:tcPr>
          <w:p>
            <w:pPr>
              <w:jc w:val="center"/>
              <w:ind w:left="5644"/>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7440" w:type="dxa"/>
            <w:vAlign w:val="bottom"/>
          </w:tcPr>
          <w:p>
            <w:pPr>
              <w:spacing w:after="0"/>
              <w:rPr>
                <w:sz w:val="20"/>
                <w:szCs w:val="20"/>
                <w:color w:val="auto"/>
              </w:rPr>
            </w:pPr>
            <w:r>
              <w:rPr>
                <w:rFonts w:ascii="Courier New" w:cs="Courier New" w:eastAsia="Courier New" w:hAnsi="Courier New"/>
                <w:sz w:val="15"/>
                <w:szCs w:val="15"/>
                <w:color w:val="auto"/>
              </w:rPr>
              <w:t>Dividends declared per share</w:t>
            </w:r>
          </w:p>
        </w:tc>
        <w:tc>
          <w:tcPr>
            <w:tcW w:w="196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   .30</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.25</w:t>
            </w:r>
          </w:p>
        </w:tc>
        <w:tc>
          <w:tcPr>
            <w:tcW w:w="0" w:type="dxa"/>
            <w:vAlign w:val="bottom"/>
          </w:tcPr>
          <w:p>
            <w:pPr>
              <w:spacing w:after="0"/>
              <w:rPr>
                <w:sz w:val="1"/>
                <w:szCs w:val="1"/>
                <w:color w:val="auto"/>
              </w:rPr>
            </w:pPr>
          </w:p>
        </w:tc>
      </w:tr>
      <w:tr>
        <w:trPr>
          <w:trHeight w:val="175"/>
        </w:trPr>
        <w:tc>
          <w:tcPr>
            <w:tcW w:w="7440" w:type="dxa"/>
            <w:vAlign w:val="bottom"/>
          </w:tcPr>
          <w:p>
            <w:pPr>
              <w:jc w:val="center"/>
              <w:ind w:left="5644"/>
              <w:spacing w:after="0"/>
              <w:rPr>
                <w:sz w:val="20"/>
                <w:szCs w:val="20"/>
                <w:color w:val="auto"/>
              </w:rPr>
            </w:pPr>
            <w:r>
              <w:rPr>
                <w:rFonts w:ascii="Courier New" w:cs="Courier New" w:eastAsia="Courier New" w:hAnsi="Courier New"/>
                <w:sz w:val="15"/>
                <w:szCs w:val="15"/>
                <w:color w:val="auto"/>
              </w:rPr>
              <w:t>1st</w:t>
            </w:r>
          </w:p>
        </w:tc>
        <w:tc>
          <w:tcPr>
            <w:tcW w:w="19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40" w:type="dxa"/>
            <w:vAlign w:val="bottom"/>
          </w:tcPr>
          <w:p>
            <w:pPr>
              <w:jc w:val="center"/>
              <w:ind w:left="5644"/>
              <w:spacing w:after="0"/>
              <w:rPr>
                <w:sz w:val="20"/>
                <w:szCs w:val="20"/>
                <w:color w:val="auto"/>
              </w:rPr>
            </w:pPr>
            <w:r>
              <w:rPr>
                <w:rFonts w:ascii="Courier New" w:cs="Courier New" w:eastAsia="Courier New" w:hAnsi="Courier New"/>
                <w:sz w:val="15"/>
                <w:szCs w:val="15"/>
                <w:color w:val="auto"/>
              </w:rPr>
              <w:t>2nd</w:t>
            </w:r>
          </w:p>
        </w:tc>
        <w:tc>
          <w:tcPr>
            <w:tcW w:w="1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5"/>
        </w:trPr>
        <w:tc>
          <w:tcPr>
            <w:tcW w:w="7440" w:type="dxa"/>
            <w:vAlign w:val="bottom"/>
          </w:tcPr>
          <w:p>
            <w:pPr>
              <w:jc w:val="center"/>
              <w:ind w:left="5644"/>
              <w:spacing w:after="0"/>
              <w:rPr>
                <w:sz w:val="20"/>
                <w:szCs w:val="20"/>
                <w:color w:val="auto"/>
              </w:rPr>
            </w:pPr>
            <w:r>
              <w:rPr>
                <w:rFonts w:ascii="Courier New" w:cs="Courier New" w:eastAsia="Courier New" w:hAnsi="Courier New"/>
                <w:sz w:val="15"/>
                <w:szCs w:val="15"/>
                <w:color w:val="auto"/>
              </w:rPr>
              <w:t>3rd</w:t>
            </w:r>
          </w:p>
        </w:tc>
        <w:tc>
          <w:tcPr>
            <w:tcW w:w="1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256"/>
        </w:trPr>
        <w:tc>
          <w:tcPr>
            <w:tcW w:w="7440" w:type="dxa"/>
            <w:vAlign w:val="bottom"/>
          </w:tcPr>
          <w:p>
            <w:pPr>
              <w:jc w:val="center"/>
              <w:ind w:left="5644"/>
              <w:spacing w:after="0"/>
              <w:rPr>
                <w:sz w:val="20"/>
                <w:szCs w:val="20"/>
                <w:color w:val="auto"/>
              </w:rPr>
            </w:pPr>
            <w:r>
              <w:rPr>
                <w:rFonts w:ascii="Courier New" w:cs="Courier New" w:eastAsia="Courier New" w:hAnsi="Courier New"/>
                <w:sz w:val="15"/>
                <w:szCs w:val="15"/>
                <w:color w:val="auto"/>
              </w:rPr>
              <w:t>4th</w:t>
            </w:r>
          </w:p>
        </w:tc>
        <w:tc>
          <w:tcPr>
            <w:tcW w:w="1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720"/>
          </w:cols>
          <w:pgMar w:left="240" w:top="265" w:right="939"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61</w:t>
      </w:r>
    </w:p>
    <w:p>
      <w:pPr>
        <w:spacing w:after="0" w:line="354"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SELECTED FINANCIAL DATA BY MANAGEMENT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80"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The Farmers &amp; Merchants Bancorp, Inc. again reported another increase in consolidated operating earnings. Operating earnings for 1998 was $7.7 million compared to $6.8 million for 1997 representing an increase of almost $1 million or an increase of 13%. This increase was primarily the result of an increase in interest income from loans.</w:t>
      </w:r>
    </w:p>
    <w:p>
      <w:pPr>
        <w:spacing w:after="0" w:line="68"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Consolidated assets grew by $57.6 million in 1998 to a record $585.9 million from consolidated assets of $528.3 million for 1997, representing a 10.9% increase. This increase in assets occurred primarily in the loan portfolio and investment securities available for sale.</w:t>
      </w:r>
    </w:p>
    <w:p>
      <w:pPr>
        <w:spacing w:after="0" w:line="61" w:lineRule="exact"/>
        <w:rPr>
          <w:sz w:val="20"/>
          <w:szCs w:val="20"/>
          <w:color w:val="auto"/>
        </w:rPr>
      </w:pPr>
    </w:p>
    <w:p>
      <w:pPr>
        <w:ind w:right="2959"/>
        <w:spacing w:after="0" w:line="307" w:lineRule="auto"/>
        <w:rPr>
          <w:sz w:val="20"/>
          <w:szCs w:val="20"/>
          <w:color w:val="auto"/>
        </w:rPr>
      </w:pPr>
      <w:r>
        <w:rPr>
          <w:rFonts w:ascii="Courier New" w:cs="Courier New" w:eastAsia="Courier New" w:hAnsi="Courier New"/>
          <w:sz w:val="15"/>
          <w:szCs w:val="15"/>
          <w:color w:val="auto"/>
        </w:rPr>
        <w:t>The return on average assets and average shareholders' equity for 1998 was 1.38% and 14.46%, respectively. These returns compare to 1.33% average return on assets and 14.56% average return on shareholders' equity for 1997.</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w:t>
      </w:r>
    </w:p>
    <w:p>
      <w:pPr>
        <w:spacing w:after="0" w:line="180" w:lineRule="exact"/>
        <w:rPr>
          <w:sz w:val="20"/>
          <w:szCs w:val="20"/>
          <w:color w:val="auto"/>
        </w:rPr>
      </w:pPr>
    </w:p>
    <w:p>
      <w:pPr>
        <w:ind w:right="3139"/>
        <w:spacing w:after="0" w:line="267" w:lineRule="auto"/>
        <w:rPr>
          <w:sz w:val="20"/>
          <w:szCs w:val="20"/>
          <w:color w:val="auto"/>
        </w:rPr>
      </w:pPr>
      <w:r>
        <w:rPr>
          <w:rFonts w:ascii="Courier New" w:cs="Courier New" w:eastAsia="Courier New" w:hAnsi="Courier New"/>
          <w:sz w:val="15"/>
          <w:szCs w:val="15"/>
          <w:color w:val="auto"/>
        </w:rPr>
        <w:t>Maintaining sufficient funds to meet depositor and borrower needs on a daily basis are among management's top priorities. This is accomplished by investing in assets such as U. S. Government, U. S. Agency, Municipal, and Corporate investment securities and Commercial Paper which can be converted to cash in a timely manner, as well as, maintaining appropriate levels of cash. The average aggregate balance of these assets was $121.7 million for 1998 representing 22% of total average assets.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RESOURCES:</w:t>
      </w:r>
    </w:p>
    <w:p>
      <w:pPr>
        <w:spacing w:after="0" w:line="180" w:lineRule="exact"/>
        <w:rPr>
          <w:sz w:val="20"/>
          <w:szCs w:val="20"/>
          <w:color w:val="auto"/>
        </w:rPr>
      </w:pPr>
    </w:p>
    <w:p>
      <w:pPr>
        <w:ind w:right="3219"/>
        <w:spacing w:after="0" w:line="277" w:lineRule="auto"/>
        <w:rPr>
          <w:sz w:val="20"/>
          <w:szCs w:val="20"/>
          <w:color w:val="auto"/>
        </w:rPr>
      </w:pPr>
      <w:r>
        <w:rPr>
          <w:rFonts w:ascii="Courier New" w:cs="Courier New" w:eastAsia="Courier New" w:hAnsi="Courier New"/>
          <w:sz w:val="15"/>
          <w:szCs w:val="15"/>
          <w:color w:val="auto"/>
        </w:rPr>
        <w:t>Shareholders' equity was $55.3 million at December 31, 1998 compared to $48.8 million for 1997. The company continues to have a strong capital base and its bank subsidiary The Farmers &amp; Merchants State Bank continues to maintain regulatory capital ratios that are significantly above the defined regulatory capital ratios.</w:t>
      </w:r>
    </w:p>
    <w:p>
      <w:pPr>
        <w:spacing w:after="0" w:line="68"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At December 31, 1998, The Farmers &amp; Merchants State Bank had a total risk-based capital ratio of 13.9% and a 10.3% core capital to risk-based asset ratio which are well in excess of regulatory guidelines. The bank's leverage ratio of 7.5% is also substantially in excess of regulatory guidelines. These ratios compare to 13.4%, 9.6% and 7.1%, respectively for 1997.</w:t>
      </w:r>
    </w:p>
    <w:p>
      <w:pPr>
        <w:spacing w:after="0" w:line="68" w:lineRule="exact"/>
        <w:rPr>
          <w:sz w:val="20"/>
          <w:szCs w:val="20"/>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The Company's subsidiaries are restricted by regulations from making dividend distributions in excess of certain prescribed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65"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62</w:t>
      </w:r>
    </w:p>
    <w:p>
      <w:pPr>
        <w:spacing w:after="0" w:line="200" w:lineRule="exact"/>
        <w:rPr>
          <w:sz w:val="20"/>
          <w:szCs w:val="20"/>
          <w:color w:val="auto"/>
        </w:rPr>
      </w:pPr>
    </w:p>
    <w:p>
      <w:pPr>
        <w:spacing w:after="0" w:line="329"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[KROUSE, KERN &amp; CO., INC. LETTERHEAD]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13, 1999</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Farmers &amp; Merchants State 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Archbold, Ohio</w:t>
      </w:r>
    </w:p>
    <w:p>
      <w:pPr>
        <w:spacing w:after="0" w:line="15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INDEPENDENT AUDITORS' REPORT</w:t>
      </w:r>
    </w:p>
    <w:p>
      <w:pPr>
        <w:spacing w:after="0" w:line="180"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We have examined management's assertion that The Farmers &amp; Merchants State Bank maintain a system of internal control over financial reporting which is designed to provide reasonable assurance to the Bank's management and Board of Directors regarding the preparation of reliable published financial statements as of December 31, 1998, included in the accompanying management report.</w:t>
      </w:r>
    </w:p>
    <w:p>
      <w:pPr>
        <w:spacing w:after="0" w:line="68"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Our examination was made in accordance with standards established by the American Institute of Certified Public Accountants and, accordingly, included obtaining an understanding of the internal control structure over financial reporting, testing and evaluating the design and operating effectiveness of the internal control structure, and such other procedures as we considered necessary in the circumstances. We believe that our examination provides a reasonable basis for our opinion.</w:t>
      </w:r>
    </w:p>
    <w:p>
      <w:pPr>
        <w:spacing w:after="0" w:line="75"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Because of inherent limitations in any internal control structure, errors or irregularities may occur and not be detected. Also, projections of any evaluation of the internal control structure over financial reporting to future periods are subject to the risk that the internal control structure may become inadequate because of changes in conditions, or that the degree of compliance with the policies or procedures may deteriorate.</w:t>
      </w:r>
    </w:p>
    <w:p>
      <w:pPr>
        <w:spacing w:after="0" w:line="72"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In our opinion, management's assertions that The Farmers &amp; Merchants State Bank maintained a system of internal control over financial reporting which is designed to provided reasonable assurance to the Bank's management and Board of Directors regarding the preparation of reliable published financial statements as of December 31, 1998, is fairly stated, in all material respects, based upon criteria established in "Internal Control - Integrated Framework" issued by the Committee of Sponsoring Organizations of the Treadway Commission (COSO).</w:t>
      </w:r>
    </w:p>
    <w:p>
      <w:pPr>
        <w:spacing w:after="0" w:line="200" w:lineRule="exact"/>
        <w:rPr>
          <w:sz w:val="20"/>
          <w:szCs w:val="20"/>
          <w:color w:val="auto"/>
        </w:rPr>
      </w:pPr>
    </w:p>
    <w:p>
      <w:pPr>
        <w:spacing w:after="0" w:line="224"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/S/ KROUSE, KERN &amp; CO., INC.</w:t>
      </w:r>
    </w:p>
    <w:p>
      <w:pPr>
        <w:spacing w:after="0" w:line="180"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KROUSE, KERN &amp; CO., INC.</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65"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63</w:t>
      </w:r>
    </w:p>
    <w:p>
      <w:pPr>
        <w:spacing w:after="0" w:line="354"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[FARMERS &amp; MERCHANTS STATE BANK LETTERHEAD]</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MANAGEMENT REPORT</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as of December 31, 1998</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180" w:lineRule="exact"/>
        <w:rPr>
          <w:sz w:val="20"/>
          <w:szCs w:val="20"/>
          <w:color w:val="auto"/>
        </w:rPr>
      </w:pPr>
    </w:p>
    <w:p>
      <w:pPr>
        <w:ind w:right="3139"/>
        <w:spacing w:after="0" w:line="271" w:lineRule="auto"/>
        <w:rPr>
          <w:sz w:val="20"/>
          <w:szCs w:val="20"/>
          <w:color w:val="auto"/>
        </w:rPr>
      </w:pPr>
      <w:r>
        <w:rPr>
          <w:rFonts w:ascii="Courier New" w:cs="Courier New" w:eastAsia="Courier New" w:hAnsi="Courier New"/>
          <w:sz w:val="15"/>
          <w:szCs w:val="15"/>
          <w:color w:val="auto"/>
        </w:rPr>
        <w:t>Management of The Farmers &amp; Merchants State Bank is responsible for the preparation, integrity and fair presentation of its published financial statements as of December 31, 1998, and for the year then ended. The financial statements have been prepared in accordance with generally accepted accounting principles and, as such, include amounts, some of which are based on judgments and estimates of management.</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INTERNAL CONTROLS</w:t>
      </w:r>
    </w:p>
    <w:p>
      <w:pPr>
        <w:spacing w:after="0" w:line="180" w:lineRule="exact"/>
        <w:rPr>
          <w:sz w:val="20"/>
          <w:szCs w:val="20"/>
          <w:color w:val="auto"/>
        </w:rPr>
      </w:pPr>
    </w:p>
    <w:p>
      <w:pPr>
        <w:ind w:right="2959"/>
        <w:spacing w:after="0" w:line="307" w:lineRule="auto"/>
        <w:rPr>
          <w:sz w:val="20"/>
          <w:szCs w:val="20"/>
          <w:color w:val="auto"/>
        </w:rPr>
      </w:pPr>
      <w:r>
        <w:rPr>
          <w:rFonts w:ascii="Courier New" w:cs="Courier New" w:eastAsia="Courier New" w:hAnsi="Courier New"/>
          <w:sz w:val="15"/>
          <w:szCs w:val="15"/>
          <w:color w:val="auto"/>
        </w:rPr>
        <w:t>Management is responsible for establishing and maintaining an effective internal control structure over financial reporting. The system contains monitoring mechanisms, and actions are taken to correct deficiencies identified.</w:t>
      </w:r>
    </w:p>
    <w:p>
      <w:pPr>
        <w:spacing w:after="0" w:line="47"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There are inherent limitations in the effectiveness of any system of internal control, including the possibility of human error and the circumvention or overriding of controls. Accordingly, even an effective internal control system can provide only reasonable assurance with respect to financial statement preparation. Further, because of changes in conditions, the effectiveness of an internal control system may vary over time.</w:t>
      </w:r>
    </w:p>
    <w:p>
      <w:pPr>
        <w:spacing w:after="0" w:line="72"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Management assessed its internal control structure over financial reporting as of December 31, 1998. This assessment was based on criteria for effective internal control over financial reporting described in "Internal Control - Integrated Framework" issued by the Committee of Sponsoring Organizations of the Treadway Commission. Based on this assessment, management believes that The Farmers &amp; Merchants State Bank maintained an effective internal control structure over financial reporting as of December 31, 1998.</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DESIGNATED LAWS</w:t>
      </w:r>
    </w:p>
    <w:p>
      <w:pPr>
        <w:spacing w:after="0" w:line="180" w:lineRule="exact"/>
        <w:rPr>
          <w:sz w:val="20"/>
          <w:szCs w:val="20"/>
          <w:color w:val="auto"/>
        </w:rPr>
      </w:pPr>
    </w:p>
    <w:p>
      <w:pPr>
        <w:jc w:val="both"/>
        <w:ind w:right="3219"/>
        <w:spacing w:after="0" w:line="260" w:lineRule="auto"/>
        <w:rPr>
          <w:sz w:val="20"/>
          <w:szCs w:val="20"/>
          <w:color w:val="auto"/>
        </w:rPr>
      </w:pPr>
      <w:r>
        <w:rPr>
          <w:rFonts w:ascii="Courier New" w:cs="Courier New" w:eastAsia="Courier New" w:hAnsi="Courier New"/>
          <w:sz w:val="15"/>
          <w:szCs w:val="15"/>
          <w:color w:val="auto"/>
        </w:rPr>
        <w:t>Management is also responsible for compliance with the federal and state laws and regulations relating to safety and soundness, including those designated laws and regulations regarding dividend restrictions and loans to insiders.</w:t>
      </w:r>
    </w:p>
    <w:p>
      <w:pPr>
        <w:ind w:right="3039"/>
        <w:spacing w:after="0" w:line="287" w:lineRule="auto"/>
        <w:rPr>
          <w:sz w:val="20"/>
          <w:szCs w:val="20"/>
          <w:color w:val="auto"/>
        </w:rPr>
      </w:pPr>
      <w:r>
        <w:rPr>
          <w:rFonts w:ascii="Courier New" w:cs="Courier New" w:eastAsia="Courier New" w:hAnsi="Courier New"/>
          <w:sz w:val="15"/>
          <w:szCs w:val="15"/>
          <w:color w:val="auto"/>
        </w:rPr>
        <w:t>Based on our assessment, management believes The Farmers &amp; Merchants State Bank complied in all material respects, with those designated laws and regulations for the year ended December 31,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65"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64</w:t>
      </w:r>
    </w:p>
    <w:p>
      <w:pPr>
        <w:spacing w:after="0" w:line="33"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52"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SELECTED FINANCIAL DATA BY MANAGEMENT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680" w:type="dxa"/>
            <w:vAlign w:val="bottom"/>
          </w:tcPr>
          <w:p>
            <w:pPr>
              <w:spacing w:after="0"/>
              <w:rPr>
                <w:sz w:val="20"/>
                <w:szCs w:val="20"/>
                <w:color w:val="auto"/>
              </w:rPr>
            </w:pPr>
            <w:r>
              <w:rPr>
                <w:rFonts w:ascii="Courier New" w:cs="Courier New" w:eastAsia="Courier New" w:hAnsi="Courier New"/>
                <w:sz w:val="15"/>
                <w:szCs w:val="15"/>
                <w:color w:val="auto"/>
              </w:rPr>
              <w:t>Key Ratios:</w:t>
            </w:r>
          </w:p>
        </w:tc>
        <w:tc>
          <w:tcPr>
            <w:tcW w:w="7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9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104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1996</w:t>
            </w:r>
          </w:p>
        </w:tc>
        <w:tc>
          <w:tcPr>
            <w:tcW w:w="8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1995</w:t>
            </w:r>
          </w:p>
        </w:tc>
        <w:tc>
          <w:tcPr>
            <w:tcW w:w="6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93"/>
        </w:trPr>
        <w:tc>
          <w:tcPr>
            <w:tcW w:w="26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Return on average equity</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14.46%</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14.56%</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13.21%</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13.93%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15.12%</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Return on average assets</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1.14%</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Loan to deposit ratio</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78.33%</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86.31%</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84.15%</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84.06%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87.55%</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Courier New" w:cs="Courier New" w:eastAsia="Courier New" w:hAnsi="Courier New"/>
                <w:sz w:val="15"/>
                <w:szCs w:val="15"/>
                <w:color w:val="auto"/>
              </w:rPr>
              <w:t>Capital to assets ratio</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9.45%</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9.25%</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8.65%</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8.54%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8.51%</w:t>
            </w:r>
          </w:p>
        </w:tc>
        <w:tc>
          <w:tcPr>
            <w:tcW w:w="0" w:type="dxa"/>
            <w:vAlign w:val="bottom"/>
          </w:tcPr>
          <w:p>
            <w:pPr>
              <w:spacing w:after="0"/>
              <w:rPr>
                <w:sz w:val="1"/>
                <w:szCs w:val="1"/>
                <w:color w:val="auto"/>
              </w:rPr>
            </w:pPr>
          </w:p>
        </w:tc>
      </w:tr>
      <w:tr>
        <w:trPr>
          <w:trHeight w:val="699"/>
        </w:trPr>
        <w:tc>
          <w:tcPr>
            <w:tcW w:w="2680" w:type="dxa"/>
            <w:vAlign w:val="bottom"/>
          </w:tcPr>
          <w:p>
            <w:pPr>
              <w:jc w:val="center"/>
              <w:ind w:left="1684"/>
              <w:spacing w:after="0"/>
              <w:rPr>
                <w:sz w:val="20"/>
                <w:szCs w:val="20"/>
                <w:color w:val="auto"/>
              </w:rPr>
            </w:pPr>
            <w:r>
              <w:rPr>
                <w:rFonts w:ascii="Courier New" w:cs="Courier New" w:eastAsia="Courier New" w:hAnsi="Courier New"/>
                <w:sz w:val="15"/>
                <w:szCs w:val="15"/>
                <w:color w:val="auto"/>
                <w:w w:val="98"/>
              </w:rPr>
              <w:t>[GRAPH 1]</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[GRAPH 2]</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[Return on average equity]</w:t>
            </w:r>
          </w:p>
        </w:tc>
        <w:tc>
          <w:tcPr>
            <w:tcW w:w="282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[Return on average assets]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9"/>
        </w:trPr>
        <w:tc>
          <w:tcPr>
            <w:tcW w:w="2680" w:type="dxa"/>
            <w:vAlign w:val="bottom"/>
          </w:tcPr>
          <w:p>
            <w:pPr>
              <w:jc w:val="center"/>
              <w:ind w:left="1684"/>
              <w:spacing w:after="0"/>
              <w:rPr>
                <w:sz w:val="20"/>
                <w:szCs w:val="20"/>
                <w:color w:val="auto"/>
              </w:rPr>
            </w:pPr>
            <w:r>
              <w:rPr>
                <w:rFonts w:ascii="Courier New" w:cs="Courier New" w:eastAsia="Courier New" w:hAnsi="Courier New"/>
                <w:sz w:val="15"/>
                <w:szCs w:val="15"/>
                <w:color w:val="auto"/>
                <w:w w:val="98"/>
              </w:rPr>
              <w:t>[GRAPH 3]</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[GRAPH 4]</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400" w:type="dxa"/>
            <w:vAlign w:val="bottom"/>
            <w:gridSpan w:val="2"/>
          </w:tcPr>
          <w:p>
            <w:pPr>
              <w:jc w:val="center"/>
              <w:ind w:left="964"/>
              <w:spacing w:after="0"/>
              <w:rPr>
                <w:sz w:val="20"/>
                <w:szCs w:val="20"/>
                <w:color w:val="auto"/>
              </w:rPr>
            </w:pPr>
            <w:r>
              <w:rPr>
                <w:rFonts w:ascii="Courier New" w:cs="Courier New" w:eastAsia="Courier New" w:hAnsi="Courier New"/>
                <w:sz w:val="15"/>
                <w:szCs w:val="15"/>
                <w:color w:val="auto"/>
              </w:rPr>
              <w:t>[Loan to deposit ratio]</w:t>
            </w:r>
          </w:p>
        </w:tc>
        <w:tc>
          <w:tcPr>
            <w:tcW w:w="282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[Capital to assets ratio]</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9"/>
        </w:trPr>
        <w:tc>
          <w:tcPr>
            <w:tcW w:w="2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-38-</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65</w:t>
      </w:r>
    </w:p>
    <w:p>
      <w:pPr>
        <w:spacing w:after="0" w:line="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SELECTED FINANCIAL DATA BY MANAGEMENT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key selected highlights are depicted in the following graphs: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0" w:type="dxa"/>
            <w:vAlign w:val="bottom"/>
          </w:tcPr>
          <w:p>
            <w:pPr>
              <w:spacing w:after="0"/>
              <w:rPr>
                <w:sz w:val="15"/>
                <w:szCs w:val="15"/>
                <w:color w:val="auto"/>
              </w:rPr>
            </w:pP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1994</w:t>
            </w:r>
          </w:p>
        </w:tc>
      </w:tr>
      <w:tr>
        <w:trPr>
          <w:trHeight w:val="256"/>
        </w:trPr>
        <w:tc>
          <w:tcPr>
            <w:tcW w:w="2400" w:type="dxa"/>
            <w:vAlign w:val="bottom"/>
          </w:tcPr>
          <w:p>
            <w:pPr>
              <w:spacing w:after="0"/>
              <w:rPr>
                <w:sz w:val="22"/>
                <w:szCs w:val="22"/>
                <w:color w:val="auto"/>
              </w:rPr>
            </w:pPr>
          </w:p>
        </w:tc>
        <w:tc>
          <w:tcPr>
            <w:tcW w:w="1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8"/>
        </w:trPr>
        <w:tc>
          <w:tcPr>
            <w:tcW w:w="240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1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$ 401,192</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$ 397,295</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$ 368,900</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$ 339,614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$ 301,522</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585,869</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528,273</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501,449</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464,090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406,186</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55,350</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48,844</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43,381</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39,621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34,586</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42,888</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40,158</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38,382</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34,228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27,779</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22,085</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21,139</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20,905</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17,749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12,561</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Net Interest</w:t>
            </w:r>
          </w:p>
        </w:tc>
        <w:tc>
          <w:tcPr>
            <w:tcW w:w="1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20,803</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19,019</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17,477</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16,479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15,218</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1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8,841</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8,096</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8,614</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8,594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7,940</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Federal Income Tax</w:t>
            </w:r>
          </w:p>
        </w:tc>
        <w:tc>
          <w:tcPr>
            <w:tcW w:w="1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3,413</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3,035</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2,312</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2,203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1,749</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7,657</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6,777</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5,483</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5,297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4,965</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1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5.89</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5.22</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4.22</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3.82</w:t>
            </w:r>
          </w:p>
        </w:tc>
      </w:tr>
      <w:tr>
        <w:trPr>
          <w:trHeight w:val="256"/>
        </w:trPr>
        <w:tc>
          <w:tcPr>
            <w:tcW w:w="2400" w:type="dxa"/>
            <w:vAlign w:val="bottom"/>
          </w:tcPr>
          <w:p>
            <w:pPr>
              <w:spacing w:after="0"/>
              <w:rPr>
                <w:sz w:val="20"/>
                <w:szCs w:val="20"/>
                <w:color w:val="auto"/>
              </w:rPr>
            </w:pPr>
            <w:r>
              <w:rPr>
                <w:rFonts w:ascii="Courier New" w:cs="Courier New" w:eastAsia="Courier New" w:hAnsi="Courier New"/>
                <w:sz w:val="15"/>
                <w:szCs w:val="15"/>
                <w:color w:val="auto"/>
              </w:rPr>
              <w:t>Dividends per Share</w:t>
            </w:r>
          </w:p>
        </w:tc>
        <w:tc>
          <w:tcPr>
            <w:tcW w:w="1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1.40</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1.25</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1.15</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line="200" w:lineRule="exact"/>
        <w:rPr>
          <w:sz w:val="20"/>
          <w:szCs w:val="20"/>
          <w:color w:val="auto"/>
        </w:r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256"/>
        </w:trPr>
        <w:tc>
          <w:tcPr>
            <w:tcW w:w="1420" w:type="dxa"/>
            <w:vAlign w:val="bottom"/>
          </w:tcPr>
          <w:p>
            <w:pPr>
              <w:spacing w:after="0"/>
              <w:rPr>
                <w:sz w:val="22"/>
                <w:szCs w:val="22"/>
                <w:color w:val="auto"/>
              </w:rPr>
            </w:pP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[GRAPH 5]</w:t>
            </w:r>
          </w:p>
        </w:tc>
        <w:tc>
          <w:tcPr>
            <w:tcW w:w="3080" w:type="dxa"/>
            <w:vAlign w:val="bottom"/>
          </w:tcPr>
          <w:p>
            <w:pPr>
              <w:ind w:left="1080"/>
              <w:spacing w:after="0"/>
              <w:rPr>
                <w:sz w:val="20"/>
                <w:szCs w:val="20"/>
                <w:color w:val="auto"/>
              </w:rPr>
            </w:pPr>
            <w:r>
              <w:rPr>
                <w:rFonts w:ascii="Courier New" w:cs="Courier New" w:eastAsia="Courier New" w:hAnsi="Courier New"/>
                <w:sz w:val="15"/>
                <w:szCs w:val="15"/>
                <w:color w:val="auto"/>
              </w:rPr>
              <w:t>[GRAPH 6]</w:t>
            </w:r>
          </w:p>
        </w:tc>
      </w:tr>
      <w:tr>
        <w:trPr>
          <w:trHeight w:val="350"/>
        </w:trPr>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[Shareholders'</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Equity/Loans/Total Assets]</w:t>
            </w:r>
          </w:p>
        </w:tc>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[Interest Expense/Interest Income]</w:t>
            </w:r>
          </w:p>
        </w:tc>
      </w:tr>
      <w:tr>
        <w:trPr>
          <w:trHeight w:val="874"/>
        </w:trPr>
        <w:tc>
          <w:tcPr>
            <w:tcW w:w="1420" w:type="dxa"/>
            <w:vAlign w:val="bottom"/>
          </w:tcPr>
          <w:p>
            <w:pPr>
              <w:spacing w:after="0"/>
              <w:rPr>
                <w:sz w:val="24"/>
                <w:szCs w:val="24"/>
                <w:color w:val="auto"/>
              </w:rPr>
            </w:pP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[GRAPH 7]</w:t>
            </w:r>
          </w:p>
        </w:tc>
        <w:tc>
          <w:tcPr>
            <w:tcW w:w="3080" w:type="dxa"/>
            <w:vAlign w:val="bottom"/>
          </w:tcPr>
          <w:p>
            <w:pPr>
              <w:ind w:left="1080"/>
              <w:spacing w:after="0"/>
              <w:rPr>
                <w:sz w:val="20"/>
                <w:szCs w:val="20"/>
                <w:color w:val="auto"/>
              </w:rPr>
            </w:pPr>
            <w:r>
              <w:rPr>
                <w:rFonts w:ascii="Courier New" w:cs="Courier New" w:eastAsia="Courier New" w:hAnsi="Courier New"/>
                <w:sz w:val="15"/>
                <w:szCs w:val="15"/>
                <w:color w:val="auto"/>
              </w:rPr>
              <w:t>[GRAPH 8]</w:t>
            </w:r>
          </w:p>
        </w:tc>
      </w:tr>
      <w:tr>
        <w:trPr>
          <w:trHeight w:val="268"/>
        </w:trPr>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w w:val="99"/>
              </w:rPr>
              <w:t>[Federal Income</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Tax/Net Income/Other Expense]</w:t>
            </w:r>
          </w:p>
        </w:tc>
        <w:tc>
          <w:tcPr>
            <w:tcW w:w="3080" w:type="dxa"/>
            <w:vAlign w:val="bottom"/>
          </w:tcPr>
          <w:p>
            <w:pPr>
              <w:ind w:left="620"/>
              <w:spacing w:after="0"/>
              <w:rPr>
                <w:sz w:val="20"/>
                <w:szCs w:val="20"/>
                <w:color w:val="auto"/>
              </w:rPr>
            </w:pPr>
            <w:r>
              <w:rPr>
                <w:rFonts w:ascii="Courier New" w:cs="Courier New" w:eastAsia="Courier New" w:hAnsi="Courier New"/>
                <w:sz w:val="15"/>
                <w:szCs w:val="15"/>
                <w:color w:val="auto"/>
              </w:rPr>
              <w:t>[Dividends per Share/</w:t>
            </w:r>
          </w:p>
        </w:tc>
      </w:tr>
      <w:tr>
        <w:trPr>
          <w:trHeight w:val="256"/>
        </w:trPr>
        <w:tc>
          <w:tcPr>
            <w:tcW w:w="14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3080" w:type="dxa"/>
            <w:vAlign w:val="bottom"/>
          </w:tcPr>
          <w:p>
            <w:pPr>
              <w:ind w:left="620"/>
              <w:spacing w:after="0"/>
              <w:rPr>
                <w:sz w:val="20"/>
                <w:szCs w:val="20"/>
                <w:color w:val="auto"/>
              </w:rPr>
            </w:pPr>
            <w:r>
              <w:rPr>
                <w:rFonts w:ascii="Courier New" w:cs="Courier New" w:eastAsia="Courier New" w:hAnsi="Courier New"/>
                <w:sz w:val="15"/>
                <w:szCs w:val="15"/>
                <w:color w:val="auto"/>
              </w:rPr>
              <w:t>Net Income per Share]</w:t>
            </w:r>
          </w:p>
        </w:tc>
      </w:tr>
      <w:tr>
        <w:trPr>
          <w:trHeight w:val="699"/>
        </w:trPr>
        <w:tc>
          <w:tcPr>
            <w:tcW w:w="1420" w:type="dxa"/>
            <w:vAlign w:val="bottom"/>
          </w:tcPr>
          <w:p>
            <w:pPr>
              <w:spacing w:after="0"/>
              <w:rPr>
                <w:sz w:val="24"/>
                <w:szCs w:val="24"/>
                <w:color w:val="auto"/>
              </w:rPr>
            </w:pPr>
          </w:p>
        </w:tc>
        <w:tc>
          <w:tcPr>
            <w:tcW w:w="2680" w:type="dxa"/>
            <w:vAlign w:val="bottom"/>
          </w:tcPr>
          <w:p>
            <w:pPr>
              <w:ind w:left="1940"/>
              <w:spacing w:after="0"/>
              <w:rPr>
                <w:sz w:val="20"/>
                <w:szCs w:val="20"/>
                <w:color w:val="auto"/>
              </w:rPr>
            </w:pPr>
            <w:r>
              <w:rPr>
                <w:rFonts w:ascii="Courier New" w:cs="Courier New" w:eastAsia="Courier New" w:hAnsi="Courier New"/>
                <w:sz w:val="15"/>
                <w:szCs w:val="15"/>
                <w:color w:val="auto"/>
              </w:rPr>
              <w:t>-39-</w:t>
            </w:r>
          </w:p>
        </w:tc>
        <w:tc>
          <w:tcPr>
            <w:tcW w:w="3080" w:type="dxa"/>
            <w:vAlign w:val="bottom"/>
          </w:tcPr>
          <w:p>
            <w:pPr>
              <w:spacing w:after="0"/>
              <w:rPr>
                <w:sz w:val="24"/>
                <w:szCs w:val="24"/>
                <w:color w:val="auto"/>
              </w:rPr>
            </w:pPr>
          </w:p>
        </w:tc>
      </w:tr>
    </w:tbl>
    <w:p>
      <w:pPr>
        <w:sectPr>
          <w:pgSz w:w="11900" w:h="16838" w:orient="portrait"/>
          <w:cols w:equalWidth="0" w:num="1">
            <w:col w:w="10219"/>
          </w:cols>
          <w:pgMar w:left="240" w:top="265"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66</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1998 ANNUAL REPORT PHOTOS</w:t>
      </w:r>
    </w:p>
    <w:p>
      <w:pPr>
        <w:spacing w:after="0" w:line="354"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OFFICERS REPRESENT BANK AT ANNUAL MEETING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959"/>
        <w:spacing w:after="0" w:line="262" w:lineRule="auto"/>
        <w:rPr>
          <w:sz w:val="20"/>
          <w:szCs w:val="20"/>
          <w:color w:val="auto"/>
        </w:rPr>
      </w:pPr>
      <w:r>
        <w:rPr>
          <w:rFonts w:ascii="Courier New" w:cs="Courier New" w:eastAsia="Courier New" w:hAnsi="Courier New"/>
          <w:sz w:val="15"/>
          <w:szCs w:val="15"/>
          <w:color w:val="auto"/>
        </w:rPr>
        <w:t>Seated from left: Rex Rice, EVP/Chief Lending Officer; Joe Crossgrove, Pres. &amp; CEO; Edward Leininger, EVP/Commercial Loan Officer; Second row from left: Richard Ernest, AC/Commercial Loan Officer; Debra Kauffman, AC/Consumer Loan Officer; Joyce Kinsman, AC/Loan Review Officer; Barbara Britenriker, VP/Comptroller &amp; CFO; Judith Warncke, AC/Marketing Officer; Marilyn Johnson, AC/Compliance &amp; CRA Officer; George Jelen, AVP/Sec. Market Officer &amp; Loan Underwriter; Diann Meyer, Asst. VP/Human Resource Officer; Kent Roth, Auditor &amp; Security Officer; Randy Schroeder, AVP/Chief Operations Officer; Michael Culler, AVP/Chief Agri Finance Officer; Richard Bruce, AVP/Commercial Loan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WAUSEON SHOOP OFFICE CELEBRATES 25TH ANNIVERSARY</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Allen Lantz, VP/Wauseon Shoop Manager, and Gloria Gunn, AVP/Asst. Manager,</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Serving refreshments during anniversary celebration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65"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67</w:t>
      </w:r>
    </w:p>
    <w:p>
      <w:pPr>
        <w:spacing w:after="0" w:line="200" w:lineRule="exact"/>
        <w:rPr>
          <w:sz w:val="20"/>
          <w:szCs w:val="20"/>
          <w:color w:val="auto"/>
        </w:rPr>
      </w:pPr>
    </w:p>
    <w:p>
      <w:pPr>
        <w:spacing w:after="0" w:line="32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WAUSEON DOWNTOWN OFFICES</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SERVES SUNDAES FOR</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20TH ANNIVERSARY CELEBRATION</w:t>
      </w:r>
    </w:p>
    <w:p>
      <w:pPr>
        <w:spacing w:after="0" w:line="15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Kim Armstrong, Virginia Garrow and Melissa</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Robertson, Downtown office tellers, enjoying the</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celebration by serving ice cream sundaes.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OPEN HOUSE AT ARCHBOLD</w:t>
      </w:r>
    </w:p>
    <w:p>
      <w:pPr>
        <w:spacing w:after="0" w:line="3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WOODLAND OFFICE</w:t>
      </w:r>
    </w:p>
    <w:p>
      <w:pPr>
        <w:spacing w:after="0" w:line="15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Deborah Stoner, AVP/Woodland</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Manager, offers a big balloon to a</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shy guest during the annual open</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house celebration.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 &amp; M IS BRANCHING OUT</w:t>
      </w:r>
    </w:p>
    <w:p>
      <w:pPr>
        <w:spacing w:after="0" w:line="33"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The Swanton Banking Center sign announces</w:t>
      </w:r>
    </w:p>
    <w:p>
      <w:pPr>
        <w:spacing w:after="0" w:line="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the F &amp; M's future presence in the Swanton area.</w:t>
      </w:r>
    </w:p>
    <w:p>
      <w:pPr>
        <w:spacing w:after="0" w:line="15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RONALD ROBINSON RETIRES FROM</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STRYKER ADVISORY BOARD</w:t>
      </w:r>
    </w:p>
    <w:p>
      <w:pPr>
        <w:spacing w:after="0" w:line="15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Charles Lugbill, Chairman (left), and</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Ronald Short, AVP/Stryker Manager (right),</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present appreciation plaque to Ronald</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Robinson for his many years of service on</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Stryker Advisory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9959"/>
          </w:cols>
          <w:pgMar w:left="500" w:top="265"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68</w:t>
      </w:r>
    </w:p>
    <w:p>
      <w:pPr>
        <w:spacing w:after="0" w:line="200" w:lineRule="exact"/>
        <w:rPr>
          <w:sz w:val="20"/>
          <w:szCs w:val="20"/>
          <w:color w:val="auto"/>
        </w:rPr>
      </w:pPr>
    </w:p>
    <w:p>
      <w:pPr>
        <w:spacing w:after="0" w:line="32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 &amp; M SUPPORTS WILLIAMS CO. BEEF PRODUCERS</w:t>
      </w:r>
    </w:p>
    <w:p>
      <w:pPr>
        <w:spacing w:after="0" w:line="180" w:lineRule="exact"/>
        <w:rPr>
          <w:sz w:val="20"/>
          <w:szCs w:val="20"/>
          <w:color w:val="auto"/>
        </w:rPr>
      </w:pPr>
    </w:p>
    <w:p>
      <w:pPr>
        <w:jc w:val="center"/>
        <w:ind w:left="1140" w:right="180"/>
        <w:spacing w:after="0" w:line="287" w:lineRule="auto"/>
        <w:rPr>
          <w:sz w:val="20"/>
          <w:szCs w:val="20"/>
          <w:color w:val="auto"/>
        </w:rPr>
      </w:pPr>
      <w:r>
        <w:rPr>
          <w:rFonts w:ascii="Courier New" w:cs="Courier New" w:eastAsia="Courier New" w:hAnsi="Courier New"/>
          <w:sz w:val="15"/>
          <w:szCs w:val="15"/>
          <w:color w:val="auto"/>
        </w:rPr>
        <w:t>Lewis Hilkert, VP/West Unity Manager, (right) along with West Unity Advisory Board Members, Burdell Colon and Ted Maneval, enjoying their shift at the Beef Producers booth during the Williams County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BRYAN OFFICES SUPPORT BRYAN</w:t>
      </w:r>
    </w:p>
    <w:p>
      <w:pPr>
        <w:spacing w:after="0" w:line="3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ATHLETIC FIELD HOUSE PROJECT</w:t>
      </w:r>
    </w:p>
    <w:p>
      <w:pPr>
        <w:spacing w:after="0" w:line="15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Michael Smith, AC/ Bryan SouthTowne Manager,</w:t>
      </w:r>
    </w:p>
    <w:p>
      <w:pPr>
        <w:spacing w:after="0" w:line="3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watches as David Frazer, AVP/Bryan E. High Manager, presents</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check to Tom Sprow, (center) member of</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Athletic Boosters field house steering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DELTA OPEN HOUSE -</w:t>
      </w:r>
    </w:p>
    <w:p>
      <w:pPr>
        <w:spacing w:after="0" w:line="3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 TIME FOR FELLOWSHIP</w:t>
      </w:r>
    </w:p>
    <w:p>
      <w:pPr>
        <w:spacing w:after="0" w:line="152"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From left, Delta Advisory Board Member</w:t>
      </w:r>
    </w:p>
    <w:p>
      <w:pPr>
        <w:spacing w:after="0" w:line="33"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Al Kreuz and Barry Gray, AC/Delta Asst.</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Manager, visiting with Char Kreuz</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at the gift table.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959"/>
          </w:cols>
          <w:pgMar w:left="500" w:top="265"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69</w:t>
      </w:r>
    </w:p>
    <w:p>
      <w:pPr>
        <w:spacing w:after="0" w:line="33"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MONTPELIER EMPLOYEES PARTICIPATE IN</w:t>
      </w:r>
    </w:p>
    <w:p>
      <w:pPr>
        <w:spacing w:after="0" w:line="5"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SUMMERFEST "BED" RACE</w:t>
      </w:r>
    </w:p>
    <w:p>
      <w:pPr>
        <w:spacing w:after="0" w:line="326" w:lineRule="exact"/>
        <w:rPr>
          <w:sz w:val="20"/>
          <w:szCs w:val="20"/>
          <w:color w:val="auto"/>
        </w:rPr>
      </w:pPr>
    </w:p>
    <w:p>
      <w:pPr>
        <w:jc w:val="center"/>
        <w:ind w:left="1240"/>
        <w:spacing w:after="0" w:line="287" w:lineRule="auto"/>
        <w:rPr>
          <w:sz w:val="20"/>
          <w:szCs w:val="20"/>
          <w:color w:val="auto"/>
        </w:rPr>
      </w:pPr>
      <w:r>
        <w:rPr>
          <w:rFonts w:ascii="Courier New" w:cs="Courier New" w:eastAsia="Courier New" w:hAnsi="Courier New"/>
          <w:sz w:val="15"/>
          <w:szCs w:val="15"/>
          <w:color w:val="auto"/>
        </w:rPr>
        <w:t>Montpelier West Main Teller, Roxanne Chamberlain, and her daughter team up with Molly Startzman, Montpelier Eastside Secretary, and Lance Nofziger, Montpelier West Main Manager for the annual "Bed" Race.</w:t>
      </w:r>
    </w:p>
    <w:p>
      <w:pPr>
        <w:spacing w:after="0" w:line="236"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F &amp; M TAKES THE BANK TO THE</w:t>
      </w:r>
    </w:p>
    <w:p>
      <w:pPr>
        <w:spacing w:after="0" w:line="33"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HENRY COUNTY FAIR</w:t>
      </w:r>
    </w:p>
    <w:p>
      <w:pPr>
        <w:spacing w:after="0" w:line="152"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Steve Jackson, AVP/Napoleon Manager, and</w:t>
      </w:r>
    </w:p>
    <w:p>
      <w:pPr>
        <w:spacing w:after="0" w:line="3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Diana Dennie, AC/Asst. Manager, ensuring the</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ATM is ready for the Henry Co. Fair.</w:t>
      </w:r>
    </w:p>
    <w:p>
      <w:pPr>
        <w:spacing w:after="0" w:line="32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MONTPELIER EASTSIDE</w:t>
      </w:r>
    </w:p>
    <w:p>
      <w:pPr>
        <w:spacing w:after="0" w:line="3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RIBBON CUTTING</w:t>
      </w:r>
    </w:p>
    <w:p>
      <w:pPr>
        <w:spacing w:after="0" w:line="152"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Joe Crossgrove, Pres &amp; CEO, (far left)</w:t>
      </w:r>
    </w:p>
    <w:p>
      <w:pPr>
        <w:spacing w:after="0" w:line="3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along with Directors, Advisory Board</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Members, Village of Montpelier</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Officials, Montpelier Chamber of</w:t>
      </w:r>
    </w:p>
    <w:p>
      <w:pPr>
        <w:spacing w:after="0" w:line="5"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Commerce Representative and F &amp; M</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officers and employees watch while</w:t>
      </w:r>
    </w:p>
    <w:p>
      <w:pPr>
        <w:spacing w:after="0" w:line="5"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John Fee, AVP/Montpelier Eastside</w:t>
      </w:r>
    </w:p>
    <w:p>
      <w:pPr>
        <w:spacing w:after="0" w:line="5"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Manager, cuts the ribbon at the opening</w:t>
      </w:r>
    </w:p>
    <w:p>
      <w:pPr>
        <w:spacing w:after="0" w:line="5"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of the Eastside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9959"/>
          </w:cols>
          <w:pgMar w:left="500" w:top="265"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DISAGREEMENTS ON ACCOUNTING AND FINANCIAL DISCLOSURE</w:t>
      </w:r>
    </w:p>
    <w:p>
      <w:pPr>
        <w:spacing w:after="0" w:line="180" w:lineRule="exact"/>
        <w:rPr>
          <w:sz w:val="20"/>
          <w:szCs w:val="20"/>
          <w:color w:val="auto"/>
        </w:rPr>
      </w:pPr>
    </w:p>
    <w:p>
      <w:pPr>
        <w:ind w:left="820" w:right="3499"/>
        <w:spacing w:after="0" w:line="368" w:lineRule="auto"/>
        <w:rPr>
          <w:sz w:val="20"/>
          <w:szCs w:val="20"/>
          <w:color w:val="auto"/>
        </w:rPr>
      </w:pPr>
      <w:r>
        <w:rPr>
          <w:rFonts w:ascii="Courier New" w:cs="Courier New" w:eastAsia="Courier New" w:hAnsi="Courier New"/>
          <w:sz w:val="15"/>
          <w:szCs w:val="15"/>
          <w:color w:val="auto"/>
        </w:rPr>
        <w:t>No disagreements exist on accounting and financial disclosures or related matters.</w:t>
      </w:r>
    </w:p>
    <w:p>
      <w:pPr>
        <w:spacing w:after="0" w:line="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 change of accountants has been made since 1982.</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III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BOARD OF DIRECTORS</w:t>
      </w:r>
    </w:p>
    <w:p>
      <w:pPr>
        <w:spacing w:after="0" w:line="18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The information called for herein is presented below:</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320" w:type="dxa"/>
            <w:vAlign w:val="bottom"/>
            <w:vMerge w:val="restart"/>
          </w:tcPr>
          <w:p>
            <w:pPr>
              <w:ind w:left="940"/>
              <w:spacing w:after="0"/>
              <w:rPr>
                <w:sz w:val="20"/>
                <w:szCs w:val="20"/>
                <w:color w:val="auto"/>
              </w:rPr>
            </w:pPr>
            <w:r>
              <w:rPr>
                <w:rFonts w:ascii="Courier New" w:cs="Courier New" w:eastAsia="Courier New" w:hAnsi="Courier New"/>
                <w:sz w:val="15"/>
                <w:szCs w:val="15"/>
                <w:color w:val="auto"/>
              </w:rPr>
              <w:t>Principal Occupation or</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Year First</w:t>
            </w:r>
          </w:p>
        </w:tc>
        <w:tc>
          <w:tcPr>
            <w:tcW w:w="0" w:type="dxa"/>
            <w:vAlign w:val="bottom"/>
          </w:tcPr>
          <w:p>
            <w:pPr>
              <w:spacing w:after="0"/>
              <w:rPr>
                <w:sz w:val="1"/>
                <w:szCs w:val="1"/>
                <w:color w:val="auto"/>
              </w:rPr>
            </w:pPr>
          </w:p>
        </w:tc>
      </w:tr>
      <w:tr>
        <w:trPr>
          <w:trHeight w:val="175"/>
        </w:trPr>
        <w:tc>
          <w:tcPr>
            <w:tcW w:w="22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Name</w:t>
            </w:r>
          </w:p>
        </w:tc>
        <w:tc>
          <w:tcPr>
            <w:tcW w:w="1600" w:type="dxa"/>
            <w:vAlign w:val="bottom"/>
            <w:vMerge w:val="restart"/>
          </w:tcPr>
          <w:p>
            <w:pPr>
              <w:jc w:val="right"/>
              <w:ind w:right="604"/>
              <w:spacing w:after="0"/>
              <w:rPr>
                <w:sz w:val="20"/>
                <w:szCs w:val="20"/>
                <w:color w:val="auto"/>
              </w:rPr>
            </w:pPr>
            <w:r>
              <w:rPr>
                <w:rFonts w:ascii="Courier New" w:cs="Courier New" w:eastAsia="Courier New" w:hAnsi="Courier New"/>
                <w:sz w:val="15"/>
                <w:szCs w:val="15"/>
                <w:color w:val="auto"/>
              </w:rPr>
              <w:t>Age</w:t>
            </w:r>
          </w:p>
        </w:tc>
        <w:tc>
          <w:tcPr>
            <w:tcW w:w="4320" w:type="dxa"/>
            <w:vAlign w:val="bottom"/>
            <w:vMerge w:val="continue"/>
          </w:tcPr>
          <w:p>
            <w:pPr>
              <w:spacing w:after="0"/>
              <w:rPr>
                <w:sz w:val="15"/>
                <w:szCs w:val="15"/>
                <w:color w:val="auto"/>
              </w:rPr>
            </w:pPr>
          </w:p>
        </w:tc>
        <w:tc>
          <w:tcPr>
            <w:tcW w:w="1720" w:type="dxa"/>
            <w:vAlign w:val="bottom"/>
          </w:tcPr>
          <w:p>
            <w:pPr>
              <w:ind w:left="720"/>
              <w:spacing w:after="0"/>
              <w:rPr>
                <w:sz w:val="20"/>
                <w:szCs w:val="20"/>
                <w:color w:val="auto"/>
              </w:rPr>
            </w:pPr>
            <w:r>
              <w:rPr>
                <w:rFonts w:ascii="Courier New" w:cs="Courier New" w:eastAsia="Courier New" w:hAnsi="Courier New"/>
                <w:sz w:val="15"/>
                <w:szCs w:val="15"/>
                <w:color w:val="auto"/>
              </w:rPr>
              <w:t>Became</w:t>
            </w:r>
          </w:p>
        </w:tc>
        <w:tc>
          <w:tcPr>
            <w:tcW w:w="0" w:type="dxa"/>
            <w:vAlign w:val="bottom"/>
          </w:tcPr>
          <w:p>
            <w:pPr>
              <w:spacing w:after="0"/>
              <w:rPr>
                <w:sz w:val="1"/>
                <w:szCs w:val="1"/>
                <w:color w:val="auto"/>
              </w:rPr>
            </w:pPr>
          </w:p>
        </w:tc>
      </w:tr>
      <w:tr>
        <w:trPr>
          <w:trHeight w:val="175"/>
        </w:trPr>
        <w:tc>
          <w:tcPr>
            <w:tcW w:w="226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4320" w:type="dxa"/>
            <w:vAlign w:val="bottom"/>
          </w:tcPr>
          <w:p>
            <w:pPr>
              <w:ind w:left="680"/>
              <w:spacing w:after="0"/>
              <w:rPr>
                <w:sz w:val="20"/>
                <w:szCs w:val="20"/>
                <w:color w:val="auto"/>
              </w:rPr>
            </w:pPr>
            <w:r>
              <w:rPr>
                <w:rFonts w:ascii="Courier New" w:cs="Courier New" w:eastAsia="Courier New" w:hAnsi="Courier New"/>
                <w:sz w:val="15"/>
                <w:szCs w:val="15"/>
                <w:color w:val="auto"/>
              </w:rPr>
              <w:t>Employment for Past Five Years</w:t>
            </w:r>
          </w:p>
        </w:tc>
        <w:tc>
          <w:tcPr>
            <w:tcW w:w="1720" w:type="dxa"/>
            <w:vAlign w:val="bottom"/>
          </w:tcPr>
          <w:p>
            <w:pPr>
              <w:ind w:left="72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43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ind w:left="8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Courier New" w:cs="Courier New" w:eastAsia="Courier New" w:hAnsi="Courier New"/>
                <w:sz w:val="15"/>
                <w:szCs w:val="15"/>
                <w:color w:val="auto"/>
              </w:rPr>
              <w:t>Charles Lugbill</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71</w:t>
            </w:r>
          </w:p>
        </w:tc>
        <w:tc>
          <w:tcPr>
            <w:tcW w:w="4320" w:type="dxa"/>
            <w:vAlign w:val="bottom"/>
          </w:tcPr>
          <w:p>
            <w:pPr>
              <w:ind w:left="400"/>
              <w:spacing w:after="0"/>
              <w:rPr>
                <w:sz w:val="20"/>
                <w:szCs w:val="20"/>
                <w:color w:val="auto"/>
              </w:rPr>
            </w:pPr>
            <w:r>
              <w:rPr>
                <w:rFonts w:ascii="Courier New" w:cs="Courier New" w:eastAsia="Courier New" w:hAnsi="Courier New"/>
                <w:sz w:val="15"/>
                <w:szCs w:val="15"/>
                <w:color w:val="auto"/>
              </w:rPr>
              <w:t>Chairman of the Board of Farmers</w:t>
            </w:r>
          </w:p>
        </w:tc>
        <w:tc>
          <w:tcPr>
            <w:tcW w:w="1720" w:type="dxa"/>
            <w:vAlign w:val="bottom"/>
          </w:tcPr>
          <w:p>
            <w:pPr>
              <w:ind w:left="820"/>
              <w:spacing w:after="0"/>
              <w:rPr>
                <w:sz w:val="20"/>
                <w:szCs w:val="20"/>
                <w:color w:val="auto"/>
              </w:rPr>
            </w:pPr>
            <w:r>
              <w:rPr>
                <w:rFonts w:ascii="Courier New" w:cs="Courier New" w:eastAsia="Courier New" w:hAnsi="Courier New"/>
                <w:sz w:val="15"/>
                <w:szCs w:val="15"/>
                <w:color w:val="auto"/>
              </w:rPr>
              <w:t>1968</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320" w:type="dxa"/>
            <w:vAlign w:val="bottom"/>
          </w:tcPr>
          <w:p>
            <w:pPr>
              <w:ind w:left="580"/>
              <w:spacing w:after="0"/>
              <w:rPr>
                <w:sz w:val="20"/>
                <w:szCs w:val="20"/>
                <w:color w:val="auto"/>
              </w:rPr>
            </w:pPr>
            <w:r>
              <w:rPr>
                <w:rFonts w:ascii="Courier New" w:cs="Courier New" w:eastAsia="Courier New" w:hAnsi="Courier New"/>
                <w:sz w:val="15"/>
                <w:szCs w:val="15"/>
                <w:color w:val="auto"/>
              </w:rPr>
              <w:t>and Merchants Bancorp, Inc. and,</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320" w:type="dxa"/>
            <w:vAlign w:val="bottom"/>
          </w:tcPr>
          <w:p>
            <w:pPr>
              <w:ind w:left="580"/>
              <w:spacing w:after="0"/>
              <w:rPr>
                <w:sz w:val="20"/>
                <w:szCs w:val="20"/>
                <w:color w:val="auto"/>
              </w:rPr>
            </w:pPr>
            <w:r>
              <w:rPr>
                <w:rFonts w:ascii="Courier New" w:cs="Courier New" w:eastAsia="Courier New" w:hAnsi="Courier New"/>
                <w:sz w:val="15"/>
                <w:szCs w:val="15"/>
                <w:color w:val="auto"/>
              </w:rPr>
              <w:t>The Farmers &amp; Merchants State</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320" w:type="dxa"/>
            <w:vAlign w:val="bottom"/>
          </w:tcPr>
          <w:p>
            <w:pPr>
              <w:ind w:left="580"/>
              <w:spacing w:after="0"/>
              <w:rPr>
                <w:sz w:val="20"/>
                <w:szCs w:val="20"/>
                <w:color w:val="auto"/>
              </w:rPr>
            </w:pPr>
            <w:r>
              <w:rPr>
                <w:rFonts w:ascii="Courier New" w:cs="Courier New" w:eastAsia="Courier New" w:hAnsi="Courier New"/>
                <w:sz w:val="15"/>
                <w:szCs w:val="15"/>
                <w:color w:val="auto"/>
              </w:rPr>
              <w:t>Bank</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Eugene Bernath</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65</w:t>
            </w:r>
          </w:p>
        </w:tc>
        <w:tc>
          <w:tcPr>
            <w:tcW w:w="4320" w:type="dxa"/>
            <w:vAlign w:val="bottom"/>
          </w:tcPr>
          <w:p>
            <w:pPr>
              <w:ind w:left="400"/>
              <w:spacing w:after="0"/>
              <w:rPr>
                <w:sz w:val="20"/>
                <w:szCs w:val="20"/>
                <w:color w:val="auto"/>
              </w:rPr>
            </w:pPr>
            <w:r>
              <w:rPr>
                <w:rFonts w:ascii="Courier New" w:cs="Courier New" w:eastAsia="Courier New" w:hAnsi="Courier New"/>
                <w:sz w:val="15"/>
                <w:szCs w:val="15"/>
                <w:color w:val="auto"/>
              </w:rPr>
              <w:t>Farmer</w:t>
            </w:r>
          </w:p>
        </w:tc>
        <w:tc>
          <w:tcPr>
            <w:tcW w:w="1720" w:type="dxa"/>
            <w:vAlign w:val="bottom"/>
          </w:tcPr>
          <w:p>
            <w:pPr>
              <w:ind w:left="820"/>
              <w:spacing w:after="0"/>
              <w:rPr>
                <w:sz w:val="20"/>
                <w:szCs w:val="20"/>
                <w:color w:val="auto"/>
              </w:rPr>
            </w:pPr>
            <w:r>
              <w:rPr>
                <w:rFonts w:ascii="Courier New" w:cs="Courier New" w:eastAsia="Courier New" w:hAnsi="Courier New"/>
                <w:sz w:val="15"/>
                <w:szCs w:val="15"/>
                <w:color w:val="auto"/>
              </w:rPr>
              <w:t>1978</w:t>
            </w: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Courier New" w:cs="Courier New" w:eastAsia="Courier New" w:hAnsi="Courier New"/>
                <w:sz w:val="15"/>
                <w:szCs w:val="15"/>
                <w:color w:val="auto"/>
              </w:rPr>
              <w:t>Jerry L. Boyers</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65</w:t>
            </w:r>
          </w:p>
        </w:tc>
        <w:tc>
          <w:tcPr>
            <w:tcW w:w="4320" w:type="dxa"/>
            <w:vAlign w:val="bottom"/>
          </w:tcPr>
          <w:p>
            <w:pPr>
              <w:ind w:left="400"/>
              <w:spacing w:after="0"/>
              <w:rPr>
                <w:sz w:val="20"/>
                <w:szCs w:val="20"/>
                <w:color w:val="auto"/>
              </w:rPr>
            </w:pPr>
            <w:r>
              <w:rPr>
                <w:rFonts w:ascii="Courier New" w:cs="Courier New" w:eastAsia="Courier New" w:hAnsi="Courier New"/>
                <w:sz w:val="15"/>
                <w:szCs w:val="15"/>
                <w:color w:val="auto"/>
              </w:rPr>
              <w:t>President, Edifice Construction</w:t>
            </w:r>
          </w:p>
        </w:tc>
        <w:tc>
          <w:tcPr>
            <w:tcW w:w="1720" w:type="dxa"/>
            <w:vAlign w:val="bottom"/>
          </w:tcPr>
          <w:p>
            <w:pPr>
              <w:ind w:left="820"/>
              <w:spacing w:after="0"/>
              <w:rPr>
                <w:sz w:val="20"/>
                <w:szCs w:val="20"/>
                <w:color w:val="auto"/>
              </w:rPr>
            </w:pPr>
            <w:r>
              <w:rPr>
                <w:rFonts w:ascii="Courier New" w:cs="Courier New" w:eastAsia="Courier New" w:hAnsi="Courier New"/>
                <w:sz w:val="15"/>
                <w:szCs w:val="15"/>
                <w:color w:val="auto"/>
              </w:rPr>
              <w:t>1976</w:t>
            </w: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320" w:type="dxa"/>
            <w:vAlign w:val="bottom"/>
          </w:tcPr>
          <w:p>
            <w:pPr>
              <w:ind w:left="580"/>
              <w:spacing w:after="0"/>
              <w:rPr>
                <w:sz w:val="20"/>
                <w:szCs w:val="20"/>
                <w:color w:val="auto"/>
              </w:rPr>
            </w:pPr>
            <w:r>
              <w:rPr>
                <w:rFonts w:ascii="Courier New" w:cs="Courier New" w:eastAsia="Courier New" w:hAnsi="Courier New"/>
                <w:sz w:val="15"/>
                <w:szCs w:val="15"/>
                <w:color w:val="auto"/>
              </w:rPr>
              <w:t>Management</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Courier New" w:cs="Courier New" w:eastAsia="Courier New" w:hAnsi="Courier New"/>
                <w:sz w:val="15"/>
                <w:szCs w:val="15"/>
                <w:color w:val="auto"/>
              </w:rPr>
              <w:t>Joe E. Crossgrove</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62</w:t>
            </w:r>
          </w:p>
        </w:tc>
        <w:tc>
          <w:tcPr>
            <w:tcW w:w="4320" w:type="dxa"/>
            <w:vAlign w:val="bottom"/>
          </w:tcPr>
          <w:p>
            <w:pPr>
              <w:ind w:left="400"/>
              <w:spacing w:after="0"/>
              <w:rPr>
                <w:sz w:val="20"/>
                <w:szCs w:val="20"/>
                <w:color w:val="auto"/>
              </w:rPr>
            </w:pPr>
            <w:r>
              <w:rPr>
                <w:rFonts w:ascii="Courier New" w:cs="Courier New" w:eastAsia="Courier New" w:hAnsi="Courier New"/>
                <w:sz w:val="15"/>
                <w:szCs w:val="15"/>
                <w:color w:val="auto"/>
              </w:rPr>
              <w:t>President, Chief Executive Officer</w:t>
            </w:r>
          </w:p>
        </w:tc>
        <w:tc>
          <w:tcPr>
            <w:tcW w:w="1720" w:type="dxa"/>
            <w:vAlign w:val="bottom"/>
          </w:tcPr>
          <w:p>
            <w:pPr>
              <w:ind w:left="820"/>
              <w:spacing w:after="0"/>
              <w:rPr>
                <w:sz w:val="20"/>
                <w:szCs w:val="20"/>
                <w:color w:val="auto"/>
              </w:rPr>
            </w:pPr>
            <w:r>
              <w:rPr>
                <w:rFonts w:ascii="Courier New" w:cs="Courier New" w:eastAsia="Courier New" w:hAnsi="Courier New"/>
                <w:sz w:val="15"/>
                <w:szCs w:val="15"/>
                <w:color w:val="auto"/>
              </w:rPr>
              <w:t>1992</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320" w:type="dxa"/>
            <w:vAlign w:val="bottom"/>
          </w:tcPr>
          <w:p>
            <w:pPr>
              <w:ind w:left="580"/>
              <w:spacing w:after="0"/>
              <w:rPr>
                <w:sz w:val="20"/>
                <w:szCs w:val="20"/>
                <w:color w:val="auto"/>
              </w:rPr>
            </w:pPr>
            <w:r>
              <w:rPr>
                <w:rFonts w:ascii="Courier New" w:cs="Courier New" w:eastAsia="Courier New" w:hAnsi="Courier New"/>
                <w:sz w:val="15"/>
                <w:szCs w:val="15"/>
                <w:color w:val="auto"/>
              </w:rPr>
              <w:t>The Farmers &amp; Merchants State</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320" w:type="dxa"/>
            <w:vAlign w:val="bottom"/>
          </w:tcPr>
          <w:p>
            <w:pPr>
              <w:ind w:left="580"/>
              <w:spacing w:after="0"/>
              <w:rPr>
                <w:sz w:val="20"/>
                <w:szCs w:val="20"/>
                <w:color w:val="auto"/>
              </w:rPr>
            </w:pPr>
            <w:r>
              <w:rPr>
                <w:rFonts w:ascii="Courier New" w:cs="Courier New" w:eastAsia="Courier New" w:hAnsi="Courier New"/>
                <w:sz w:val="15"/>
                <w:szCs w:val="15"/>
                <w:color w:val="auto"/>
              </w:rPr>
              <w:t>Bank</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Robert G. Frey</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58</w:t>
            </w:r>
          </w:p>
        </w:tc>
        <w:tc>
          <w:tcPr>
            <w:tcW w:w="4320" w:type="dxa"/>
            <w:vAlign w:val="bottom"/>
          </w:tcPr>
          <w:p>
            <w:pPr>
              <w:ind w:left="400"/>
              <w:spacing w:after="0"/>
              <w:rPr>
                <w:sz w:val="20"/>
                <w:szCs w:val="20"/>
                <w:color w:val="auto"/>
              </w:rPr>
            </w:pPr>
            <w:r>
              <w:rPr>
                <w:rFonts w:ascii="Courier New" w:cs="Courier New" w:eastAsia="Courier New" w:hAnsi="Courier New"/>
                <w:sz w:val="15"/>
                <w:szCs w:val="15"/>
                <w:color w:val="auto"/>
              </w:rPr>
              <w:t>President, E. H. Frey &amp; Sons, Inc.</w:t>
            </w:r>
          </w:p>
        </w:tc>
        <w:tc>
          <w:tcPr>
            <w:tcW w:w="1720" w:type="dxa"/>
            <w:vAlign w:val="bottom"/>
          </w:tcPr>
          <w:p>
            <w:pPr>
              <w:ind w:left="820"/>
              <w:spacing w:after="0"/>
              <w:rPr>
                <w:sz w:val="20"/>
                <w:szCs w:val="20"/>
                <w:color w:val="auto"/>
              </w:rPr>
            </w:pPr>
            <w:r>
              <w:rPr>
                <w:rFonts w:ascii="Courier New" w:cs="Courier New" w:eastAsia="Courier New" w:hAnsi="Courier New"/>
                <w:sz w:val="15"/>
                <w:szCs w:val="15"/>
                <w:color w:val="auto"/>
              </w:rPr>
              <w:t>1987</w:t>
            </w:r>
          </w:p>
        </w:tc>
        <w:tc>
          <w:tcPr>
            <w:tcW w:w="0" w:type="dxa"/>
            <w:vAlign w:val="bottom"/>
          </w:tcPr>
          <w:p>
            <w:pPr>
              <w:spacing w:after="0"/>
              <w:rPr>
                <w:sz w:val="1"/>
                <w:szCs w:val="1"/>
                <w:color w:val="auto"/>
              </w:rPr>
            </w:pP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Lee E. Graffice</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67</w:t>
            </w:r>
          </w:p>
        </w:tc>
        <w:tc>
          <w:tcPr>
            <w:tcW w:w="4320" w:type="dxa"/>
            <w:vAlign w:val="bottom"/>
          </w:tcPr>
          <w:p>
            <w:pPr>
              <w:ind w:left="400"/>
              <w:spacing w:after="0"/>
              <w:rPr>
                <w:sz w:val="20"/>
                <w:szCs w:val="20"/>
                <w:color w:val="auto"/>
              </w:rPr>
            </w:pPr>
            <w:r>
              <w:rPr>
                <w:rFonts w:ascii="Courier New" w:cs="Courier New" w:eastAsia="Courier New" w:hAnsi="Courier New"/>
                <w:sz w:val="15"/>
                <w:szCs w:val="15"/>
                <w:color w:val="auto"/>
              </w:rPr>
              <w:t>President, Graffice Motor Sales</w:t>
            </w:r>
          </w:p>
        </w:tc>
        <w:tc>
          <w:tcPr>
            <w:tcW w:w="1720" w:type="dxa"/>
            <w:vAlign w:val="bottom"/>
          </w:tcPr>
          <w:p>
            <w:pPr>
              <w:ind w:left="820"/>
              <w:spacing w:after="0"/>
              <w:rPr>
                <w:sz w:val="20"/>
                <w:szCs w:val="20"/>
                <w:color w:val="auto"/>
              </w:rPr>
            </w:pPr>
            <w:r>
              <w:rPr>
                <w:rFonts w:ascii="Courier New" w:cs="Courier New" w:eastAsia="Courier New" w:hAnsi="Courier New"/>
                <w:sz w:val="15"/>
                <w:szCs w:val="15"/>
                <w:color w:val="auto"/>
              </w:rPr>
              <w:t>1983</w:t>
            </w: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Courier New" w:cs="Courier New" w:eastAsia="Courier New" w:hAnsi="Courier New"/>
                <w:sz w:val="15"/>
                <w:szCs w:val="15"/>
                <w:color w:val="auto"/>
              </w:rPr>
              <w:t>Jack C. Johnson</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46</w:t>
            </w:r>
          </w:p>
        </w:tc>
        <w:tc>
          <w:tcPr>
            <w:tcW w:w="4320" w:type="dxa"/>
            <w:vAlign w:val="bottom"/>
          </w:tcPr>
          <w:p>
            <w:pPr>
              <w:ind w:left="400"/>
              <w:spacing w:after="0"/>
              <w:rPr>
                <w:sz w:val="20"/>
                <w:szCs w:val="20"/>
                <w:color w:val="auto"/>
              </w:rPr>
            </w:pPr>
            <w:r>
              <w:rPr>
                <w:rFonts w:ascii="Courier New" w:cs="Courier New" w:eastAsia="Courier New" w:hAnsi="Courier New"/>
                <w:sz w:val="15"/>
                <w:szCs w:val="15"/>
                <w:color w:val="auto"/>
              </w:rPr>
              <w:t>President, Hawk's Clothing, Inc.</w:t>
            </w:r>
          </w:p>
        </w:tc>
        <w:tc>
          <w:tcPr>
            <w:tcW w:w="1720" w:type="dxa"/>
            <w:vAlign w:val="bottom"/>
          </w:tcPr>
          <w:p>
            <w:pPr>
              <w:ind w:left="820"/>
              <w:spacing w:after="0"/>
              <w:rPr>
                <w:sz w:val="20"/>
                <w:szCs w:val="20"/>
                <w:color w:val="auto"/>
              </w:rPr>
            </w:pPr>
            <w:r>
              <w:rPr>
                <w:rFonts w:ascii="Courier New" w:cs="Courier New" w:eastAsia="Courier New" w:hAnsi="Courier New"/>
                <w:sz w:val="15"/>
                <w:szCs w:val="15"/>
                <w:color w:val="auto"/>
              </w:rPr>
              <w:t>1991</w:t>
            </w: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320" w:type="dxa"/>
            <w:vAlign w:val="bottom"/>
          </w:tcPr>
          <w:p>
            <w:pPr>
              <w:ind w:left="580"/>
              <w:spacing w:after="0"/>
              <w:rPr>
                <w:sz w:val="20"/>
                <w:szCs w:val="20"/>
                <w:color w:val="auto"/>
              </w:rPr>
            </w:pPr>
            <w:r>
              <w:rPr>
                <w:rFonts w:ascii="Courier New" w:cs="Courier New" w:eastAsia="Courier New" w:hAnsi="Courier New"/>
                <w:sz w:val="15"/>
                <w:szCs w:val="15"/>
                <w:color w:val="auto"/>
              </w:rPr>
              <w:t>Partner, REJO Partnership</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Dean E. Miller</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54</w:t>
            </w:r>
          </w:p>
        </w:tc>
        <w:tc>
          <w:tcPr>
            <w:tcW w:w="4320" w:type="dxa"/>
            <w:vAlign w:val="bottom"/>
          </w:tcPr>
          <w:p>
            <w:pPr>
              <w:ind w:left="400"/>
              <w:spacing w:after="0"/>
              <w:rPr>
                <w:sz w:val="20"/>
                <w:szCs w:val="20"/>
                <w:color w:val="auto"/>
              </w:rPr>
            </w:pPr>
            <w:r>
              <w:rPr>
                <w:rFonts w:ascii="Courier New" w:cs="Courier New" w:eastAsia="Courier New" w:hAnsi="Courier New"/>
                <w:sz w:val="15"/>
                <w:szCs w:val="15"/>
                <w:color w:val="auto"/>
              </w:rPr>
              <w:t>President, MBC Holdings, Inc.</w:t>
            </w:r>
          </w:p>
        </w:tc>
        <w:tc>
          <w:tcPr>
            <w:tcW w:w="1720" w:type="dxa"/>
            <w:vAlign w:val="bottom"/>
          </w:tcPr>
          <w:p>
            <w:pPr>
              <w:ind w:left="820"/>
              <w:spacing w:after="0"/>
              <w:rPr>
                <w:sz w:val="20"/>
                <w:szCs w:val="20"/>
                <w:color w:val="auto"/>
              </w:rPr>
            </w:pPr>
            <w:r>
              <w:rPr>
                <w:rFonts w:ascii="Courier New" w:cs="Courier New" w:eastAsia="Courier New" w:hAnsi="Courier New"/>
                <w:sz w:val="15"/>
                <w:szCs w:val="15"/>
                <w:color w:val="auto"/>
              </w:rPr>
              <w:t>1986</w:t>
            </w:r>
          </w:p>
        </w:tc>
        <w:tc>
          <w:tcPr>
            <w:tcW w:w="0" w:type="dxa"/>
            <w:vAlign w:val="bottom"/>
          </w:tcPr>
          <w:p>
            <w:pPr>
              <w:spacing w:after="0"/>
              <w:rPr>
                <w:sz w:val="1"/>
                <w:szCs w:val="1"/>
                <w:color w:val="auto"/>
              </w:rPr>
            </w:pP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Dale L. Nafziger</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68</w:t>
            </w:r>
          </w:p>
        </w:tc>
        <w:tc>
          <w:tcPr>
            <w:tcW w:w="4320" w:type="dxa"/>
            <w:vAlign w:val="bottom"/>
          </w:tcPr>
          <w:p>
            <w:pPr>
              <w:ind w:left="400"/>
              <w:spacing w:after="0"/>
              <w:rPr>
                <w:sz w:val="20"/>
                <w:szCs w:val="20"/>
                <w:color w:val="auto"/>
              </w:rPr>
            </w:pPr>
            <w:r>
              <w:rPr>
                <w:rFonts w:ascii="Courier New" w:cs="Courier New" w:eastAsia="Courier New" w:hAnsi="Courier New"/>
                <w:sz w:val="15"/>
                <w:szCs w:val="15"/>
                <w:color w:val="auto"/>
              </w:rPr>
              <w:t>Retired</w:t>
            </w:r>
          </w:p>
        </w:tc>
        <w:tc>
          <w:tcPr>
            <w:tcW w:w="1720" w:type="dxa"/>
            <w:vAlign w:val="bottom"/>
          </w:tcPr>
          <w:p>
            <w:pPr>
              <w:ind w:left="820"/>
              <w:spacing w:after="0"/>
              <w:rPr>
                <w:sz w:val="20"/>
                <w:szCs w:val="20"/>
                <w:color w:val="auto"/>
              </w:rPr>
            </w:pPr>
            <w:r>
              <w:rPr>
                <w:rFonts w:ascii="Courier New" w:cs="Courier New" w:eastAsia="Courier New" w:hAnsi="Courier New"/>
                <w:sz w:val="15"/>
                <w:szCs w:val="15"/>
                <w:color w:val="auto"/>
              </w:rPr>
              <w:t>1969</w:t>
            </w: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Courier New" w:cs="Courier New" w:eastAsia="Courier New" w:hAnsi="Courier New"/>
                <w:sz w:val="15"/>
                <w:szCs w:val="15"/>
                <w:color w:val="auto"/>
              </w:rPr>
              <w:t>Harold H. Plassman</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69</w:t>
            </w:r>
          </w:p>
        </w:tc>
        <w:tc>
          <w:tcPr>
            <w:tcW w:w="4320" w:type="dxa"/>
            <w:vAlign w:val="bottom"/>
          </w:tcPr>
          <w:p>
            <w:pPr>
              <w:ind w:left="400"/>
              <w:spacing w:after="0"/>
              <w:rPr>
                <w:sz w:val="20"/>
                <w:szCs w:val="20"/>
                <w:color w:val="auto"/>
              </w:rPr>
            </w:pPr>
            <w:r>
              <w:rPr>
                <w:rFonts w:ascii="Courier New" w:cs="Courier New" w:eastAsia="Courier New" w:hAnsi="Courier New"/>
                <w:sz w:val="15"/>
                <w:szCs w:val="15"/>
                <w:color w:val="auto"/>
              </w:rPr>
              <w:t>Attorney, Plassman, Rupp, Hensel</w:t>
            </w:r>
          </w:p>
        </w:tc>
        <w:tc>
          <w:tcPr>
            <w:tcW w:w="1720" w:type="dxa"/>
            <w:vAlign w:val="bottom"/>
          </w:tcPr>
          <w:p>
            <w:pPr>
              <w:ind w:left="820"/>
              <w:spacing w:after="0"/>
              <w:rPr>
                <w:sz w:val="20"/>
                <w:szCs w:val="20"/>
                <w:color w:val="auto"/>
              </w:rPr>
            </w:pPr>
            <w:r>
              <w:rPr>
                <w:rFonts w:ascii="Courier New" w:cs="Courier New" w:eastAsia="Courier New" w:hAnsi="Courier New"/>
                <w:sz w:val="15"/>
                <w:szCs w:val="15"/>
                <w:color w:val="auto"/>
              </w:rPr>
              <w:t>1985</w:t>
            </w: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320" w:type="dxa"/>
            <w:vAlign w:val="bottom"/>
          </w:tcPr>
          <w:p>
            <w:pPr>
              <w:ind w:left="580"/>
              <w:spacing w:after="0"/>
              <w:rPr>
                <w:sz w:val="20"/>
                <w:szCs w:val="20"/>
                <w:color w:val="auto"/>
              </w:rPr>
            </w:pPr>
            <w:r>
              <w:rPr>
                <w:rFonts w:ascii="Courier New" w:cs="Courier New" w:eastAsia="Courier New" w:hAnsi="Courier New"/>
                <w:sz w:val="15"/>
                <w:szCs w:val="15"/>
                <w:color w:val="auto"/>
              </w:rPr>
              <w:t>&amp; Short</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James L. Provost</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70</w:t>
            </w:r>
          </w:p>
        </w:tc>
        <w:tc>
          <w:tcPr>
            <w:tcW w:w="4320" w:type="dxa"/>
            <w:vAlign w:val="bottom"/>
          </w:tcPr>
          <w:p>
            <w:pPr>
              <w:ind w:left="400"/>
              <w:spacing w:after="0"/>
              <w:rPr>
                <w:sz w:val="20"/>
                <w:szCs w:val="20"/>
                <w:color w:val="auto"/>
              </w:rPr>
            </w:pPr>
            <w:r>
              <w:rPr>
                <w:rFonts w:ascii="Courier New" w:cs="Courier New" w:eastAsia="Courier New" w:hAnsi="Courier New"/>
                <w:sz w:val="15"/>
                <w:szCs w:val="15"/>
                <w:color w:val="auto"/>
              </w:rPr>
              <w:t>Retired, Dyer &amp; McDermott, Inc.</w:t>
            </w:r>
          </w:p>
        </w:tc>
        <w:tc>
          <w:tcPr>
            <w:tcW w:w="1720" w:type="dxa"/>
            <w:vAlign w:val="bottom"/>
          </w:tcPr>
          <w:p>
            <w:pPr>
              <w:ind w:left="820"/>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Courier New" w:cs="Courier New" w:eastAsia="Courier New" w:hAnsi="Courier New"/>
                <w:sz w:val="15"/>
                <w:szCs w:val="15"/>
                <w:color w:val="auto"/>
              </w:rPr>
              <w:t>James C. Saneholtz</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52</w:t>
            </w:r>
          </w:p>
        </w:tc>
        <w:tc>
          <w:tcPr>
            <w:tcW w:w="4320" w:type="dxa"/>
            <w:vAlign w:val="bottom"/>
          </w:tcPr>
          <w:p>
            <w:pPr>
              <w:ind w:left="400"/>
              <w:spacing w:after="0"/>
              <w:rPr>
                <w:sz w:val="20"/>
                <w:szCs w:val="20"/>
                <w:color w:val="auto"/>
              </w:rPr>
            </w:pPr>
            <w:r>
              <w:rPr>
                <w:rFonts w:ascii="Courier New" w:cs="Courier New" w:eastAsia="Courier New" w:hAnsi="Courier New"/>
                <w:sz w:val="15"/>
                <w:szCs w:val="15"/>
                <w:color w:val="auto"/>
              </w:rPr>
              <w:t>President, Saneholtz-McKarns, Inc.</w:t>
            </w:r>
          </w:p>
        </w:tc>
        <w:tc>
          <w:tcPr>
            <w:tcW w:w="1720" w:type="dxa"/>
            <w:vAlign w:val="bottom"/>
          </w:tcPr>
          <w:p>
            <w:pPr>
              <w:ind w:left="820"/>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66</w:t>
            </w:r>
          </w:p>
        </w:tc>
        <w:tc>
          <w:tcPr>
            <w:tcW w:w="432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President, Sauder Woodworking Co.</w:t>
            </w:r>
          </w:p>
        </w:tc>
        <w:tc>
          <w:tcPr>
            <w:tcW w:w="172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1980</w:t>
            </w: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0"/>
                <w:szCs w:val="20"/>
                <w:color w:val="auto"/>
              </w:rPr>
            </w:pPr>
            <w:r>
              <w:rPr>
                <w:rFonts w:ascii="Courier New" w:cs="Courier New" w:eastAsia="Courier New" w:hAnsi="Courier New"/>
                <w:sz w:val="15"/>
                <w:szCs w:val="15"/>
                <w:color w:val="auto"/>
              </w:rPr>
              <w:t>Maynard Sauder</w:t>
            </w:r>
          </w:p>
        </w:tc>
        <w:tc>
          <w:tcPr>
            <w:tcW w:w="1600" w:type="dxa"/>
            <w:vAlign w:val="bottom"/>
            <w:vMerge w:val="continue"/>
          </w:tcPr>
          <w:p>
            <w:pPr>
              <w:spacing w:after="0"/>
              <w:rPr>
                <w:sz w:val="22"/>
                <w:szCs w:val="22"/>
                <w:color w:val="auto"/>
              </w:rPr>
            </w:pPr>
          </w:p>
        </w:tc>
        <w:tc>
          <w:tcPr>
            <w:tcW w:w="4320" w:type="dxa"/>
            <w:vAlign w:val="bottom"/>
            <w:vMerge w:val="continue"/>
          </w:tcPr>
          <w:p>
            <w:pPr>
              <w:spacing w:after="0"/>
              <w:rPr>
                <w:sz w:val="22"/>
                <w:szCs w:val="22"/>
                <w:color w:val="auto"/>
              </w:rPr>
            </w:pPr>
          </w:p>
        </w:tc>
        <w:tc>
          <w:tcPr>
            <w:tcW w:w="1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Merle J. Short</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58</w:t>
            </w:r>
          </w:p>
        </w:tc>
        <w:tc>
          <w:tcPr>
            <w:tcW w:w="4320" w:type="dxa"/>
            <w:vAlign w:val="bottom"/>
          </w:tcPr>
          <w:p>
            <w:pPr>
              <w:ind w:left="400"/>
              <w:spacing w:after="0"/>
              <w:rPr>
                <w:sz w:val="20"/>
                <w:szCs w:val="20"/>
                <w:color w:val="auto"/>
              </w:rPr>
            </w:pPr>
            <w:r>
              <w:rPr>
                <w:rFonts w:ascii="Courier New" w:cs="Courier New" w:eastAsia="Courier New" w:hAnsi="Courier New"/>
                <w:sz w:val="15"/>
                <w:szCs w:val="15"/>
                <w:color w:val="auto"/>
              </w:rPr>
              <w:t>Farmer, President of Promow, Inc.</w:t>
            </w:r>
          </w:p>
        </w:tc>
        <w:tc>
          <w:tcPr>
            <w:tcW w:w="1720" w:type="dxa"/>
            <w:vAlign w:val="bottom"/>
          </w:tcPr>
          <w:p>
            <w:pPr>
              <w:ind w:left="820"/>
              <w:spacing w:after="0"/>
              <w:rPr>
                <w:sz w:val="20"/>
                <w:szCs w:val="20"/>
                <w:color w:val="auto"/>
              </w:rPr>
            </w:pPr>
            <w:r>
              <w:rPr>
                <w:rFonts w:ascii="Courier New" w:cs="Courier New" w:eastAsia="Courier New" w:hAnsi="Courier New"/>
                <w:sz w:val="15"/>
                <w:szCs w:val="15"/>
                <w:color w:val="auto"/>
              </w:rPr>
              <w:t>1987</w:t>
            </w:r>
          </w:p>
        </w:tc>
        <w:tc>
          <w:tcPr>
            <w:tcW w:w="0" w:type="dxa"/>
            <w:vAlign w:val="bottom"/>
          </w:tcPr>
          <w:p>
            <w:pPr>
              <w:spacing w:after="0"/>
              <w:rPr>
                <w:sz w:val="1"/>
                <w:szCs w:val="1"/>
                <w:color w:val="auto"/>
              </w:rPr>
            </w:pP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Steven J. Wyse</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54</w:t>
            </w:r>
          </w:p>
        </w:tc>
        <w:tc>
          <w:tcPr>
            <w:tcW w:w="4320" w:type="dxa"/>
            <w:vAlign w:val="bottom"/>
          </w:tcPr>
          <w:p>
            <w:pPr>
              <w:ind w:left="400"/>
              <w:spacing w:after="0"/>
              <w:rPr>
                <w:sz w:val="20"/>
                <w:szCs w:val="20"/>
                <w:color w:val="auto"/>
              </w:rPr>
            </w:pPr>
            <w:r>
              <w:rPr>
                <w:rFonts w:ascii="Courier New" w:cs="Courier New" w:eastAsia="Courier New" w:hAnsi="Courier New"/>
                <w:sz w:val="15"/>
                <w:szCs w:val="15"/>
                <w:color w:val="auto"/>
              </w:rPr>
              <w:t>President, Granite Industries, Inc.</w:t>
            </w:r>
          </w:p>
        </w:tc>
        <w:tc>
          <w:tcPr>
            <w:tcW w:w="1720" w:type="dxa"/>
            <w:vAlign w:val="bottom"/>
          </w:tcPr>
          <w:p>
            <w:pPr>
              <w:ind w:left="820"/>
              <w:spacing w:after="0"/>
              <w:rPr>
                <w:sz w:val="20"/>
                <w:szCs w:val="20"/>
                <w:color w:val="auto"/>
              </w:rPr>
            </w:pPr>
            <w:r>
              <w:rPr>
                <w:rFonts w:ascii="Courier New" w:cs="Courier New" w:eastAsia="Courier New" w:hAnsi="Courier New"/>
                <w:sz w:val="15"/>
                <w:szCs w:val="15"/>
                <w:color w:val="auto"/>
              </w:rPr>
              <w:t>1991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65"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56"/>
        </w:trPr>
        <w:tc>
          <w:tcPr>
            <w:tcW w:w="2320" w:type="dxa"/>
            <w:vAlign w:val="bottom"/>
          </w:tcPr>
          <w:p>
            <w:pPr>
              <w:ind w:left="260"/>
              <w:spacing w:after="0"/>
              <w:rPr>
                <w:sz w:val="20"/>
                <w:szCs w:val="20"/>
                <w:color w:val="auto"/>
              </w:rPr>
            </w:pPr>
            <w:r>
              <w:rPr>
                <w:rFonts w:ascii="Courier New" w:cs="Courier New" w:eastAsia="Courier New" w:hAnsi="Courier New"/>
                <w:sz w:val="15"/>
                <w:szCs w:val="15"/>
                <w:color w:val="auto"/>
              </w:rPr>
              <w:t>71</w:t>
            </w:r>
          </w:p>
        </w:tc>
        <w:tc>
          <w:tcPr>
            <w:tcW w:w="10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9"/>
        </w:trPr>
        <w:tc>
          <w:tcPr>
            <w:tcW w:w="2320" w:type="dxa"/>
            <w:vAlign w:val="bottom"/>
          </w:tcPr>
          <w:p>
            <w:pPr>
              <w:spacing w:after="0"/>
              <w:rPr>
                <w:sz w:val="24"/>
                <w:szCs w:val="24"/>
                <w:color w:val="auto"/>
              </w:rPr>
            </w:pPr>
          </w:p>
        </w:tc>
        <w:tc>
          <w:tcPr>
            <w:tcW w:w="326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EXECUTIVE OFFICERS</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2"/>
        </w:trPr>
        <w:tc>
          <w:tcPr>
            <w:tcW w:w="232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Name</w:t>
            </w:r>
          </w:p>
        </w:tc>
        <w:tc>
          <w:tcPr>
            <w:tcW w:w="1080" w:type="dxa"/>
            <w:vAlign w:val="bottom"/>
            <w:vMerge w:val="restart"/>
          </w:tcPr>
          <w:p>
            <w:pPr>
              <w:ind w:left="580"/>
              <w:spacing w:after="0"/>
              <w:rPr>
                <w:sz w:val="20"/>
                <w:szCs w:val="20"/>
                <w:color w:val="auto"/>
              </w:rPr>
            </w:pPr>
            <w:r>
              <w:rPr>
                <w:rFonts w:ascii="Courier New" w:cs="Courier New" w:eastAsia="Courier New" w:hAnsi="Courier New"/>
                <w:sz w:val="15"/>
                <w:szCs w:val="15"/>
                <w:color w:val="auto"/>
              </w:rPr>
              <w:t>Age</w:t>
            </w:r>
          </w:p>
        </w:tc>
        <w:tc>
          <w:tcPr>
            <w:tcW w:w="4500" w:type="dxa"/>
            <w:vAlign w:val="bottom"/>
            <w:gridSpan w:val="2"/>
          </w:tcPr>
          <w:p>
            <w:pPr>
              <w:ind w:left="1780"/>
              <w:spacing w:after="0"/>
              <w:rPr>
                <w:sz w:val="20"/>
                <w:szCs w:val="20"/>
                <w:color w:val="auto"/>
              </w:rPr>
            </w:pPr>
            <w:r>
              <w:rPr>
                <w:rFonts w:ascii="Courier New" w:cs="Courier New" w:eastAsia="Courier New" w:hAnsi="Courier New"/>
                <w:sz w:val="15"/>
                <w:szCs w:val="15"/>
                <w:color w:val="auto"/>
              </w:rPr>
              <w:t>Principal Occupation</w:t>
            </w:r>
          </w:p>
        </w:tc>
        <w:tc>
          <w:tcPr>
            <w:tcW w:w="0" w:type="dxa"/>
            <w:vAlign w:val="bottom"/>
          </w:tcPr>
          <w:p>
            <w:pPr>
              <w:spacing w:after="0"/>
              <w:rPr>
                <w:sz w:val="1"/>
                <w:szCs w:val="1"/>
                <w:color w:val="auto"/>
              </w:rPr>
            </w:pPr>
          </w:p>
        </w:tc>
      </w:tr>
      <w:tr>
        <w:trPr>
          <w:trHeight w:val="175"/>
        </w:trPr>
        <w:tc>
          <w:tcPr>
            <w:tcW w:w="23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4500" w:type="dxa"/>
            <w:vAlign w:val="bottom"/>
            <w:gridSpan w:val="2"/>
          </w:tcPr>
          <w:p>
            <w:pPr>
              <w:ind w:left="1680"/>
              <w:spacing w:after="0"/>
              <w:rPr>
                <w:sz w:val="20"/>
                <w:szCs w:val="20"/>
                <w:color w:val="auto"/>
              </w:rPr>
            </w:pPr>
            <w:r>
              <w:rPr>
                <w:rFonts w:ascii="Courier New" w:cs="Courier New" w:eastAsia="Courier New" w:hAnsi="Courier New"/>
                <w:sz w:val="15"/>
                <w:szCs w:val="15"/>
                <w:color w:val="auto"/>
              </w:rPr>
              <w:t>for Past Five Years</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8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4500" w:type="dxa"/>
            <w:vAlign w:val="bottom"/>
            <w:gridSpan w:val="2"/>
          </w:tcPr>
          <w:p>
            <w:pPr>
              <w:ind w:left="18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2320" w:type="dxa"/>
            <w:vAlign w:val="bottom"/>
          </w:tcPr>
          <w:p>
            <w:pPr>
              <w:spacing w:after="0"/>
              <w:rPr>
                <w:sz w:val="20"/>
                <w:szCs w:val="20"/>
                <w:color w:val="auto"/>
              </w:rPr>
            </w:pPr>
            <w:r>
              <w:rPr>
                <w:rFonts w:ascii="Courier New" w:cs="Courier New" w:eastAsia="Courier New" w:hAnsi="Courier New"/>
                <w:sz w:val="15"/>
                <w:szCs w:val="15"/>
                <w:color w:val="auto"/>
              </w:rPr>
              <w:t>Charles Lugbill</w:t>
            </w:r>
          </w:p>
        </w:tc>
        <w:tc>
          <w:tcPr>
            <w:tcW w:w="1080" w:type="dxa"/>
            <w:vAlign w:val="bottom"/>
          </w:tcPr>
          <w:p>
            <w:pPr>
              <w:ind w:left="580"/>
              <w:spacing w:after="0"/>
              <w:rPr>
                <w:sz w:val="20"/>
                <w:szCs w:val="20"/>
                <w:color w:val="auto"/>
              </w:rPr>
            </w:pPr>
            <w:r>
              <w:rPr>
                <w:rFonts w:ascii="Courier New" w:cs="Courier New" w:eastAsia="Courier New" w:hAnsi="Courier New"/>
                <w:sz w:val="15"/>
                <w:szCs w:val="15"/>
                <w:color w:val="auto"/>
              </w:rPr>
              <w:t>71</w:t>
            </w:r>
          </w:p>
        </w:tc>
        <w:tc>
          <w:tcPr>
            <w:tcW w:w="450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Secretary/Treasurer Agri Trading</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50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Chairman of the Board of Farmers</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50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&amp; Merchants Bancorp, Inc. and,</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50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The Farmers &amp; Merchants State</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180" w:type="dxa"/>
            <w:vAlign w:val="bottom"/>
          </w:tcPr>
          <w:p>
            <w:pPr>
              <w:ind w:left="1040"/>
              <w:spacing w:after="0"/>
              <w:rPr>
                <w:sz w:val="20"/>
                <w:szCs w:val="20"/>
                <w:color w:val="auto"/>
              </w:rPr>
            </w:pPr>
            <w:r>
              <w:rPr>
                <w:rFonts w:ascii="Courier New" w:cs="Courier New" w:eastAsia="Courier New" w:hAnsi="Courier New"/>
                <w:sz w:val="15"/>
                <w:szCs w:val="15"/>
                <w:color w:val="auto"/>
              </w:rPr>
              <w:t>Bank</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Joe E. Crossgrove</w:t>
            </w:r>
          </w:p>
        </w:tc>
        <w:tc>
          <w:tcPr>
            <w:tcW w:w="1080" w:type="dxa"/>
            <w:vAlign w:val="bottom"/>
          </w:tcPr>
          <w:p>
            <w:pPr>
              <w:ind w:left="580"/>
              <w:spacing w:after="0"/>
              <w:rPr>
                <w:sz w:val="20"/>
                <w:szCs w:val="20"/>
                <w:color w:val="auto"/>
              </w:rPr>
            </w:pPr>
            <w:r>
              <w:rPr>
                <w:rFonts w:ascii="Courier New" w:cs="Courier New" w:eastAsia="Courier New" w:hAnsi="Courier New"/>
                <w:sz w:val="15"/>
                <w:szCs w:val="15"/>
                <w:color w:val="auto"/>
              </w:rPr>
              <w:t>62</w:t>
            </w:r>
          </w:p>
        </w:tc>
        <w:tc>
          <w:tcPr>
            <w:tcW w:w="450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President, Chief Executive Officer</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50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The Farmers &amp; Merchants State</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50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Bank (since 1991) Executive Vice</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50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President and Treasurer of Farmers</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50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&amp; Merchants Bancorp, Inc.</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80" w:type="dxa"/>
            <w:vAlign w:val="bottom"/>
          </w:tcPr>
          <w:p>
            <w:pPr>
              <w:ind w:left="1040"/>
              <w:spacing w:after="0"/>
              <w:rPr>
                <w:sz w:val="20"/>
                <w:szCs w:val="20"/>
                <w:color w:val="auto"/>
              </w:rPr>
            </w:pPr>
            <w:r>
              <w:rPr>
                <w:rFonts w:ascii="Courier New" w:cs="Courier New" w:eastAsia="Courier New" w:hAnsi="Courier New"/>
                <w:sz w:val="15"/>
                <w:szCs w:val="15"/>
                <w:color w:val="auto"/>
              </w:rPr>
              <w:t>Director and</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Farmers</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50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&amp; Merchants Life Insurance Co.</w:t>
            </w:r>
          </w:p>
        </w:tc>
        <w:tc>
          <w:tcPr>
            <w:tcW w:w="0" w:type="dxa"/>
            <w:vAlign w:val="bottom"/>
          </w:tcPr>
          <w:p>
            <w:pPr>
              <w:spacing w:after="0"/>
              <w:rPr>
                <w:sz w:val="1"/>
                <w:szCs w:val="1"/>
                <w:color w:val="auto"/>
              </w:rPr>
            </w:pP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Rex D. Rice</w:t>
            </w:r>
          </w:p>
        </w:tc>
        <w:tc>
          <w:tcPr>
            <w:tcW w:w="1080" w:type="dxa"/>
            <w:vAlign w:val="bottom"/>
          </w:tcPr>
          <w:p>
            <w:pPr>
              <w:ind w:left="580"/>
              <w:spacing w:after="0"/>
              <w:rPr>
                <w:sz w:val="20"/>
                <w:szCs w:val="20"/>
                <w:color w:val="auto"/>
              </w:rPr>
            </w:pPr>
            <w:r>
              <w:rPr>
                <w:rFonts w:ascii="Courier New" w:cs="Courier New" w:eastAsia="Courier New" w:hAnsi="Courier New"/>
                <w:sz w:val="15"/>
                <w:szCs w:val="15"/>
                <w:color w:val="auto"/>
              </w:rPr>
              <w:t>39</w:t>
            </w: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Vice President</w:t>
            </w: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50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Chief Lending Officer</w:t>
            </w:r>
          </w:p>
        </w:tc>
        <w:tc>
          <w:tcPr>
            <w:tcW w:w="0" w:type="dxa"/>
            <w:vAlign w:val="bottom"/>
          </w:tcPr>
          <w:p>
            <w:pPr>
              <w:spacing w:after="0"/>
              <w:rPr>
                <w:sz w:val="1"/>
                <w:szCs w:val="1"/>
                <w:color w:val="auto"/>
              </w:rPr>
            </w:pP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Edward Leininger</w:t>
            </w:r>
          </w:p>
        </w:tc>
        <w:tc>
          <w:tcPr>
            <w:tcW w:w="1080" w:type="dxa"/>
            <w:vAlign w:val="bottom"/>
          </w:tcPr>
          <w:p>
            <w:pPr>
              <w:ind w:left="580"/>
              <w:spacing w:after="0"/>
              <w:rPr>
                <w:sz w:val="20"/>
                <w:szCs w:val="20"/>
                <w:color w:val="auto"/>
              </w:rPr>
            </w:pPr>
            <w:r>
              <w:rPr>
                <w:rFonts w:ascii="Courier New" w:cs="Courier New" w:eastAsia="Courier New" w:hAnsi="Courier New"/>
                <w:sz w:val="15"/>
                <w:szCs w:val="15"/>
                <w:color w:val="auto"/>
              </w:rPr>
              <w:t>41</w:t>
            </w: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Vice President</w:t>
            </w: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50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Commercial Loan Officer</w:t>
            </w:r>
          </w:p>
        </w:tc>
        <w:tc>
          <w:tcPr>
            <w:tcW w:w="0" w:type="dxa"/>
            <w:vAlign w:val="bottom"/>
          </w:tcPr>
          <w:p>
            <w:pPr>
              <w:spacing w:after="0"/>
              <w:rPr>
                <w:sz w:val="1"/>
                <w:szCs w:val="1"/>
                <w:color w:val="auto"/>
              </w:rPr>
            </w:pP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Allen G. Lantz</w:t>
            </w:r>
          </w:p>
        </w:tc>
        <w:tc>
          <w:tcPr>
            <w:tcW w:w="1080" w:type="dxa"/>
            <w:vAlign w:val="bottom"/>
          </w:tcPr>
          <w:p>
            <w:pPr>
              <w:ind w:left="580"/>
              <w:spacing w:after="0"/>
              <w:rPr>
                <w:sz w:val="20"/>
                <w:szCs w:val="20"/>
                <w:color w:val="auto"/>
              </w:rPr>
            </w:pPr>
            <w:r>
              <w:rPr>
                <w:rFonts w:ascii="Courier New" w:cs="Courier New" w:eastAsia="Courier New" w:hAnsi="Courier New"/>
                <w:sz w:val="15"/>
                <w:szCs w:val="15"/>
                <w:color w:val="auto"/>
              </w:rPr>
              <w:t>45</w:t>
            </w: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Vice President</w:t>
            </w: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Branch Manager</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Lewis Hilkert</w:t>
            </w:r>
          </w:p>
        </w:tc>
        <w:tc>
          <w:tcPr>
            <w:tcW w:w="1080" w:type="dxa"/>
            <w:vAlign w:val="bottom"/>
          </w:tcPr>
          <w:p>
            <w:pPr>
              <w:ind w:left="580"/>
              <w:spacing w:after="0"/>
              <w:rPr>
                <w:sz w:val="20"/>
                <w:szCs w:val="20"/>
                <w:color w:val="auto"/>
              </w:rPr>
            </w:pPr>
            <w:r>
              <w:rPr>
                <w:rFonts w:ascii="Courier New" w:cs="Courier New" w:eastAsia="Courier New" w:hAnsi="Courier New"/>
                <w:sz w:val="15"/>
                <w:szCs w:val="15"/>
                <w:color w:val="auto"/>
              </w:rPr>
              <w:t>48</w:t>
            </w: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Vice President</w:t>
            </w: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Branch Manager</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Carol England</w:t>
            </w:r>
          </w:p>
        </w:tc>
        <w:tc>
          <w:tcPr>
            <w:tcW w:w="1080" w:type="dxa"/>
            <w:vAlign w:val="bottom"/>
          </w:tcPr>
          <w:p>
            <w:pPr>
              <w:ind w:left="580"/>
              <w:spacing w:after="0"/>
              <w:rPr>
                <w:sz w:val="20"/>
                <w:szCs w:val="20"/>
                <w:color w:val="auto"/>
              </w:rPr>
            </w:pPr>
            <w:r>
              <w:rPr>
                <w:rFonts w:ascii="Courier New" w:cs="Courier New" w:eastAsia="Courier New" w:hAnsi="Courier New"/>
                <w:sz w:val="15"/>
                <w:szCs w:val="15"/>
                <w:color w:val="auto"/>
              </w:rPr>
              <w:t>58</w:t>
            </w: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Assistant Vice</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50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Corporate Secretary</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Branch Manager</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Ronald D. Short</w:t>
            </w:r>
          </w:p>
        </w:tc>
        <w:tc>
          <w:tcPr>
            <w:tcW w:w="1080" w:type="dxa"/>
            <w:vAlign w:val="bottom"/>
          </w:tcPr>
          <w:p>
            <w:pPr>
              <w:ind w:left="580"/>
              <w:spacing w:after="0"/>
              <w:rPr>
                <w:sz w:val="20"/>
                <w:szCs w:val="20"/>
                <w:color w:val="auto"/>
              </w:rPr>
            </w:pPr>
            <w:r>
              <w:rPr>
                <w:rFonts w:ascii="Courier New" w:cs="Courier New" w:eastAsia="Courier New" w:hAnsi="Courier New"/>
                <w:sz w:val="15"/>
                <w:szCs w:val="15"/>
                <w:color w:val="auto"/>
              </w:rPr>
              <w:t>46</w:t>
            </w: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Assistant Vice</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Branch Manager</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Cynthia Knauer</w:t>
            </w:r>
          </w:p>
        </w:tc>
        <w:tc>
          <w:tcPr>
            <w:tcW w:w="1080" w:type="dxa"/>
            <w:vAlign w:val="bottom"/>
          </w:tcPr>
          <w:p>
            <w:pPr>
              <w:ind w:left="580"/>
              <w:spacing w:after="0"/>
              <w:rPr>
                <w:sz w:val="20"/>
                <w:szCs w:val="20"/>
                <w:color w:val="auto"/>
              </w:rPr>
            </w:pPr>
            <w:r>
              <w:rPr>
                <w:rFonts w:ascii="Courier New" w:cs="Courier New" w:eastAsia="Courier New" w:hAnsi="Courier New"/>
                <w:sz w:val="15"/>
                <w:szCs w:val="15"/>
                <w:color w:val="auto"/>
              </w:rPr>
              <w:t>52</w:t>
            </w: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Assistant Vice</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Branch Manager</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Dave Frazier</w:t>
            </w:r>
          </w:p>
        </w:tc>
        <w:tc>
          <w:tcPr>
            <w:tcW w:w="1080" w:type="dxa"/>
            <w:vAlign w:val="bottom"/>
          </w:tcPr>
          <w:p>
            <w:pPr>
              <w:ind w:left="580"/>
              <w:spacing w:after="0"/>
              <w:rPr>
                <w:sz w:val="20"/>
                <w:szCs w:val="20"/>
                <w:color w:val="auto"/>
              </w:rPr>
            </w:pPr>
            <w:r>
              <w:rPr>
                <w:rFonts w:ascii="Courier New" w:cs="Courier New" w:eastAsia="Courier New" w:hAnsi="Courier New"/>
                <w:sz w:val="15"/>
                <w:szCs w:val="15"/>
                <w:color w:val="auto"/>
              </w:rPr>
              <w:t>40</w:t>
            </w: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Assistant Vice</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Branch Manager</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John Fee</w:t>
            </w:r>
          </w:p>
        </w:tc>
        <w:tc>
          <w:tcPr>
            <w:tcW w:w="1080" w:type="dxa"/>
            <w:vAlign w:val="bottom"/>
          </w:tcPr>
          <w:p>
            <w:pPr>
              <w:ind w:left="580"/>
              <w:spacing w:after="0"/>
              <w:rPr>
                <w:sz w:val="20"/>
                <w:szCs w:val="20"/>
                <w:color w:val="auto"/>
              </w:rPr>
            </w:pPr>
            <w:r>
              <w:rPr>
                <w:rFonts w:ascii="Courier New" w:cs="Courier New" w:eastAsia="Courier New" w:hAnsi="Courier New"/>
                <w:sz w:val="15"/>
                <w:szCs w:val="15"/>
                <w:color w:val="auto"/>
              </w:rPr>
              <w:t>38</w:t>
            </w: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Assistant Vice</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Branch Manager</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Steve Jackson</w:t>
            </w:r>
          </w:p>
        </w:tc>
        <w:tc>
          <w:tcPr>
            <w:tcW w:w="1080" w:type="dxa"/>
            <w:vAlign w:val="bottom"/>
          </w:tcPr>
          <w:p>
            <w:pPr>
              <w:ind w:left="580"/>
              <w:spacing w:after="0"/>
              <w:rPr>
                <w:sz w:val="20"/>
                <w:szCs w:val="20"/>
                <w:color w:val="auto"/>
              </w:rPr>
            </w:pPr>
            <w:r>
              <w:rPr>
                <w:rFonts w:ascii="Courier New" w:cs="Courier New" w:eastAsia="Courier New" w:hAnsi="Courier New"/>
                <w:sz w:val="15"/>
                <w:szCs w:val="15"/>
                <w:color w:val="auto"/>
              </w:rPr>
              <w:t>44</w:t>
            </w: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Assistant Vice</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Branch Manager</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Deborah Stoner</w:t>
            </w:r>
          </w:p>
        </w:tc>
        <w:tc>
          <w:tcPr>
            <w:tcW w:w="1080" w:type="dxa"/>
            <w:vAlign w:val="bottom"/>
          </w:tcPr>
          <w:p>
            <w:pPr>
              <w:ind w:left="580"/>
              <w:spacing w:after="0"/>
              <w:rPr>
                <w:sz w:val="20"/>
                <w:szCs w:val="20"/>
                <w:color w:val="auto"/>
              </w:rPr>
            </w:pPr>
            <w:r>
              <w:rPr>
                <w:rFonts w:ascii="Courier New" w:cs="Courier New" w:eastAsia="Courier New" w:hAnsi="Courier New"/>
                <w:sz w:val="15"/>
                <w:szCs w:val="15"/>
                <w:color w:val="auto"/>
              </w:rPr>
              <w:t>42</w:t>
            </w: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Assistant Vice</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180" w:type="dxa"/>
            <w:vAlign w:val="bottom"/>
          </w:tcPr>
          <w:p>
            <w:pPr>
              <w:ind w:left="860"/>
              <w:spacing w:after="0"/>
              <w:rPr>
                <w:sz w:val="20"/>
                <w:szCs w:val="20"/>
                <w:color w:val="auto"/>
              </w:rPr>
            </w:pPr>
            <w:r>
              <w:rPr>
                <w:rFonts w:ascii="Courier New" w:cs="Courier New" w:eastAsia="Courier New" w:hAnsi="Courier New"/>
                <w:sz w:val="15"/>
                <w:szCs w:val="15"/>
                <w:color w:val="auto"/>
              </w:rPr>
              <w:t>Branch Manager</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9"/>
        </w:trPr>
        <w:tc>
          <w:tcPr>
            <w:tcW w:w="2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-26-</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20" w:type="dxa"/>
            <w:vAlign w:val="bottom"/>
          </w:tcPr>
          <w:p>
            <w:pPr>
              <w:spacing w:after="0"/>
              <w:rPr>
                <w:sz w:val="20"/>
                <w:szCs w:val="20"/>
                <w:color w:val="auto"/>
              </w:rPr>
            </w:pPr>
            <w:r>
              <w:rPr>
                <w:rFonts w:ascii="Courier New" w:cs="Courier New" w:eastAsia="Courier New" w:hAnsi="Courier New"/>
                <w:sz w:val="15"/>
                <w:szCs w:val="15"/>
                <w:color w:val="auto"/>
              </w:rPr>
              <w:t>Randal H. Schroeder</w:t>
            </w: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38</w:t>
            </w: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Vice President</w:t>
            </w:r>
          </w:p>
        </w:tc>
      </w:tr>
      <w:tr>
        <w:trPr>
          <w:trHeight w:val="256"/>
        </w:trPr>
        <w:tc>
          <w:tcPr>
            <w:tcW w:w="2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Chief Operations Officer</w:t>
            </w: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George Jelen</w:t>
            </w: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47</w:t>
            </w: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Vice President</w:t>
            </w:r>
          </w:p>
        </w:tc>
      </w:tr>
      <w:tr>
        <w:trPr>
          <w:trHeight w:val="256"/>
        </w:trPr>
        <w:tc>
          <w:tcPr>
            <w:tcW w:w="2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Mortgage Loan Officer</w:t>
            </w: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Barbara Britenriker</w:t>
            </w: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37</w:t>
            </w: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Vice President</w:t>
            </w:r>
          </w:p>
        </w:tc>
      </w:tr>
      <w:tr>
        <w:trPr>
          <w:trHeight w:val="175"/>
        </w:trPr>
        <w:tc>
          <w:tcPr>
            <w:tcW w:w="2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Chief Financial Officer</w:t>
            </w:r>
          </w:p>
        </w:tc>
      </w:tr>
      <w:tr>
        <w:trPr>
          <w:trHeight w:val="256"/>
        </w:trPr>
        <w:tc>
          <w:tcPr>
            <w:tcW w:w="2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Comptroller</w:t>
            </w: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Michael D. Culler</w:t>
            </w: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40</w:t>
            </w: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Vice President</w:t>
            </w:r>
          </w:p>
        </w:tc>
      </w:tr>
      <w:tr>
        <w:trPr>
          <w:trHeight w:val="256"/>
        </w:trPr>
        <w:tc>
          <w:tcPr>
            <w:tcW w:w="2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Chief Agricultural Finance Officer</w:t>
            </w: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Diann K. Meyer</w:t>
            </w: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38</w:t>
            </w: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Vice President</w:t>
            </w:r>
          </w:p>
        </w:tc>
      </w:tr>
      <w:tr>
        <w:trPr>
          <w:trHeight w:val="256"/>
        </w:trPr>
        <w:tc>
          <w:tcPr>
            <w:tcW w:w="2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Personnel Manager</w:t>
            </w: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Gloria Gunn</w:t>
            </w: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41</w:t>
            </w: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Vice President</w:t>
            </w:r>
          </w:p>
        </w:tc>
      </w:tr>
      <w:tr>
        <w:trPr>
          <w:trHeight w:val="256"/>
        </w:trPr>
        <w:tc>
          <w:tcPr>
            <w:tcW w:w="2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Branch Manager</w:t>
            </w: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Richard Bruce</w:t>
            </w: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51</w:t>
            </w: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Vice President</w:t>
            </w:r>
          </w:p>
        </w:tc>
      </w:tr>
      <w:tr>
        <w:trPr>
          <w:trHeight w:val="256"/>
        </w:trPr>
        <w:tc>
          <w:tcPr>
            <w:tcW w:w="2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Commercial Loan Officer</w:t>
            </w: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Kent Roth</w:t>
            </w: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34</w:t>
            </w: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Auditor</w:t>
            </w:r>
          </w:p>
        </w:tc>
      </w:tr>
      <w:tr>
        <w:trPr>
          <w:trHeight w:val="175"/>
        </w:trPr>
        <w:tc>
          <w:tcPr>
            <w:tcW w:w="2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Bank Security Officer</w:t>
            </w:r>
          </w:p>
        </w:tc>
      </w:tr>
      <w:tr>
        <w:trPr>
          <w:trHeight w:val="256"/>
        </w:trPr>
        <w:tc>
          <w:tcPr>
            <w:tcW w:w="2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Bank Secrecy Officer</w:t>
            </w:r>
          </w:p>
        </w:tc>
      </w:tr>
      <w:tr>
        <w:trPr>
          <w:trHeight w:val="350"/>
        </w:trPr>
        <w:tc>
          <w:tcPr>
            <w:tcW w:w="2320" w:type="dxa"/>
            <w:vAlign w:val="bottom"/>
          </w:tcPr>
          <w:p>
            <w:pPr>
              <w:spacing w:after="0"/>
              <w:rPr>
                <w:sz w:val="20"/>
                <w:szCs w:val="20"/>
                <w:color w:val="auto"/>
              </w:rPr>
            </w:pPr>
            <w:r>
              <w:rPr>
                <w:rFonts w:ascii="Courier New" w:cs="Courier New" w:eastAsia="Courier New" w:hAnsi="Courier New"/>
                <w:sz w:val="15"/>
                <w:szCs w:val="15"/>
                <w:color w:val="auto"/>
              </w:rPr>
              <w:t>Marilyn Johnson</w:t>
            </w: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42</w:t>
            </w: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Compliance Officer</w:t>
            </w: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Jean Horwath</w:t>
            </w: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47</w:t>
            </w: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Cashier</w:t>
            </w:r>
          </w:p>
        </w:tc>
      </w:tr>
      <w:tr>
        <w:trPr>
          <w:trHeight w:val="256"/>
        </w:trPr>
        <w:tc>
          <w:tcPr>
            <w:tcW w:w="2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Branch Manager</w:t>
            </w: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Diane Swisher</w:t>
            </w: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41</w:t>
            </w: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Cashier</w:t>
            </w:r>
          </w:p>
        </w:tc>
      </w:tr>
      <w:tr>
        <w:trPr>
          <w:trHeight w:val="256"/>
        </w:trPr>
        <w:tc>
          <w:tcPr>
            <w:tcW w:w="2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Branch Manager</w:t>
            </w: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Patti Rosebrock</w:t>
            </w: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41</w:t>
            </w: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Cashier</w:t>
            </w:r>
          </w:p>
        </w:tc>
      </w:tr>
      <w:tr>
        <w:trPr>
          <w:trHeight w:val="256"/>
        </w:trPr>
        <w:tc>
          <w:tcPr>
            <w:tcW w:w="2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Branch Manager</w:t>
            </w: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Michael T. Smith</w:t>
            </w: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32</w:t>
            </w: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Cashier</w:t>
            </w:r>
          </w:p>
        </w:tc>
      </w:tr>
      <w:tr>
        <w:trPr>
          <w:trHeight w:val="256"/>
        </w:trPr>
        <w:tc>
          <w:tcPr>
            <w:tcW w:w="2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Branch Manager</w:t>
            </w: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Debra Kauffman</w:t>
            </w: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38</w:t>
            </w: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Cashier</w:t>
            </w:r>
          </w:p>
        </w:tc>
      </w:tr>
      <w:tr>
        <w:trPr>
          <w:trHeight w:val="175"/>
        </w:trPr>
        <w:tc>
          <w:tcPr>
            <w:tcW w:w="2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Corporate Secretary</w:t>
            </w:r>
          </w:p>
        </w:tc>
      </w:tr>
      <w:tr>
        <w:trPr>
          <w:trHeight w:val="256"/>
        </w:trPr>
        <w:tc>
          <w:tcPr>
            <w:tcW w:w="2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Consumer Loan Officer</w:t>
            </w: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J. Scott Miller</w:t>
            </w: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42</w:t>
            </w: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Cashier</w:t>
            </w:r>
          </w:p>
        </w:tc>
      </w:tr>
      <w:tr>
        <w:trPr>
          <w:trHeight w:val="256"/>
        </w:trPr>
        <w:tc>
          <w:tcPr>
            <w:tcW w:w="2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Agri-Finance Officer</w:t>
            </w: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Judy Warncke</w:t>
            </w: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50</w:t>
            </w: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Cashier</w:t>
            </w:r>
          </w:p>
        </w:tc>
      </w:tr>
      <w:tr>
        <w:trPr>
          <w:trHeight w:val="256"/>
        </w:trPr>
        <w:tc>
          <w:tcPr>
            <w:tcW w:w="2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Marketing Officer</w:t>
            </w: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Diana Dennie</w:t>
            </w: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36</w:t>
            </w: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Assistant Cashier</w:t>
            </w:r>
          </w:p>
        </w:tc>
      </w:tr>
      <w:tr>
        <w:trPr>
          <w:trHeight w:val="256"/>
        </w:trPr>
        <w:tc>
          <w:tcPr>
            <w:tcW w:w="2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80" w:type="dxa"/>
            <w:vAlign w:val="bottom"/>
          </w:tcPr>
          <w:p>
            <w:pPr>
              <w:ind w:left="580"/>
              <w:spacing w:after="0"/>
              <w:rPr>
                <w:sz w:val="20"/>
                <w:szCs w:val="20"/>
                <w:color w:val="auto"/>
              </w:rPr>
            </w:pPr>
            <w:r>
              <w:rPr>
                <w:rFonts w:ascii="Courier New" w:cs="Courier New" w:eastAsia="Courier New" w:hAnsi="Courier New"/>
                <w:sz w:val="15"/>
                <w:szCs w:val="15"/>
                <w:color w:val="auto"/>
              </w:rPr>
              <w:t>Branch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65" w:right="14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56"/>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73</w:t>
            </w:r>
          </w:p>
        </w:tc>
        <w:tc>
          <w:tcPr>
            <w:tcW w:w="146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618"/>
        </w:trPr>
        <w:tc>
          <w:tcPr>
            <w:tcW w:w="2220" w:type="dxa"/>
            <w:vAlign w:val="bottom"/>
          </w:tcPr>
          <w:p>
            <w:pPr>
              <w:spacing w:after="0"/>
              <w:rPr>
                <w:sz w:val="20"/>
                <w:szCs w:val="20"/>
                <w:color w:val="auto"/>
              </w:rPr>
            </w:pPr>
            <w:r>
              <w:rPr>
                <w:rFonts w:ascii="Courier New" w:cs="Courier New" w:eastAsia="Courier New" w:hAnsi="Courier New"/>
                <w:sz w:val="15"/>
                <w:szCs w:val="15"/>
                <w:color w:val="auto"/>
              </w:rPr>
              <w:t>Jerry Borton</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49</w:t>
            </w: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Assistant Cashier</w:t>
            </w:r>
          </w:p>
        </w:tc>
      </w:tr>
      <w:tr>
        <w:trPr>
          <w:trHeight w:val="256"/>
        </w:trPr>
        <w:tc>
          <w:tcPr>
            <w:tcW w:w="2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Loan Officer</w:t>
            </w:r>
          </w:p>
        </w:tc>
      </w:tr>
      <w:tr>
        <w:trPr>
          <w:trHeight w:val="268"/>
        </w:trPr>
        <w:tc>
          <w:tcPr>
            <w:tcW w:w="2220" w:type="dxa"/>
            <w:vAlign w:val="bottom"/>
          </w:tcPr>
          <w:p>
            <w:pPr>
              <w:spacing w:after="0"/>
              <w:rPr>
                <w:sz w:val="20"/>
                <w:szCs w:val="20"/>
                <w:color w:val="auto"/>
              </w:rPr>
            </w:pPr>
            <w:r>
              <w:rPr>
                <w:rFonts w:ascii="Courier New" w:cs="Courier New" w:eastAsia="Courier New" w:hAnsi="Courier New"/>
                <w:sz w:val="15"/>
                <w:szCs w:val="15"/>
                <w:color w:val="auto"/>
              </w:rPr>
              <w:t>Joyce G. Kinsman</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29</w:t>
            </w: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Assistant Cashier</w:t>
            </w:r>
          </w:p>
        </w:tc>
      </w:tr>
      <w:tr>
        <w:trPr>
          <w:trHeight w:val="256"/>
        </w:trPr>
        <w:tc>
          <w:tcPr>
            <w:tcW w:w="2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Loan Review Officer</w:t>
            </w:r>
          </w:p>
        </w:tc>
      </w:tr>
      <w:tr>
        <w:trPr>
          <w:trHeight w:val="268"/>
        </w:trPr>
        <w:tc>
          <w:tcPr>
            <w:tcW w:w="2220" w:type="dxa"/>
            <w:vAlign w:val="bottom"/>
          </w:tcPr>
          <w:p>
            <w:pPr>
              <w:spacing w:after="0"/>
              <w:rPr>
                <w:sz w:val="20"/>
                <w:szCs w:val="20"/>
                <w:color w:val="auto"/>
              </w:rPr>
            </w:pPr>
            <w:r>
              <w:rPr>
                <w:rFonts w:ascii="Courier New" w:cs="Courier New" w:eastAsia="Courier New" w:hAnsi="Courier New"/>
                <w:sz w:val="15"/>
                <w:szCs w:val="15"/>
                <w:color w:val="auto"/>
              </w:rPr>
              <w:t>Richard D. Ernest</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34</w:t>
            </w: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Assistant Cashier</w:t>
            </w:r>
          </w:p>
        </w:tc>
      </w:tr>
      <w:tr>
        <w:trPr>
          <w:trHeight w:val="256"/>
        </w:trPr>
        <w:tc>
          <w:tcPr>
            <w:tcW w:w="2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Asset Recovery Officer</w:t>
            </w:r>
          </w:p>
        </w:tc>
      </w:tr>
      <w:tr>
        <w:trPr>
          <w:trHeight w:val="268"/>
        </w:trPr>
        <w:tc>
          <w:tcPr>
            <w:tcW w:w="2220" w:type="dxa"/>
            <w:vAlign w:val="bottom"/>
          </w:tcPr>
          <w:p>
            <w:pPr>
              <w:spacing w:after="0"/>
              <w:rPr>
                <w:sz w:val="20"/>
                <w:szCs w:val="20"/>
                <w:color w:val="auto"/>
              </w:rPr>
            </w:pPr>
            <w:r>
              <w:rPr>
                <w:rFonts w:ascii="Courier New" w:cs="Courier New" w:eastAsia="Courier New" w:hAnsi="Courier New"/>
                <w:sz w:val="15"/>
                <w:szCs w:val="15"/>
                <w:color w:val="auto"/>
              </w:rPr>
              <w:t>Jane Bruner</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38</w:t>
            </w: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Assistant Cashier</w:t>
            </w:r>
          </w:p>
        </w:tc>
      </w:tr>
      <w:tr>
        <w:trPr>
          <w:trHeight w:val="256"/>
        </w:trPr>
        <w:tc>
          <w:tcPr>
            <w:tcW w:w="2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Operations Supervisor</w:t>
            </w:r>
          </w:p>
        </w:tc>
      </w:tr>
      <w:tr>
        <w:trPr>
          <w:trHeight w:val="268"/>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Barry Gray</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38</w:t>
            </w: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Assistant Cashier</w:t>
            </w:r>
          </w:p>
        </w:tc>
      </w:tr>
      <w:tr>
        <w:trPr>
          <w:trHeight w:val="256"/>
        </w:trPr>
        <w:tc>
          <w:tcPr>
            <w:tcW w:w="2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w w:val="99"/>
              </w:rPr>
              <w:t>Assistant Branch Manager</w:t>
            </w:r>
          </w:p>
        </w:tc>
      </w:tr>
      <w:tr>
        <w:trPr>
          <w:trHeight w:val="268"/>
        </w:trPr>
        <w:tc>
          <w:tcPr>
            <w:tcW w:w="2220" w:type="dxa"/>
            <w:vAlign w:val="bottom"/>
          </w:tcPr>
          <w:p>
            <w:pPr>
              <w:spacing w:after="0"/>
              <w:rPr>
                <w:sz w:val="20"/>
                <w:szCs w:val="20"/>
                <w:color w:val="auto"/>
              </w:rPr>
            </w:pPr>
            <w:r>
              <w:rPr>
                <w:rFonts w:ascii="Courier New" w:cs="Courier New" w:eastAsia="Courier New" w:hAnsi="Courier New"/>
                <w:sz w:val="15"/>
                <w:szCs w:val="15"/>
                <w:color w:val="auto"/>
              </w:rPr>
              <w:t>Kevin Gray</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26</w:t>
            </w: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Assistant Cashier</w:t>
            </w:r>
          </w:p>
        </w:tc>
      </w:tr>
      <w:tr>
        <w:trPr>
          <w:trHeight w:val="256"/>
        </w:trPr>
        <w:tc>
          <w:tcPr>
            <w:tcW w:w="2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w w:val="99"/>
              </w:rPr>
              <w:t>Assistant Branch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65"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74</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MANAGEMENT REMUNERATION AND TRANSACTIONS</w:t>
      </w:r>
    </w:p>
    <w:p>
      <w:pPr>
        <w:spacing w:after="0" w:line="180" w:lineRule="exact"/>
        <w:rPr>
          <w:sz w:val="20"/>
          <w:szCs w:val="20"/>
          <w:color w:val="auto"/>
        </w:rPr>
      </w:pPr>
    </w:p>
    <w:p>
      <w:pPr>
        <w:ind w:right="2959" w:firstLine="818"/>
        <w:spacing w:after="0" w:line="287" w:lineRule="auto"/>
        <w:rPr>
          <w:sz w:val="20"/>
          <w:szCs w:val="20"/>
          <w:color w:val="auto"/>
        </w:rPr>
      </w:pPr>
      <w:r>
        <w:rPr>
          <w:rFonts w:ascii="Courier New" w:cs="Courier New" w:eastAsia="Courier New" w:hAnsi="Courier New"/>
          <w:sz w:val="15"/>
          <w:szCs w:val="15"/>
          <w:color w:val="auto"/>
        </w:rPr>
        <w:t>The information called for herein is presented in the proxy statement to be furnished in connection with the solicitation of proxies on behalf of the Board of Directors of the Registrant for use at its Annual Meeting to be held on April 10, 1999 is incorporated herein by reference.</w:t>
      </w:r>
    </w:p>
    <w:p>
      <w:pPr>
        <w:spacing w:after="0" w:line="61" w:lineRule="exact"/>
        <w:rPr>
          <w:sz w:val="20"/>
          <w:szCs w:val="20"/>
          <w:color w:val="auto"/>
        </w:rPr>
      </w:pPr>
    </w:p>
    <w:p>
      <w:pPr>
        <w:ind w:right="3319" w:firstLine="818"/>
        <w:spacing w:after="0" w:line="307" w:lineRule="auto"/>
        <w:rPr>
          <w:sz w:val="20"/>
          <w:szCs w:val="20"/>
          <w:color w:val="auto"/>
        </w:rPr>
      </w:pPr>
      <w:r>
        <w:rPr>
          <w:rFonts w:ascii="Courier New" w:cs="Courier New" w:eastAsia="Courier New" w:hAnsi="Courier New"/>
          <w:sz w:val="15"/>
          <w:szCs w:val="15"/>
          <w:color w:val="auto"/>
        </w:rPr>
        <w:t>The directors of Farmers &amp; Merchants Bancorp, Inc. are also the directors of The Farmers &amp; Merchants State Bank and Farmers &amp; Merchants Life Insurance Co.</w:t>
      </w:r>
    </w:p>
    <w:p>
      <w:pPr>
        <w:spacing w:after="0" w:line="47"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The Board of Directors met twenty-six times during the 1998 calendar year. All current directors of the Corporation attended at least seventy-five percent of the meetings of the Board. Average attendance at Board meetings held during the year was ninety percent.</w:t>
      </w:r>
    </w:p>
    <w:p>
      <w:pPr>
        <w:spacing w:after="0" w:line="61" w:lineRule="exact"/>
        <w:rPr>
          <w:sz w:val="20"/>
          <w:szCs w:val="20"/>
          <w:color w:val="auto"/>
        </w:rPr>
      </w:pPr>
    </w:p>
    <w:p>
      <w:pPr>
        <w:ind w:right="3219" w:firstLine="818"/>
        <w:spacing w:after="0" w:line="368" w:lineRule="auto"/>
        <w:rPr>
          <w:sz w:val="20"/>
          <w:szCs w:val="20"/>
          <w:color w:val="auto"/>
        </w:rPr>
      </w:pPr>
      <w:r>
        <w:rPr>
          <w:rFonts w:ascii="Courier New" w:cs="Courier New" w:eastAsia="Courier New" w:hAnsi="Courier New"/>
          <w:sz w:val="15"/>
          <w:szCs w:val="15"/>
          <w:color w:val="auto"/>
        </w:rPr>
        <w:t>Directors received, as directors' fees, $300 for each board meeting, plus a bonus of $600 for 1998.</w:t>
      </w:r>
    </w:p>
    <w:p>
      <w:pPr>
        <w:spacing w:after="0" w:line="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Subsidiary Bank Board of Directors met semi-monthly during 1998.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80"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The information called for herein is presented in the proxy statement to be furnished in connection with the solicitation of proxies on behalf of the Board of Directors of the Registrant for use at its Annual Meeting to be held Saturday, April 10, 1999, is incorporated herein by reference.</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MANAGEMENT AND OTHER</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There are no transactions to report.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BUSINESS RELATIONSHIPS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 family relationships exist between any executive officers of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 TO RELATED PARTIES</w:t>
      </w:r>
    </w:p>
    <w:p>
      <w:pPr>
        <w:spacing w:after="0" w:line="180" w:lineRule="exact"/>
        <w:rPr>
          <w:sz w:val="20"/>
          <w:szCs w:val="20"/>
          <w:color w:val="auto"/>
        </w:rPr>
      </w:pPr>
    </w:p>
    <w:p>
      <w:pPr>
        <w:ind w:right="3139" w:firstLine="818"/>
        <w:spacing w:after="0" w:line="368" w:lineRule="auto"/>
        <w:rPr>
          <w:sz w:val="20"/>
          <w:szCs w:val="20"/>
          <w:color w:val="auto"/>
        </w:rPr>
      </w:pPr>
      <w:r>
        <w:rPr>
          <w:rFonts w:ascii="Courier New" w:cs="Courier New" w:eastAsia="Courier New" w:hAnsi="Courier New"/>
          <w:sz w:val="15"/>
          <w:szCs w:val="15"/>
          <w:color w:val="auto"/>
        </w:rPr>
        <w:t>This information is presented on page 18, Note 4 of the Annual Report to shareholders, and is incorporated herein by reference.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BUSINESS RELATIONSHIPS</w:t>
      </w:r>
    </w:p>
    <w:p>
      <w:pPr>
        <w:spacing w:after="0" w:line="180" w:lineRule="exact"/>
        <w:rPr>
          <w:sz w:val="20"/>
          <w:szCs w:val="20"/>
          <w:color w:val="auto"/>
        </w:rPr>
      </w:pPr>
    </w:p>
    <w:p>
      <w:pPr>
        <w:ind w:right="2959" w:firstLine="818"/>
        <w:spacing w:after="0" w:line="277" w:lineRule="auto"/>
        <w:rPr>
          <w:sz w:val="20"/>
          <w:szCs w:val="20"/>
          <w:color w:val="auto"/>
        </w:rPr>
      </w:pPr>
      <w:r>
        <w:rPr>
          <w:rFonts w:ascii="Courier New" w:cs="Courier New" w:eastAsia="Courier New" w:hAnsi="Courier New"/>
          <w:sz w:val="15"/>
          <w:szCs w:val="15"/>
          <w:color w:val="auto"/>
        </w:rPr>
        <w:t>The company retained the law firm of Plassman, Rupp, Hensal and Short in 1988. One of the principals, Harold Plassman, is a member of the Board of Directors. During 1998 the company paid fees to Plassman, Rupp, Hensal and Short for routine legal services. It is the company's intention to retain the law firm in 1999.</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65"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75</w:t>
      </w:r>
    </w:p>
    <w:p>
      <w:pPr>
        <w:spacing w:after="0" w:line="200" w:lineRule="exact"/>
        <w:rPr>
          <w:sz w:val="20"/>
          <w:szCs w:val="20"/>
          <w:color w:val="auto"/>
        </w:r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PART IV</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SCHEDULES AND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The following documents are filed as part of this report:</w:t>
      </w:r>
    </w:p>
    <w:p>
      <w:pPr>
        <w:spacing w:after="0" w:line="180"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Annual Report</w:t>
      </w:r>
    </w:p>
    <w:p>
      <w:pPr>
        <w:spacing w:after="0" w:line="33" w:lineRule="exact"/>
        <w:rPr>
          <w:sz w:val="20"/>
          <w:szCs w:val="20"/>
          <w:color w:val="auto"/>
        </w:rPr>
      </w:pPr>
    </w:p>
    <w:p>
      <w:pPr>
        <w:ind w:left="862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2440" w:hanging="811"/>
        <w:spacing w:after="0"/>
        <w:tabs>
          <w:tab w:leader="none" w:pos="2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10" w:lineRule="exact"/>
        <w:rPr>
          <w:sz w:val="20"/>
          <w:szCs w:val="20"/>
          <w:color w:val="auto"/>
        </w:rPr>
      </w:pPr>
    </w:p>
    <w:tbl>
      <w:tblPr>
        <w:tblLayout w:type="fixed"/>
        <w:tblInd w:w="162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Report of Independent Accountants</w:t>
            </w:r>
          </w:p>
        </w:tc>
        <w:tc>
          <w:tcPr>
            <w:tcW w:w="2460" w:type="dxa"/>
            <w:vAlign w:val="bottom"/>
          </w:tcPr>
          <w:p>
            <w:pPr>
              <w:ind w:left="1260"/>
              <w:spacing w:after="0"/>
              <w:rPr>
                <w:sz w:val="20"/>
                <w:szCs w:val="20"/>
                <w:color w:val="auto"/>
              </w:rPr>
            </w:pPr>
            <w:r>
              <w:rPr>
                <w:rFonts w:ascii="Courier New" w:cs="Courier New" w:eastAsia="Courier New" w:hAnsi="Courier New"/>
                <w:sz w:val="15"/>
                <w:szCs w:val="15"/>
                <w:color w:val="auto"/>
              </w:rPr>
              <w:t>Page 6</w:t>
            </w: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Consolidated Balance Sheets</w:t>
            </w:r>
          </w:p>
        </w:tc>
        <w:tc>
          <w:tcPr>
            <w:tcW w:w="2460" w:type="dxa"/>
            <w:vAlign w:val="bottom"/>
          </w:tcPr>
          <w:p>
            <w:pPr>
              <w:ind w:left="1260"/>
              <w:spacing w:after="0"/>
              <w:rPr>
                <w:sz w:val="20"/>
                <w:szCs w:val="20"/>
                <w:color w:val="auto"/>
              </w:rPr>
            </w:pPr>
            <w:r>
              <w:rPr>
                <w:rFonts w:ascii="Courier New" w:cs="Courier New" w:eastAsia="Courier New" w:hAnsi="Courier New"/>
                <w:sz w:val="15"/>
                <w:szCs w:val="15"/>
                <w:color w:val="auto"/>
              </w:rPr>
              <w:t>Page 7</w:t>
            </w: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Consolidated Statements of Income</w:t>
            </w:r>
          </w:p>
        </w:tc>
        <w:tc>
          <w:tcPr>
            <w:tcW w:w="2460" w:type="dxa"/>
            <w:vAlign w:val="bottom"/>
          </w:tcPr>
          <w:p>
            <w:pPr>
              <w:ind w:left="1260"/>
              <w:spacing w:after="0"/>
              <w:rPr>
                <w:sz w:val="20"/>
                <w:szCs w:val="20"/>
                <w:color w:val="auto"/>
              </w:rPr>
            </w:pPr>
            <w:r>
              <w:rPr>
                <w:rFonts w:ascii="Courier New" w:cs="Courier New" w:eastAsia="Courier New" w:hAnsi="Courier New"/>
                <w:sz w:val="15"/>
                <w:szCs w:val="15"/>
                <w:color w:val="auto"/>
              </w:rPr>
              <w:t>Page 8</w:t>
            </w: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Consolidated Statements of Changes in</w:t>
            </w:r>
          </w:p>
        </w:tc>
        <w:tc>
          <w:tcPr>
            <w:tcW w:w="2460" w:type="dxa"/>
            <w:vAlign w:val="bottom"/>
            <w:vMerge w:val="restart"/>
          </w:tcPr>
          <w:p>
            <w:pPr>
              <w:ind w:left="1260"/>
              <w:spacing w:after="0"/>
              <w:rPr>
                <w:sz w:val="20"/>
                <w:szCs w:val="20"/>
                <w:color w:val="auto"/>
              </w:rPr>
            </w:pPr>
            <w:r>
              <w:rPr>
                <w:rFonts w:ascii="Courier New" w:cs="Courier New" w:eastAsia="Courier New" w:hAnsi="Courier New"/>
                <w:sz w:val="15"/>
                <w:szCs w:val="15"/>
                <w:color w:val="auto"/>
              </w:rPr>
              <w:t>Page 9</w:t>
            </w: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Shareholders' Equity</w:t>
            </w:r>
          </w:p>
        </w:tc>
        <w:tc>
          <w:tcPr>
            <w:tcW w:w="2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Consolidated Statements of Cash Flows</w:t>
            </w:r>
          </w:p>
        </w:tc>
        <w:tc>
          <w:tcPr>
            <w:tcW w:w="2460" w:type="dxa"/>
            <w:vAlign w:val="bottom"/>
          </w:tcPr>
          <w:p>
            <w:pPr>
              <w:ind w:left="1260"/>
              <w:spacing w:after="0"/>
              <w:rPr>
                <w:sz w:val="20"/>
                <w:szCs w:val="20"/>
                <w:color w:val="auto"/>
              </w:rPr>
            </w:pPr>
            <w:r>
              <w:rPr>
                <w:rFonts w:ascii="Courier New" w:cs="Courier New" w:eastAsia="Courier New" w:hAnsi="Courier New"/>
                <w:sz w:val="15"/>
                <w:szCs w:val="15"/>
                <w:color w:val="auto"/>
              </w:rPr>
              <w:t>Page 10</w:t>
            </w:r>
          </w:p>
        </w:tc>
        <w:tc>
          <w:tcPr>
            <w:tcW w:w="0" w:type="dxa"/>
            <w:vAlign w:val="bottom"/>
          </w:tcPr>
          <w:p>
            <w:pPr>
              <w:spacing w:after="0"/>
              <w:rPr>
                <w:sz w:val="1"/>
                <w:szCs w:val="1"/>
                <w:color w:val="auto"/>
              </w:rPr>
            </w:pPr>
          </w:p>
        </w:tc>
      </w:tr>
      <w:tr>
        <w:trPr>
          <w:trHeight w:val="175"/>
        </w:trPr>
        <w:tc>
          <w:tcPr>
            <w:tcW w:w="5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w w:val="96"/>
              </w:rPr>
              <w:t>(2)</w:t>
            </w: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2460" w:type="dxa"/>
            <w:vAlign w:val="bottom"/>
          </w:tcPr>
          <w:p>
            <w:pPr>
              <w:ind w:left="1260"/>
              <w:spacing w:after="0"/>
              <w:rPr>
                <w:sz w:val="20"/>
                <w:szCs w:val="20"/>
                <w:color w:val="auto"/>
              </w:rPr>
            </w:pPr>
            <w:r>
              <w:rPr>
                <w:rFonts w:ascii="Courier New" w:cs="Courier New" w:eastAsia="Courier New" w:hAnsi="Courier New"/>
                <w:sz w:val="15"/>
                <w:szCs w:val="15"/>
                <w:color w:val="auto"/>
              </w:rPr>
              <w:t>Pages 11 - 31</w:t>
            </w:r>
          </w:p>
        </w:tc>
        <w:tc>
          <w:tcPr>
            <w:tcW w:w="0" w:type="dxa"/>
            <w:vAlign w:val="bottom"/>
          </w:tcPr>
          <w:p>
            <w:pPr>
              <w:spacing w:after="0"/>
              <w:rPr>
                <w:sz w:val="1"/>
                <w:szCs w:val="1"/>
                <w:color w:val="auto"/>
              </w:rPr>
            </w:pPr>
          </w:p>
        </w:tc>
      </w:tr>
      <w:tr>
        <w:trPr>
          <w:trHeight w:val="175"/>
        </w:trPr>
        <w:tc>
          <w:tcPr>
            <w:tcW w:w="560" w:type="dxa"/>
            <w:vAlign w:val="bottom"/>
            <w:vMerge w:val="continue"/>
          </w:tcPr>
          <w:p>
            <w:pPr>
              <w:spacing w:after="0"/>
              <w:rPr>
                <w:sz w:val="15"/>
                <w:szCs w:val="15"/>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Financial Statement Schedules</w:t>
            </w: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Independent Auditors' Report on Additional</w:t>
            </w:r>
          </w:p>
        </w:tc>
        <w:tc>
          <w:tcPr>
            <w:tcW w:w="2460" w:type="dxa"/>
            <w:vAlign w:val="bottom"/>
            <w:vMerge w:val="restart"/>
          </w:tcPr>
          <w:p>
            <w:pPr>
              <w:ind w:left="1260"/>
              <w:spacing w:after="0"/>
              <w:rPr>
                <w:sz w:val="20"/>
                <w:szCs w:val="20"/>
                <w:color w:val="auto"/>
              </w:rPr>
            </w:pPr>
            <w:r>
              <w:rPr>
                <w:rFonts w:ascii="Courier New" w:cs="Courier New" w:eastAsia="Courier New" w:hAnsi="Courier New"/>
                <w:sz w:val="15"/>
                <w:szCs w:val="15"/>
                <w:color w:val="auto"/>
              </w:rPr>
              <w:t>Page 32</w:t>
            </w: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Information</w:t>
            </w:r>
          </w:p>
        </w:tc>
        <w:tc>
          <w:tcPr>
            <w:tcW w:w="2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w w:val="96"/>
              </w:rPr>
              <w:t>(3)</w:t>
            </w: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Five Year Summary of Operations</w:t>
            </w:r>
          </w:p>
        </w:tc>
        <w:tc>
          <w:tcPr>
            <w:tcW w:w="2460" w:type="dxa"/>
            <w:vAlign w:val="bottom"/>
          </w:tcPr>
          <w:p>
            <w:pPr>
              <w:ind w:left="1260"/>
              <w:spacing w:after="0"/>
              <w:rPr>
                <w:sz w:val="20"/>
                <w:szCs w:val="20"/>
                <w:color w:val="auto"/>
              </w:rPr>
            </w:pPr>
            <w:r>
              <w:rPr>
                <w:rFonts w:ascii="Courier New" w:cs="Courier New" w:eastAsia="Courier New" w:hAnsi="Courier New"/>
                <w:sz w:val="15"/>
                <w:szCs w:val="15"/>
                <w:color w:val="auto"/>
              </w:rPr>
              <w:t>Pages 33 - 35</w:t>
            </w:r>
          </w:p>
        </w:tc>
        <w:tc>
          <w:tcPr>
            <w:tcW w:w="0" w:type="dxa"/>
            <w:vAlign w:val="bottom"/>
          </w:tcPr>
          <w:p>
            <w:pPr>
              <w:spacing w:after="0"/>
              <w:rPr>
                <w:sz w:val="1"/>
                <w:szCs w:val="1"/>
                <w:color w:val="auto"/>
              </w:rPr>
            </w:pPr>
          </w:p>
        </w:tc>
      </w:tr>
      <w:tr>
        <w:trPr>
          <w:trHeight w:val="175"/>
        </w:trPr>
        <w:tc>
          <w:tcPr>
            <w:tcW w:w="560" w:type="dxa"/>
            <w:vAlign w:val="bottom"/>
            <w:vMerge w:val="continue"/>
          </w:tcPr>
          <w:p>
            <w:pPr>
              <w:spacing w:after="0"/>
              <w:rPr>
                <w:sz w:val="15"/>
                <w:szCs w:val="15"/>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Other Information</w:t>
            </w:r>
          </w:p>
        </w:tc>
        <w:tc>
          <w:tcPr>
            <w:tcW w:w="2460" w:type="dxa"/>
            <w:vAlign w:val="bottom"/>
            <w:vMerge w:val="restart"/>
          </w:tcPr>
          <w:p>
            <w:pPr>
              <w:ind w:left="1260"/>
              <w:spacing w:after="0"/>
              <w:rPr>
                <w:sz w:val="20"/>
                <w:szCs w:val="20"/>
                <w:color w:val="auto"/>
              </w:rPr>
            </w:pPr>
            <w:r>
              <w:rPr>
                <w:rFonts w:ascii="Courier New" w:cs="Courier New" w:eastAsia="Courier New" w:hAnsi="Courier New"/>
                <w:sz w:val="15"/>
                <w:szCs w:val="15"/>
                <w:color w:val="auto"/>
              </w:rPr>
              <w:t>Page 34</w:t>
            </w: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Trading Market for the Company's Stock</w:t>
            </w:r>
          </w:p>
        </w:tc>
        <w:tc>
          <w:tcPr>
            <w:tcW w:w="2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Selected Financial Data by Management</w:t>
            </w:r>
          </w:p>
        </w:tc>
        <w:tc>
          <w:tcPr>
            <w:tcW w:w="2460" w:type="dxa"/>
            <w:vAlign w:val="bottom"/>
          </w:tcPr>
          <w:p>
            <w:pPr>
              <w:ind w:left="1260"/>
              <w:spacing w:after="0"/>
              <w:rPr>
                <w:sz w:val="20"/>
                <w:szCs w:val="20"/>
                <w:color w:val="auto"/>
              </w:rPr>
            </w:pPr>
            <w:r>
              <w:rPr>
                <w:rFonts w:ascii="Courier New" w:cs="Courier New" w:eastAsia="Courier New" w:hAnsi="Courier New"/>
                <w:sz w:val="15"/>
                <w:szCs w:val="15"/>
                <w:color w:val="auto"/>
              </w:rPr>
              <w:t>Page 35</w:t>
            </w: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Independent Auditors' Report</w:t>
            </w:r>
          </w:p>
        </w:tc>
        <w:tc>
          <w:tcPr>
            <w:tcW w:w="2460" w:type="dxa"/>
            <w:vAlign w:val="bottom"/>
          </w:tcPr>
          <w:p>
            <w:pPr>
              <w:ind w:left="1260"/>
              <w:spacing w:after="0"/>
              <w:rPr>
                <w:sz w:val="20"/>
                <w:szCs w:val="20"/>
                <w:color w:val="auto"/>
              </w:rPr>
            </w:pPr>
            <w:r>
              <w:rPr>
                <w:rFonts w:ascii="Courier New" w:cs="Courier New" w:eastAsia="Courier New" w:hAnsi="Courier New"/>
                <w:sz w:val="15"/>
                <w:szCs w:val="15"/>
                <w:color w:val="auto"/>
              </w:rPr>
              <w:t>Page 36</w:t>
            </w: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Management Report</w:t>
            </w:r>
          </w:p>
        </w:tc>
        <w:tc>
          <w:tcPr>
            <w:tcW w:w="2460" w:type="dxa"/>
            <w:vAlign w:val="bottom"/>
          </w:tcPr>
          <w:p>
            <w:pPr>
              <w:ind w:left="1260"/>
              <w:spacing w:after="0"/>
              <w:rPr>
                <w:sz w:val="20"/>
                <w:szCs w:val="20"/>
                <w:color w:val="auto"/>
              </w:rPr>
            </w:pPr>
            <w:r>
              <w:rPr>
                <w:rFonts w:ascii="Courier New" w:cs="Courier New" w:eastAsia="Courier New" w:hAnsi="Courier New"/>
                <w:sz w:val="15"/>
                <w:szCs w:val="15"/>
                <w:color w:val="auto"/>
              </w:rPr>
              <w:t>Page 37</w:t>
            </w: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Selected Financial Data by Management</w:t>
            </w:r>
          </w:p>
        </w:tc>
        <w:tc>
          <w:tcPr>
            <w:tcW w:w="2460" w:type="dxa"/>
            <w:vAlign w:val="bottom"/>
          </w:tcPr>
          <w:p>
            <w:pPr>
              <w:ind w:left="1260"/>
              <w:spacing w:after="0"/>
              <w:rPr>
                <w:sz w:val="20"/>
                <w:szCs w:val="20"/>
                <w:color w:val="auto"/>
              </w:rPr>
            </w:pPr>
            <w:r>
              <w:rPr>
                <w:rFonts w:ascii="Courier New" w:cs="Courier New" w:eastAsia="Courier New" w:hAnsi="Courier New"/>
                <w:sz w:val="15"/>
                <w:szCs w:val="15"/>
                <w:color w:val="auto"/>
              </w:rPr>
              <w:t>Pages 38 - 39</w:t>
            </w: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1998 Annual Report Photos</w:t>
            </w:r>
          </w:p>
        </w:tc>
        <w:tc>
          <w:tcPr>
            <w:tcW w:w="2460" w:type="dxa"/>
            <w:vAlign w:val="bottom"/>
          </w:tcPr>
          <w:p>
            <w:pPr>
              <w:ind w:left="1260"/>
              <w:spacing w:after="0"/>
              <w:rPr>
                <w:sz w:val="20"/>
                <w:szCs w:val="20"/>
                <w:color w:val="auto"/>
              </w:rPr>
            </w:pPr>
            <w:r>
              <w:rPr>
                <w:rFonts w:ascii="Courier New" w:cs="Courier New" w:eastAsia="Courier New" w:hAnsi="Courier New"/>
                <w:sz w:val="15"/>
                <w:szCs w:val="15"/>
                <w:color w:val="auto"/>
              </w:rPr>
              <w:t>Pages 40 - 43</w:t>
            </w:r>
          </w:p>
        </w:tc>
        <w:tc>
          <w:tcPr>
            <w:tcW w:w="0" w:type="dxa"/>
            <w:vAlign w:val="bottom"/>
          </w:tcPr>
          <w:p>
            <w:pPr>
              <w:spacing w:after="0"/>
              <w:rPr>
                <w:sz w:val="1"/>
                <w:szCs w:val="1"/>
                <w:color w:val="auto"/>
              </w:rPr>
            </w:pPr>
          </w:p>
        </w:tc>
      </w:tr>
    </w:tbl>
    <w:p>
      <w:pPr>
        <w:ind w:left="2440" w:hanging="811"/>
        <w:spacing w:after="0"/>
        <w:tabs>
          <w:tab w:leader="none" w:pos="244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4" w:lineRule="exact"/>
        <w:rPr>
          <w:rFonts w:ascii="Courier New" w:cs="Courier New" w:eastAsia="Courier New" w:hAnsi="Courier New"/>
          <w:sz w:val="15"/>
          <w:szCs w:val="15"/>
          <w:color w:val="auto"/>
        </w:rPr>
      </w:pPr>
    </w:p>
    <w:p>
      <w:pPr>
        <w:ind w:left="3260" w:right="3599" w:hanging="818"/>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(3.1)Articles of Incorporation have been submitted with previous 10-K reports.</w:t>
      </w:r>
    </w:p>
    <w:p>
      <w:pPr>
        <w:spacing w:after="0" w:line="1" w:lineRule="exact"/>
        <w:rPr>
          <w:rFonts w:ascii="Courier New" w:cs="Courier New" w:eastAsia="Courier New" w:hAnsi="Courier New"/>
          <w:sz w:val="15"/>
          <w:szCs w:val="15"/>
          <w:color w:val="auto"/>
        </w:rPr>
      </w:pPr>
    </w:p>
    <w:p>
      <w:pPr>
        <w:ind w:left="2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(13.1)   1998 Annual Report to Shareholders (contained herein)</w:t>
      </w:r>
    </w:p>
    <w:p>
      <w:pPr>
        <w:spacing w:after="0" w:line="4" w:lineRule="exact"/>
        <w:rPr>
          <w:rFonts w:ascii="Courier New" w:cs="Courier New" w:eastAsia="Courier New" w:hAnsi="Courier New"/>
          <w:sz w:val="15"/>
          <w:szCs w:val="15"/>
          <w:color w:val="auto"/>
        </w:rPr>
      </w:pPr>
    </w:p>
    <w:p>
      <w:pPr>
        <w:ind w:left="2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(23.1)   Notice of Annual Meeting and Proxy Statement</w:t>
      </w:r>
    </w:p>
    <w:p>
      <w:pPr>
        <w:spacing w:after="0" w:line="4" w:lineRule="exact"/>
        <w:rPr>
          <w:rFonts w:ascii="Courier New" w:cs="Courier New" w:eastAsia="Courier New" w:hAnsi="Courier New"/>
          <w:sz w:val="15"/>
          <w:szCs w:val="15"/>
          <w:color w:val="auto"/>
        </w:rPr>
      </w:pPr>
    </w:p>
    <w:p>
      <w:pPr>
        <w:ind w:left="1620" w:right="6859" w:hanging="809"/>
        <w:spacing w:after="0" w:line="246" w:lineRule="auto"/>
        <w:tabs>
          <w:tab w:leader="none" w:pos="1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None</w:t>
      </w:r>
    </w:p>
    <w:p>
      <w:pPr>
        <w:spacing w:after="0" w:line="1" w:lineRule="exact"/>
        <w:rPr>
          <w:rFonts w:ascii="Courier New" w:cs="Courier New" w:eastAsia="Courier New" w:hAnsi="Courier New"/>
          <w:sz w:val="15"/>
          <w:szCs w:val="15"/>
          <w:color w:val="auto"/>
        </w:rPr>
      </w:pPr>
    </w:p>
    <w:p>
      <w:pPr>
        <w:ind w:left="1620" w:right="5859" w:hanging="809"/>
        <w:spacing w:after="0" w:line="246" w:lineRule="auto"/>
        <w:tabs>
          <w:tab w:leader="none" w:pos="1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by Item 601. None required</w:t>
      </w:r>
    </w:p>
    <w:p>
      <w:pPr>
        <w:spacing w:after="0" w:line="1" w:lineRule="exact"/>
        <w:rPr>
          <w:rFonts w:ascii="Courier New" w:cs="Courier New" w:eastAsia="Courier New" w:hAnsi="Courier New"/>
          <w:sz w:val="15"/>
          <w:szCs w:val="15"/>
          <w:color w:val="auto"/>
        </w:rPr>
      </w:pPr>
    </w:p>
    <w:p>
      <w:pPr>
        <w:ind w:left="1620" w:hanging="809"/>
        <w:spacing w:after="0"/>
        <w:tabs>
          <w:tab w:leader="none" w:pos="1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Schedules required by Regulation S-X</w:t>
      </w:r>
    </w:p>
    <w:p>
      <w:pPr>
        <w:spacing w:after="0" w:line="4" w:lineRule="exact"/>
        <w:rPr>
          <w:rFonts w:ascii="Courier New" w:cs="Courier New" w:eastAsia="Courier New" w:hAnsi="Courier New"/>
          <w:sz w:val="15"/>
          <w:szCs w:val="15"/>
          <w:color w:val="auto"/>
        </w:rPr>
      </w:pPr>
    </w:p>
    <w:p>
      <w:pPr>
        <w:ind w:left="1620"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Financial Information of the Registrant required by this report are included in the Annual Report to Shareholders, Note 18, pages 26 through 29.</w:t>
      </w:r>
    </w:p>
    <w:tbl>
      <w:tblPr>
        <w:tblLayout w:type="fixed"/>
        <w:tblInd w:w="820" w:type="dxa"/>
        <w:tblCellMar>
          <w:top w:w="0" w:type="dxa"/>
          <w:left w:w="0" w:type="dxa"/>
          <w:bottom w:w="0" w:type="dxa"/>
          <w:right w:w="0" w:type="dxa"/>
        </w:tblCellMar>
      </w:tblPr>
      <w:tr>
        <w:trPr>
          <w:trHeight w:val="149"/>
        </w:trPr>
        <w:tc>
          <w:tcPr>
            <w:tcW w:w="540" w:type="dxa"/>
            <w:vAlign w:val="bottom"/>
          </w:tcPr>
          <w:p>
            <w:pPr>
              <w:spacing w:after="0" w:line="148" w:lineRule="exact"/>
              <w:rPr>
                <w:sz w:val="20"/>
                <w:szCs w:val="20"/>
                <w:color w:val="auto"/>
              </w:rPr>
            </w:pPr>
            <w:r>
              <w:rPr>
                <w:rFonts w:ascii="Courier New" w:cs="Courier New" w:eastAsia="Courier New" w:hAnsi="Courier New"/>
                <w:sz w:val="15"/>
                <w:szCs w:val="15"/>
                <w:color w:val="auto"/>
              </w:rPr>
              <w:t>(e)</w:t>
            </w:r>
          </w:p>
        </w:tc>
        <w:tc>
          <w:tcPr>
            <w:tcW w:w="1220" w:type="dxa"/>
            <w:vAlign w:val="bottom"/>
          </w:tcPr>
          <w:p>
            <w:pPr>
              <w:ind w:left="260"/>
              <w:spacing w:after="0" w:line="148" w:lineRule="exact"/>
              <w:rPr>
                <w:sz w:val="20"/>
                <w:szCs w:val="20"/>
                <w:color w:val="auto"/>
              </w:rPr>
            </w:pPr>
            <w:r>
              <w:rPr>
                <w:rFonts w:ascii="Courier New" w:cs="Courier New" w:eastAsia="Courier New" w:hAnsi="Courier New"/>
                <w:sz w:val="15"/>
                <w:szCs w:val="15"/>
                <w:color w:val="auto"/>
              </w:rPr>
              <w:t>Signatures</w:t>
            </w:r>
          </w:p>
        </w:tc>
        <w:tc>
          <w:tcPr>
            <w:tcW w:w="41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Financial Data Schedule</w:t>
            </w:r>
          </w:p>
        </w:tc>
        <w:tc>
          <w:tcPr>
            <w:tcW w:w="2460" w:type="dxa"/>
            <w:vAlign w:val="bottom"/>
          </w:tcPr>
          <w:p>
            <w:pPr>
              <w:ind w:left="2040"/>
              <w:spacing w:after="0" w:line="148" w:lineRule="exact"/>
              <w:rPr>
                <w:sz w:val="20"/>
                <w:szCs w:val="20"/>
                <w:color w:val="auto"/>
              </w:rPr>
            </w:pPr>
            <w:r>
              <w:rPr>
                <w:rFonts w:ascii="Courier New" w:cs="Courier New" w:eastAsia="Courier New" w:hAnsi="Courier New"/>
                <w:sz w:val="15"/>
                <w:szCs w:val="15"/>
                <w:color w:val="auto"/>
              </w:rPr>
              <w:t>Page</w:t>
            </w:r>
          </w:p>
        </w:tc>
        <w:tc>
          <w:tcPr>
            <w:tcW w:w="280" w:type="dxa"/>
            <w:vAlign w:val="bottom"/>
          </w:tcPr>
          <w:p>
            <w:pPr>
              <w:jc w:val="right"/>
              <w:spacing w:after="0" w:line="148" w:lineRule="exact"/>
              <w:rPr>
                <w:sz w:val="20"/>
                <w:szCs w:val="20"/>
                <w:color w:val="auto"/>
              </w:rPr>
            </w:pPr>
            <w:r>
              <w:rPr>
                <w:rFonts w:ascii="Courier New" w:cs="Courier New" w:eastAsia="Courier New" w:hAnsi="Courier New"/>
                <w:sz w:val="15"/>
                <w:szCs w:val="15"/>
                <w:color w:val="auto"/>
              </w:rPr>
              <w:t>33</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- 35</w:t>
            </w:r>
          </w:p>
        </w:tc>
        <w:tc>
          <w:tcPr>
            <w:tcW w:w="0" w:type="dxa"/>
            <w:vAlign w:val="bottom"/>
          </w:tcPr>
          <w:p>
            <w:pPr>
              <w:spacing w:after="0"/>
              <w:rPr>
                <w:sz w:val="1"/>
                <w:szCs w:val="1"/>
                <w:color w:val="auto"/>
              </w:rPr>
            </w:pPr>
          </w:p>
        </w:tc>
      </w:tr>
      <w:tr>
        <w:trPr>
          <w:trHeight w:val="256"/>
        </w:trPr>
        <w:tc>
          <w:tcPr>
            <w:tcW w:w="540" w:type="dxa"/>
            <w:vAlign w:val="bottom"/>
          </w:tcPr>
          <w:p>
            <w:pPr>
              <w:spacing w:after="0"/>
              <w:rPr>
                <w:sz w:val="20"/>
                <w:szCs w:val="20"/>
                <w:color w:val="auto"/>
              </w:rPr>
            </w:pPr>
            <w:r>
              <w:rPr>
                <w:rFonts w:ascii="Courier New" w:cs="Courier New" w:eastAsia="Courier New" w:hAnsi="Courier New"/>
                <w:sz w:val="15"/>
                <w:szCs w:val="15"/>
                <w:color w:val="auto"/>
              </w:rPr>
              <w:t>(f)</w:t>
            </w: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Exhibit 27</w:t>
            </w:r>
          </w:p>
        </w:tc>
        <w:tc>
          <w:tcPr>
            <w:tcW w:w="4180" w:type="dxa"/>
            <w:vAlign w:val="bottom"/>
            <w:vMerge w:val="continue"/>
          </w:tcPr>
          <w:p>
            <w:pPr>
              <w:spacing w:after="0"/>
              <w:rPr>
                <w:sz w:val="22"/>
                <w:szCs w:val="22"/>
                <w:color w:val="auto"/>
              </w:rPr>
            </w:pPr>
          </w:p>
        </w:tc>
        <w:tc>
          <w:tcPr>
            <w:tcW w:w="2460" w:type="dxa"/>
            <w:vAlign w:val="bottom"/>
          </w:tcPr>
          <w:p>
            <w:pPr>
              <w:ind w:left="2040"/>
              <w:spacing w:after="0"/>
              <w:rPr>
                <w:sz w:val="20"/>
                <w:szCs w:val="20"/>
                <w:color w:val="auto"/>
              </w:rPr>
            </w:pPr>
            <w:r>
              <w:rPr>
                <w:rFonts w:ascii="Courier New" w:cs="Courier New" w:eastAsia="Courier New" w:hAnsi="Courier New"/>
                <w:sz w:val="15"/>
                <w:szCs w:val="15"/>
                <w:color w:val="auto"/>
              </w:rPr>
              <w:t>Page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Other schedules required to be filed as part of this report.</w:t>
      </w:r>
    </w:p>
    <w:p>
      <w:pPr>
        <w:spacing w:after="0" w:line="10" w:lineRule="exact"/>
        <w:rPr>
          <w:sz w:val="20"/>
          <w:szCs w:val="20"/>
          <w:color w:val="auto"/>
        </w:rPr>
      </w:pPr>
    </w:p>
    <w:tbl>
      <w:tblPr>
        <w:tblLayout w:type="fixed"/>
        <w:tblInd w:w="162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Form 10-K</w:t>
            </w:r>
          </w:p>
        </w:tc>
        <w:tc>
          <w:tcPr>
            <w:tcW w:w="0" w:type="dxa"/>
            <w:vAlign w:val="bottom"/>
          </w:tcPr>
          <w:p>
            <w:pPr>
              <w:spacing w:after="0"/>
              <w:rPr>
                <w:sz w:val="1"/>
                <w:szCs w:val="1"/>
                <w:color w:val="auto"/>
              </w:rPr>
            </w:pPr>
          </w:p>
        </w:tc>
      </w:tr>
      <w:tr>
        <w:trPr>
          <w:trHeight w:val="175"/>
        </w:trPr>
        <w:tc>
          <w:tcPr>
            <w:tcW w:w="780" w:type="dxa"/>
            <w:vAlign w:val="bottom"/>
            <w:vMerge w:val="restart"/>
          </w:tcPr>
          <w:p>
            <w:pPr>
              <w:spacing w:after="0"/>
              <w:rPr>
                <w:sz w:val="20"/>
                <w:szCs w:val="20"/>
                <w:color w:val="auto"/>
              </w:rPr>
            </w:pPr>
            <w:r>
              <w:rPr>
                <w:rFonts w:ascii="Courier New" w:cs="Courier New" w:eastAsia="Courier New" w:hAnsi="Courier New"/>
                <w:sz w:val="15"/>
                <w:szCs w:val="15"/>
                <w:color w:val="auto"/>
              </w:rPr>
              <w:t>Schedule</w:t>
            </w:r>
          </w:p>
        </w:tc>
        <w:tc>
          <w:tcPr>
            <w:tcW w:w="57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of Property and Equipment</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80" w:type="dxa"/>
            <w:vAlign w:val="bottom"/>
            <w:vMerge w:val="continue"/>
          </w:tcPr>
          <w:p>
            <w:pPr>
              <w:spacing w:after="0"/>
              <w:rPr>
                <w:sz w:val="15"/>
                <w:szCs w:val="15"/>
                <w:color w:val="auto"/>
              </w:rPr>
            </w:pPr>
          </w:p>
        </w:tc>
        <w:tc>
          <w:tcPr>
            <w:tcW w:w="5720" w:type="dxa"/>
            <w:vAlign w:val="bottom"/>
            <w:vMerge w:val="continue"/>
          </w:tcPr>
          <w:p>
            <w:pPr>
              <w:spacing w:after="0"/>
              <w:rPr>
                <w:sz w:val="15"/>
                <w:szCs w:val="15"/>
                <w:color w:val="auto"/>
              </w:rPr>
            </w:pPr>
          </w:p>
        </w:tc>
        <w:tc>
          <w:tcPr>
            <w:tcW w:w="1460" w:type="dxa"/>
            <w:vAlign w:val="bottom"/>
          </w:tcPr>
          <w:p>
            <w:pPr>
              <w:ind w:left="1060"/>
              <w:spacing w:after="0"/>
              <w:rPr>
                <w:sz w:val="20"/>
                <w:szCs w:val="20"/>
                <w:color w:val="auto"/>
              </w:rPr>
            </w:pPr>
            <w:r>
              <w:rPr>
                <w:rFonts w:ascii="Courier New" w:cs="Courier New" w:eastAsia="Courier New" w:hAnsi="Courier New"/>
                <w:sz w:val="15"/>
                <w:szCs w:val="15"/>
                <w:color w:val="auto"/>
              </w:rPr>
              <w:t>Page</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256"/>
        </w:trPr>
        <w:tc>
          <w:tcPr>
            <w:tcW w:w="780" w:type="dxa"/>
            <w:vAlign w:val="bottom"/>
          </w:tcPr>
          <w:p>
            <w:pPr>
              <w:spacing w:after="0"/>
              <w:rPr>
                <w:sz w:val="20"/>
                <w:szCs w:val="20"/>
                <w:color w:val="auto"/>
              </w:rPr>
            </w:pPr>
            <w:r>
              <w:rPr>
                <w:rFonts w:ascii="Courier New" w:cs="Courier New" w:eastAsia="Courier New" w:hAnsi="Courier New"/>
                <w:sz w:val="15"/>
                <w:szCs w:val="15"/>
                <w:color w:val="auto"/>
              </w:rPr>
              <w:t>Schedule</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of Accumulated Depreciation - Property and Equipment</w:t>
            </w:r>
          </w:p>
        </w:tc>
        <w:tc>
          <w:tcPr>
            <w:tcW w:w="1460" w:type="dxa"/>
            <w:vAlign w:val="bottom"/>
          </w:tcPr>
          <w:p>
            <w:pPr>
              <w:ind w:left="1060"/>
              <w:spacing w:after="0"/>
              <w:rPr>
                <w:sz w:val="20"/>
                <w:szCs w:val="20"/>
                <w:color w:val="auto"/>
              </w:rPr>
            </w:pPr>
            <w:r>
              <w:rPr>
                <w:rFonts w:ascii="Courier New" w:cs="Courier New" w:eastAsia="Courier New" w:hAnsi="Courier New"/>
                <w:sz w:val="15"/>
                <w:szCs w:val="15"/>
                <w:color w:val="auto"/>
              </w:rPr>
              <w:t>Page</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65"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56"/>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76</w:t>
            </w:r>
          </w:p>
        </w:tc>
        <w:tc>
          <w:tcPr>
            <w:tcW w:w="3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9"/>
        </w:trPr>
        <w:tc>
          <w:tcPr>
            <w:tcW w:w="2080" w:type="dxa"/>
            <w:vAlign w:val="bottom"/>
          </w:tcPr>
          <w:p>
            <w:pPr>
              <w:spacing w:after="0"/>
              <w:rPr>
                <w:sz w:val="24"/>
                <w:szCs w:val="24"/>
                <w:color w:val="auto"/>
              </w:rPr>
            </w:pPr>
          </w:p>
        </w:tc>
        <w:tc>
          <w:tcPr>
            <w:tcW w:w="328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PART IV</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620" w:type="dxa"/>
            <w:vAlign w:val="bottom"/>
            <w:gridSpan w:val="3"/>
          </w:tcPr>
          <w:p>
            <w:pPr>
              <w:spacing w:after="0"/>
              <w:rPr>
                <w:sz w:val="20"/>
                <w:szCs w:val="20"/>
                <w:color w:val="auto"/>
              </w:rPr>
            </w:pPr>
            <w:r>
              <w:rPr>
                <w:rFonts w:ascii="Courier New" w:cs="Courier New" w:eastAsia="Courier New" w:hAnsi="Courier New"/>
                <w:sz w:val="15"/>
                <w:szCs w:val="15"/>
                <w:color w:val="auto"/>
              </w:rPr>
              <w:t>ITEM 14. EXHIBITS, FINANCIAL SCHEDULES AND REPORTS ON FORM 8-K</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4"/>
        </w:trPr>
        <w:tc>
          <w:tcPr>
            <w:tcW w:w="2080" w:type="dxa"/>
            <w:vAlign w:val="bottom"/>
          </w:tcPr>
          <w:p>
            <w:pPr>
              <w:spacing w:after="0"/>
              <w:rPr>
                <w:sz w:val="24"/>
                <w:szCs w:val="24"/>
                <w:color w:val="auto"/>
              </w:rPr>
            </w:pPr>
          </w:p>
        </w:tc>
        <w:tc>
          <w:tcPr>
            <w:tcW w:w="3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SCHEDULE OF PROPERTY AND EQUIPMENT</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9"/>
        </w:trPr>
        <w:tc>
          <w:tcPr>
            <w:tcW w:w="20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2"/>
          </w:tcPr>
          <w:p>
            <w:pPr>
              <w:jc w:val="center"/>
              <w:ind w:right="664"/>
              <w:spacing w:after="0"/>
              <w:rPr>
                <w:sz w:val="20"/>
                <w:szCs w:val="20"/>
                <w:color w:val="auto"/>
              </w:rPr>
            </w:pPr>
            <w:r>
              <w:rPr>
                <w:rFonts w:ascii="Courier New" w:cs="Courier New" w:eastAsia="Courier New" w:hAnsi="Courier New"/>
                <w:sz w:val="15"/>
                <w:szCs w:val="15"/>
                <w:color w:val="auto"/>
              </w:rPr>
              <w:t>EXHIBIT 1</w:t>
            </w:r>
          </w:p>
        </w:tc>
        <w:tc>
          <w:tcPr>
            <w:tcW w:w="0" w:type="dxa"/>
            <w:vAlign w:val="bottom"/>
          </w:tcPr>
          <w:p>
            <w:pPr>
              <w:spacing w:after="0"/>
              <w:rPr>
                <w:sz w:val="1"/>
                <w:szCs w:val="1"/>
                <w:color w:val="auto"/>
              </w:rPr>
            </w:pPr>
          </w:p>
        </w:tc>
      </w:tr>
      <w:tr>
        <w:trPr>
          <w:trHeight w:val="268"/>
        </w:trPr>
        <w:tc>
          <w:tcPr>
            <w:tcW w:w="20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7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Year Ended December 31, 1998</w:t>
            </w: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91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08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3280" w:type="dxa"/>
            <w:vAlign w:val="bottom"/>
          </w:tcPr>
          <w:p>
            <w:pPr>
              <w:spacing w:after="0"/>
              <w:rPr>
                <w:sz w:val="15"/>
                <w:szCs w:val="15"/>
                <w:color w:val="auto"/>
              </w:rPr>
            </w:pPr>
          </w:p>
        </w:tc>
        <w:tc>
          <w:tcPr>
            <w:tcW w:w="1260" w:type="dxa"/>
            <w:vAlign w:val="bottom"/>
          </w:tcPr>
          <w:p>
            <w:pPr>
              <w:jc w:val="center"/>
              <w:ind w:right="364"/>
              <w:spacing w:after="0"/>
              <w:rPr>
                <w:sz w:val="20"/>
                <w:szCs w:val="20"/>
                <w:color w:val="auto"/>
              </w:rPr>
            </w:pPr>
            <w:r>
              <w:rPr>
                <w:rFonts w:ascii="Courier New" w:cs="Courier New" w:eastAsia="Courier New" w:hAnsi="Courier New"/>
                <w:sz w:val="15"/>
                <w:szCs w:val="15"/>
                <w:color w:val="auto"/>
              </w:rPr>
              <w:t>Beginning</w:t>
            </w:r>
          </w:p>
        </w:tc>
        <w:tc>
          <w:tcPr>
            <w:tcW w:w="280" w:type="dxa"/>
            <w:vAlign w:val="bottom"/>
          </w:tcPr>
          <w:p>
            <w:pPr>
              <w:spacing w:after="0"/>
              <w:rPr>
                <w:sz w:val="15"/>
                <w:szCs w:val="15"/>
                <w:color w:val="auto"/>
              </w:rPr>
            </w:pPr>
          </w:p>
        </w:tc>
        <w:tc>
          <w:tcPr>
            <w:tcW w:w="13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w w:val="98"/>
              </w:rPr>
              <w:t>Additions</w:t>
            </w:r>
          </w:p>
        </w:tc>
        <w:tc>
          <w:tcPr>
            <w:tcW w:w="140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Retirements</w:t>
            </w:r>
          </w:p>
        </w:tc>
        <w:tc>
          <w:tcPr>
            <w:tcW w:w="50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Ending</w:t>
            </w:r>
          </w:p>
        </w:tc>
        <w:tc>
          <w:tcPr>
            <w:tcW w:w="0" w:type="dxa"/>
            <w:vAlign w:val="bottom"/>
          </w:tcPr>
          <w:p>
            <w:pPr>
              <w:spacing w:after="0"/>
              <w:rPr>
                <w:sz w:val="1"/>
                <w:szCs w:val="1"/>
                <w:color w:val="auto"/>
              </w:rPr>
            </w:pPr>
          </w:p>
        </w:tc>
      </w:tr>
      <w:tr>
        <w:trPr>
          <w:trHeight w:val="175"/>
        </w:trPr>
        <w:tc>
          <w:tcPr>
            <w:tcW w:w="2080" w:type="dxa"/>
            <w:vAlign w:val="bottom"/>
            <w:vMerge w:val="continue"/>
          </w:tcPr>
          <w:p>
            <w:pPr>
              <w:spacing w:after="0"/>
              <w:rPr>
                <w:sz w:val="15"/>
                <w:szCs w:val="15"/>
                <w:color w:val="auto"/>
              </w:rPr>
            </w:pPr>
          </w:p>
        </w:tc>
        <w:tc>
          <w:tcPr>
            <w:tcW w:w="3280" w:type="dxa"/>
            <w:vAlign w:val="bottom"/>
          </w:tcPr>
          <w:p>
            <w:pPr>
              <w:spacing w:after="0"/>
              <w:rPr>
                <w:sz w:val="15"/>
                <w:szCs w:val="15"/>
                <w:color w:val="auto"/>
              </w:rPr>
            </w:pPr>
          </w:p>
        </w:tc>
        <w:tc>
          <w:tcPr>
            <w:tcW w:w="126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Balance</w:t>
            </w:r>
          </w:p>
        </w:tc>
        <w:tc>
          <w:tcPr>
            <w:tcW w:w="2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Balance</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2"/>
                <w:szCs w:val="22"/>
                <w:color w:val="auto"/>
              </w:rPr>
            </w:pPr>
          </w:p>
        </w:tc>
        <w:tc>
          <w:tcPr>
            <w:tcW w:w="4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1,472</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209</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jc w:val="center"/>
              <w:ind w:left="264"/>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1,681</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Building</w:t>
            </w:r>
          </w:p>
        </w:tc>
        <w:tc>
          <w:tcPr>
            <w:tcW w:w="328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7,398</w:t>
            </w:r>
          </w:p>
        </w:tc>
        <w:tc>
          <w:tcPr>
            <w:tcW w:w="28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676</w:t>
            </w:r>
          </w:p>
        </w:tc>
        <w:tc>
          <w:tcPr>
            <w:tcW w:w="11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8,030</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Banking house equipment</w:t>
            </w:r>
          </w:p>
        </w:tc>
        <w:tc>
          <w:tcPr>
            <w:tcW w:w="328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4,606</w:t>
            </w:r>
          </w:p>
        </w:tc>
        <w:tc>
          <w:tcPr>
            <w:tcW w:w="28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1,827</w:t>
            </w:r>
          </w:p>
        </w:tc>
        <w:tc>
          <w:tcPr>
            <w:tcW w:w="11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566</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5,867</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2"/>
                <w:szCs w:val="22"/>
                <w:color w:val="auto"/>
              </w:rPr>
            </w:pPr>
          </w:p>
        </w:tc>
        <w:tc>
          <w:tcPr>
            <w:tcW w:w="4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080" w:type="dxa"/>
            <w:vAlign w:val="bottom"/>
          </w:tcPr>
          <w:p>
            <w:pPr>
              <w:spacing w:after="0"/>
              <w:rPr>
                <w:sz w:val="23"/>
                <w:szCs w:val="23"/>
                <w:color w:val="auto"/>
              </w:rPr>
            </w:pPr>
          </w:p>
        </w:tc>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13,476</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2,712</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610</w:t>
            </w:r>
          </w:p>
        </w:tc>
        <w:tc>
          <w:tcPr>
            <w:tcW w:w="500" w:type="dxa"/>
            <w:vAlign w:val="bottom"/>
          </w:tcPr>
          <w:p>
            <w:pPr>
              <w:jc w:val="center"/>
              <w:ind w:left="264"/>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15,578</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2"/>
                <w:szCs w:val="22"/>
                <w:color w:val="auto"/>
              </w:rPr>
            </w:pPr>
          </w:p>
        </w:tc>
        <w:tc>
          <w:tcPr>
            <w:tcW w:w="4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0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7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Year Ended December 31, 1997</w:t>
            </w: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91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08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3280" w:type="dxa"/>
            <w:vAlign w:val="bottom"/>
          </w:tcPr>
          <w:p>
            <w:pPr>
              <w:spacing w:after="0"/>
              <w:rPr>
                <w:sz w:val="15"/>
                <w:szCs w:val="15"/>
                <w:color w:val="auto"/>
              </w:rPr>
            </w:pPr>
          </w:p>
        </w:tc>
        <w:tc>
          <w:tcPr>
            <w:tcW w:w="1260" w:type="dxa"/>
            <w:vAlign w:val="bottom"/>
          </w:tcPr>
          <w:p>
            <w:pPr>
              <w:jc w:val="center"/>
              <w:ind w:right="364"/>
              <w:spacing w:after="0"/>
              <w:rPr>
                <w:sz w:val="20"/>
                <w:szCs w:val="20"/>
                <w:color w:val="auto"/>
              </w:rPr>
            </w:pPr>
            <w:r>
              <w:rPr>
                <w:rFonts w:ascii="Courier New" w:cs="Courier New" w:eastAsia="Courier New" w:hAnsi="Courier New"/>
                <w:sz w:val="15"/>
                <w:szCs w:val="15"/>
                <w:color w:val="auto"/>
              </w:rPr>
              <w:t>Beginning</w:t>
            </w:r>
          </w:p>
        </w:tc>
        <w:tc>
          <w:tcPr>
            <w:tcW w:w="280" w:type="dxa"/>
            <w:vAlign w:val="bottom"/>
          </w:tcPr>
          <w:p>
            <w:pPr>
              <w:spacing w:after="0"/>
              <w:rPr>
                <w:sz w:val="15"/>
                <w:szCs w:val="15"/>
                <w:color w:val="auto"/>
              </w:rPr>
            </w:pPr>
          </w:p>
        </w:tc>
        <w:tc>
          <w:tcPr>
            <w:tcW w:w="13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w w:val="98"/>
              </w:rPr>
              <w:t>Additions</w:t>
            </w:r>
          </w:p>
        </w:tc>
        <w:tc>
          <w:tcPr>
            <w:tcW w:w="140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Retirements</w:t>
            </w:r>
          </w:p>
        </w:tc>
        <w:tc>
          <w:tcPr>
            <w:tcW w:w="50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Ending</w:t>
            </w:r>
          </w:p>
        </w:tc>
        <w:tc>
          <w:tcPr>
            <w:tcW w:w="0" w:type="dxa"/>
            <w:vAlign w:val="bottom"/>
          </w:tcPr>
          <w:p>
            <w:pPr>
              <w:spacing w:after="0"/>
              <w:rPr>
                <w:sz w:val="1"/>
                <w:szCs w:val="1"/>
                <w:color w:val="auto"/>
              </w:rPr>
            </w:pPr>
          </w:p>
        </w:tc>
      </w:tr>
      <w:tr>
        <w:trPr>
          <w:trHeight w:val="175"/>
        </w:trPr>
        <w:tc>
          <w:tcPr>
            <w:tcW w:w="2080" w:type="dxa"/>
            <w:vAlign w:val="bottom"/>
            <w:vMerge w:val="continue"/>
          </w:tcPr>
          <w:p>
            <w:pPr>
              <w:spacing w:after="0"/>
              <w:rPr>
                <w:sz w:val="15"/>
                <w:szCs w:val="15"/>
                <w:color w:val="auto"/>
              </w:rPr>
            </w:pPr>
          </w:p>
        </w:tc>
        <w:tc>
          <w:tcPr>
            <w:tcW w:w="3280" w:type="dxa"/>
            <w:vAlign w:val="bottom"/>
          </w:tcPr>
          <w:p>
            <w:pPr>
              <w:spacing w:after="0"/>
              <w:rPr>
                <w:sz w:val="15"/>
                <w:szCs w:val="15"/>
                <w:color w:val="auto"/>
              </w:rPr>
            </w:pPr>
          </w:p>
        </w:tc>
        <w:tc>
          <w:tcPr>
            <w:tcW w:w="126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Balance</w:t>
            </w:r>
          </w:p>
        </w:tc>
        <w:tc>
          <w:tcPr>
            <w:tcW w:w="2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Balance</w:t>
            </w:r>
          </w:p>
        </w:tc>
        <w:tc>
          <w:tcPr>
            <w:tcW w:w="0" w:type="dxa"/>
            <w:vAlign w:val="bottom"/>
          </w:tcPr>
          <w:p>
            <w:pPr>
              <w:spacing w:after="0"/>
              <w:rPr>
                <w:sz w:val="1"/>
                <w:szCs w:val="1"/>
                <w:color w:val="auto"/>
              </w:rPr>
            </w:pPr>
          </w:p>
        </w:tc>
      </w:tr>
      <w:tr>
        <w:trPr>
          <w:trHeight w:val="175"/>
        </w:trPr>
        <w:tc>
          <w:tcPr>
            <w:tcW w:w="2080" w:type="dxa"/>
            <w:vAlign w:val="bottom"/>
            <w:vMerge w:val="restart"/>
          </w:tcPr>
          <w:p>
            <w:pPr>
              <w:spacing w:after="0"/>
              <w:rPr>
                <w:sz w:val="20"/>
                <w:szCs w:val="20"/>
                <w:color w:val="auto"/>
              </w:rPr>
            </w:pPr>
            <w:r>
              <w:rPr>
                <w:rFonts w:ascii="Courier New" w:cs="Courier New" w:eastAsia="Courier New" w:hAnsi="Courier New"/>
                <w:sz w:val="15"/>
                <w:szCs w:val="15"/>
                <w:color w:val="auto"/>
              </w:rPr>
              <w:t>Land</w:t>
            </w:r>
          </w:p>
        </w:tc>
        <w:tc>
          <w:tcPr>
            <w:tcW w:w="3280" w:type="dxa"/>
            <w:vAlign w:val="bottom"/>
            <w:vMerge w:val="restart"/>
          </w:tcPr>
          <w:p>
            <w:pPr>
              <w:jc w:val="right"/>
              <w:spacing w:after="0"/>
              <w:rPr>
                <w:sz w:val="20"/>
                <w:szCs w:val="20"/>
                <w:color w:val="auto"/>
              </w:rPr>
            </w:pPr>
            <w:r>
              <w:rPr>
                <w:rFonts w:ascii="Courier New" w:cs="Courier New" w:eastAsia="Courier New" w:hAnsi="Courier New"/>
                <w:sz w:val="30"/>
                <w:szCs w:val="30"/>
                <w:color w:val="auto"/>
                <w:vertAlign w:val="subscript"/>
              </w:rPr>
              <w:t>$</w:t>
            </w:r>
            <w:r>
              <w:rPr>
                <w:rFonts w:ascii="Courier New" w:cs="Courier New" w:eastAsia="Courier New" w:hAnsi="Courier New"/>
                <w:sz w:val="15"/>
                <w:szCs w:val="15"/>
                <w:color w:val="auto"/>
              </w:rPr>
              <w:t>-------------</w:t>
            </w:r>
          </w:p>
        </w:tc>
        <w:tc>
          <w:tcPr>
            <w:tcW w:w="12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1,228</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080" w:type="dxa"/>
            <w:vAlign w:val="bottom"/>
            <w:vMerge w:val="continue"/>
          </w:tcPr>
          <w:p>
            <w:pPr>
              <w:spacing w:after="0"/>
              <w:rPr>
                <w:sz w:val="15"/>
                <w:szCs w:val="15"/>
                <w:color w:val="auto"/>
              </w:rPr>
            </w:pPr>
          </w:p>
        </w:tc>
        <w:tc>
          <w:tcPr>
            <w:tcW w:w="3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244</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jc w:val="center"/>
              <w:ind w:left="264"/>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1,472</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Building</w:t>
            </w:r>
          </w:p>
        </w:tc>
        <w:tc>
          <w:tcPr>
            <w:tcW w:w="328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7,137</w:t>
            </w:r>
          </w:p>
        </w:tc>
        <w:tc>
          <w:tcPr>
            <w:tcW w:w="28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261</w:t>
            </w:r>
          </w:p>
        </w:tc>
        <w:tc>
          <w:tcPr>
            <w:tcW w:w="11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7,398</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Banking house equipment</w:t>
            </w:r>
          </w:p>
        </w:tc>
        <w:tc>
          <w:tcPr>
            <w:tcW w:w="328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4,333</w:t>
            </w:r>
          </w:p>
        </w:tc>
        <w:tc>
          <w:tcPr>
            <w:tcW w:w="28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284</w:t>
            </w:r>
          </w:p>
        </w:tc>
        <w:tc>
          <w:tcPr>
            <w:tcW w:w="11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4,606</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2"/>
                <w:szCs w:val="22"/>
                <w:color w:val="auto"/>
              </w:rPr>
            </w:pPr>
          </w:p>
        </w:tc>
        <w:tc>
          <w:tcPr>
            <w:tcW w:w="4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080" w:type="dxa"/>
            <w:vAlign w:val="bottom"/>
          </w:tcPr>
          <w:p>
            <w:pPr>
              <w:spacing w:after="0"/>
              <w:rPr>
                <w:sz w:val="23"/>
                <w:szCs w:val="23"/>
                <w:color w:val="auto"/>
              </w:rPr>
            </w:pPr>
          </w:p>
        </w:tc>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12,698</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789</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500" w:type="dxa"/>
            <w:vAlign w:val="bottom"/>
          </w:tcPr>
          <w:p>
            <w:pPr>
              <w:jc w:val="center"/>
              <w:ind w:left="264"/>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13,476</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2"/>
                <w:szCs w:val="22"/>
                <w:color w:val="auto"/>
              </w:rPr>
            </w:pPr>
          </w:p>
        </w:tc>
        <w:tc>
          <w:tcPr>
            <w:tcW w:w="4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0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7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Year Ended December 31, 1996</w:t>
            </w: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91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08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3280" w:type="dxa"/>
            <w:vAlign w:val="bottom"/>
          </w:tcPr>
          <w:p>
            <w:pPr>
              <w:spacing w:after="0"/>
              <w:rPr>
                <w:sz w:val="15"/>
                <w:szCs w:val="15"/>
                <w:color w:val="auto"/>
              </w:rPr>
            </w:pPr>
          </w:p>
        </w:tc>
        <w:tc>
          <w:tcPr>
            <w:tcW w:w="1260" w:type="dxa"/>
            <w:vAlign w:val="bottom"/>
          </w:tcPr>
          <w:p>
            <w:pPr>
              <w:jc w:val="center"/>
              <w:ind w:right="364"/>
              <w:spacing w:after="0"/>
              <w:rPr>
                <w:sz w:val="20"/>
                <w:szCs w:val="20"/>
                <w:color w:val="auto"/>
              </w:rPr>
            </w:pPr>
            <w:r>
              <w:rPr>
                <w:rFonts w:ascii="Courier New" w:cs="Courier New" w:eastAsia="Courier New" w:hAnsi="Courier New"/>
                <w:sz w:val="15"/>
                <w:szCs w:val="15"/>
                <w:color w:val="auto"/>
              </w:rPr>
              <w:t>Beginning</w:t>
            </w:r>
          </w:p>
        </w:tc>
        <w:tc>
          <w:tcPr>
            <w:tcW w:w="280" w:type="dxa"/>
            <w:vAlign w:val="bottom"/>
          </w:tcPr>
          <w:p>
            <w:pPr>
              <w:spacing w:after="0"/>
              <w:rPr>
                <w:sz w:val="15"/>
                <w:szCs w:val="15"/>
                <w:color w:val="auto"/>
              </w:rPr>
            </w:pPr>
          </w:p>
        </w:tc>
        <w:tc>
          <w:tcPr>
            <w:tcW w:w="13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w w:val="98"/>
              </w:rPr>
              <w:t>Additions</w:t>
            </w:r>
          </w:p>
        </w:tc>
        <w:tc>
          <w:tcPr>
            <w:tcW w:w="140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Retirements</w:t>
            </w:r>
          </w:p>
        </w:tc>
        <w:tc>
          <w:tcPr>
            <w:tcW w:w="50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Ending</w:t>
            </w:r>
          </w:p>
        </w:tc>
        <w:tc>
          <w:tcPr>
            <w:tcW w:w="0" w:type="dxa"/>
            <w:vAlign w:val="bottom"/>
          </w:tcPr>
          <w:p>
            <w:pPr>
              <w:spacing w:after="0"/>
              <w:rPr>
                <w:sz w:val="1"/>
                <w:szCs w:val="1"/>
                <w:color w:val="auto"/>
              </w:rPr>
            </w:pPr>
          </w:p>
        </w:tc>
      </w:tr>
      <w:tr>
        <w:trPr>
          <w:trHeight w:val="175"/>
        </w:trPr>
        <w:tc>
          <w:tcPr>
            <w:tcW w:w="2080" w:type="dxa"/>
            <w:vAlign w:val="bottom"/>
            <w:vMerge w:val="continue"/>
          </w:tcPr>
          <w:p>
            <w:pPr>
              <w:spacing w:after="0"/>
              <w:rPr>
                <w:sz w:val="15"/>
                <w:szCs w:val="15"/>
                <w:color w:val="auto"/>
              </w:rPr>
            </w:pPr>
          </w:p>
        </w:tc>
        <w:tc>
          <w:tcPr>
            <w:tcW w:w="3280" w:type="dxa"/>
            <w:vAlign w:val="bottom"/>
          </w:tcPr>
          <w:p>
            <w:pPr>
              <w:spacing w:after="0"/>
              <w:rPr>
                <w:sz w:val="15"/>
                <w:szCs w:val="15"/>
                <w:color w:val="auto"/>
              </w:rPr>
            </w:pPr>
          </w:p>
        </w:tc>
        <w:tc>
          <w:tcPr>
            <w:tcW w:w="126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Balance</w:t>
            </w:r>
          </w:p>
        </w:tc>
        <w:tc>
          <w:tcPr>
            <w:tcW w:w="2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Balance</w:t>
            </w:r>
          </w:p>
        </w:tc>
        <w:tc>
          <w:tcPr>
            <w:tcW w:w="0" w:type="dxa"/>
            <w:vAlign w:val="bottom"/>
          </w:tcPr>
          <w:p>
            <w:pPr>
              <w:spacing w:after="0"/>
              <w:rPr>
                <w:sz w:val="1"/>
                <w:szCs w:val="1"/>
                <w:color w:val="auto"/>
              </w:rPr>
            </w:pPr>
          </w:p>
        </w:tc>
      </w:tr>
      <w:tr>
        <w:trPr>
          <w:trHeight w:val="175"/>
        </w:trPr>
        <w:tc>
          <w:tcPr>
            <w:tcW w:w="2080" w:type="dxa"/>
            <w:vAlign w:val="bottom"/>
            <w:vMerge w:val="restart"/>
          </w:tcPr>
          <w:p>
            <w:pPr>
              <w:spacing w:after="0"/>
              <w:rPr>
                <w:sz w:val="20"/>
                <w:szCs w:val="20"/>
                <w:color w:val="auto"/>
              </w:rPr>
            </w:pPr>
            <w:r>
              <w:rPr>
                <w:rFonts w:ascii="Courier New" w:cs="Courier New" w:eastAsia="Courier New" w:hAnsi="Courier New"/>
                <w:sz w:val="15"/>
                <w:szCs w:val="15"/>
                <w:color w:val="auto"/>
              </w:rPr>
              <w:t>Land</w:t>
            </w:r>
          </w:p>
        </w:tc>
        <w:tc>
          <w:tcPr>
            <w:tcW w:w="3280" w:type="dxa"/>
            <w:vAlign w:val="bottom"/>
            <w:vMerge w:val="restart"/>
          </w:tcPr>
          <w:p>
            <w:pPr>
              <w:jc w:val="right"/>
              <w:spacing w:after="0"/>
              <w:rPr>
                <w:sz w:val="20"/>
                <w:szCs w:val="20"/>
                <w:color w:val="auto"/>
              </w:rPr>
            </w:pPr>
            <w:r>
              <w:rPr>
                <w:rFonts w:ascii="Courier New" w:cs="Courier New" w:eastAsia="Courier New" w:hAnsi="Courier New"/>
                <w:sz w:val="30"/>
                <w:szCs w:val="30"/>
                <w:color w:val="auto"/>
                <w:vertAlign w:val="subscript"/>
              </w:rPr>
              <w:t>$</w:t>
            </w:r>
            <w:r>
              <w:rPr>
                <w:rFonts w:ascii="Courier New" w:cs="Courier New" w:eastAsia="Courier New" w:hAnsi="Courier New"/>
                <w:sz w:val="15"/>
                <w:szCs w:val="15"/>
                <w:color w:val="auto"/>
              </w:rPr>
              <w:t>-------------</w:t>
            </w:r>
          </w:p>
        </w:tc>
        <w:tc>
          <w:tcPr>
            <w:tcW w:w="12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1,120</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080" w:type="dxa"/>
            <w:vAlign w:val="bottom"/>
            <w:vMerge w:val="continue"/>
          </w:tcPr>
          <w:p>
            <w:pPr>
              <w:spacing w:after="0"/>
              <w:rPr>
                <w:sz w:val="15"/>
                <w:szCs w:val="15"/>
                <w:color w:val="auto"/>
              </w:rPr>
            </w:pPr>
          </w:p>
        </w:tc>
        <w:tc>
          <w:tcPr>
            <w:tcW w:w="3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108</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jc w:val="center"/>
              <w:ind w:left="264"/>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1,228</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Building</w:t>
            </w:r>
          </w:p>
        </w:tc>
        <w:tc>
          <w:tcPr>
            <w:tcW w:w="328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6,475</w:t>
            </w:r>
          </w:p>
        </w:tc>
        <w:tc>
          <w:tcPr>
            <w:tcW w:w="28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662</w:t>
            </w:r>
          </w:p>
        </w:tc>
        <w:tc>
          <w:tcPr>
            <w:tcW w:w="11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7,137</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Banking house equipment</w:t>
            </w:r>
          </w:p>
        </w:tc>
        <w:tc>
          <w:tcPr>
            <w:tcW w:w="328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4,074</w:t>
            </w:r>
          </w:p>
        </w:tc>
        <w:tc>
          <w:tcPr>
            <w:tcW w:w="28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414</w:t>
            </w:r>
          </w:p>
        </w:tc>
        <w:tc>
          <w:tcPr>
            <w:tcW w:w="11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155</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4,333</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2"/>
                <w:szCs w:val="22"/>
                <w:color w:val="auto"/>
              </w:rPr>
            </w:pPr>
          </w:p>
        </w:tc>
        <w:tc>
          <w:tcPr>
            <w:tcW w:w="4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080" w:type="dxa"/>
            <w:vAlign w:val="bottom"/>
          </w:tcPr>
          <w:p>
            <w:pPr>
              <w:spacing w:after="0"/>
              <w:rPr>
                <w:sz w:val="23"/>
                <w:szCs w:val="23"/>
                <w:color w:val="auto"/>
              </w:rPr>
            </w:pPr>
          </w:p>
        </w:tc>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11,669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1,184</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155</w:t>
            </w:r>
          </w:p>
        </w:tc>
        <w:tc>
          <w:tcPr>
            <w:tcW w:w="500" w:type="dxa"/>
            <w:vAlign w:val="bottom"/>
          </w:tcPr>
          <w:p>
            <w:pPr>
              <w:jc w:val="center"/>
              <w:ind w:left="264"/>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12,698</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2"/>
                <w:szCs w:val="22"/>
                <w:color w:val="auto"/>
              </w:rPr>
            </w:pPr>
          </w:p>
        </w:tc>
        <w:tc>
          <w:tcPr>
            <w:tcW w:w="4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1180"/>
          </w:cols>
          <w:pgMar w:left="240" w:top="265" w:right="479"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77</w:t>
      </w:r>
    </w:p>
    <w:p>
      <w:pPr>
        <w:spacing w:after="0" w:line="200" w:lineRule="exact"/>
        <w:rPr>
          <w:sz w:val="20"/>
          <w:szCs w:val="20"/>
          <w:color w:val="auto"/>
        </w:rPr>
      </w:pPr>
    </w:p>
    <w:p>
      <w:pPr>
        <w:spacing w:after="0" w:line="329"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SCHEDULE OF ACCUMULATED DEPRECIATION -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6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2"/>
          </w:tcPr>
          <w:p>
            <w:pPr>
              <w:jc w:val="center"/>
              <w:ind w:right="664"/>
              <w:spacing w:after="0"/>
              <w:rPr>
                <w:sz w:val="20"/>
                <w:szCs w:val="20"/>
                <w:color w:val="auto"/>
              </w:rPr>
            </w:pPr>
            <w:r>
              <w:rPr>
                <w:rFonts w:ascii="Courier New" w:cs="Courier New" w:eastAsia="Courier New" w:hAnsi="Courier New"/>
                <w:sz w:val="15"/>
                <w:szCs w:val="15"/>
                <w:color w:val="auto"/>
              </w:rPr>
              <w:t>EXHIBIT 2</w:t>
            </w:r>
          </w:p>
        </w:tc>
        <w:tc>
          <w:tcPr>
            <w:tcW w:w="0" w:type="dxa"/>
            <w:vAlign w:val="bottom"/>
          </w:tcPr>
          <w:p>
            <w:pPr>
              <w:spacing w:after="0"/>
              <w:rPr>
                <w:sz w:val="1"/>
                <w:szCs w:val="1"/>
                <w:color w:val="auto"/>
              </w:rPr>
            </w:pPr>
          </w:p>
        </w:tc>
      </w:tr>
      <w:tr>
        <w:trPr>
          <w:trHeight w:val="268"/>
        </w:trPr>
        <w:tc>
          <w:tcPr>
            <w:tcW w:w="36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7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Year Ended December 31, 1998</w:t>
            </w: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75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8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1680" w:type="dxa"/>
            <w:vAlign w:val="bottom"/>
          </w:tcPr>
          <w:p>
            <w:pPr>
              <w:spacing w:after="0"/>
              <w:rPr>
                <w:sz w:val="15"/>
                <w:szCs w:val="15"/>
                <w:color w:val="auto"/>
              </w:rPr>
            </w:pPr>
          </w:p>
        </w:tc>
        <w:tc>
          <w:tcPr>
            <w:tcW w:w="122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Beginning</w:t>
            </w:r>
          </w:p>
        </w:tc>
        <w:tc>
          <w:tcPr>
            <w:tcW w:w="1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Provision for</w:t>
            </w:r>
          </w:p>
        </w:tc>
        <w:tc>
          <w:tcPr>
            <w:tcW w:w="140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Retirements</w:t>
            </w:r>
          </w:p>
        </w:tc>
        <w:tc>
          <w:tcPr>
            <w:tcW w:w="50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Ending</w:t>
            </w:r>
          </w:p>
        </w:tc>
        <w:tc>
          <w:tcPr>
            <w:tcW w:w="0" w:type="dxa"/>
            <w:vAlign w:val="bottom"/>
          </w:tcPr>
          <w:p>
            <w:pPr>
              <w:spacing w:after="0"/>
              <w:rPr>
                <w:sz w:val="1"/>
                <w:szCs w:val="1"/>
                <w:color w:val="auto"/>
              </w:rPr>
            </w:pPr>
          </w:p>
        </w:tc>
      </w:tr>
      <w:tr>
        <w:trPr>
          <w:trHeight w:val="175"/>
        </w:trPr>
        <w:tc>
          <w:tcPr>
            <w:tcW w:w="36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22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Balance</w:t>
            </w:r>
          </w:p>
        </w:tc>
        <w:tc>
          <w:tcPr>
            <w:tcW w:w="1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Depreciation</w:t>
            </w:r>
          </w:p>
        </w:tc>
        <w:tc>
          <w:tcPr>
            <w:tcW w:w="14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Balance</w:t>
            </w: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2"/>
                <w:szCs w:val="22"/>
                <w:color w:val="auto"/>
              </w:rPr>
            </w:pPr>
          </w:p>
        </w:tc>
        <w:tc>
          <w:tcPr>
            <w:tcW w:w="29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680" w:type="dxa"/>
            <w:vAlign w:val="bottom"/>
          </w:tcPr>
          <w:p>
            <w:pPr>
              <w:spacing w:after="0"/>
              <w:rPr>
                <w:sz w:val="20"/>
                <w:szCs w:val="20"/>
                <w:color w:val="auto"/>
              </w:rPr>
            </w:pPr>
            <w:r>
              <w:rPr>
                <w:rFonts w:ascii="Courier New" w:cs="Courier New" w:eastAsia="Courier New" w:hAnsi="Courier New"/>
                <w:sz w:val="15"/>
                <w:szCs w:val="15"/>
                <w:color w:val="auto"/>
              </w:rPr>
              <w:t>Building</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2,234</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216</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500" w:type="dxa"/>
            <w:vAlign w:val="bottom"/>
          </w:tcPr>
          <w:p>
            <w:pPr>
              <w:jc w:val="center"/>
              <w:ind w:left="264"/>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2,406</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Banking house equipment</w:t>
            </w:r>
          </w:p>
        </w:tc>
        <w:tc>
          <w:tcPr>
            <w:tcW w:w="168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3,577</w:t>
            </w:r>
          </w:p>
        </w:tc>
        <w:tc>
          <w:tcPr>
            <w:tcW w:w="720" w:type="dxa"/>
            <w:vAlign w:val="bottom"/>
          </w:tcPr>
          <w:p>
            <w:pPr>
              <w:spacing w:after="0"/>
              <w:rPr>
                <w:sz w:val="15"/>
                <w:szCs w:val="15"/>
                <w:color w:val="auto"/>
              </w:rPr>
            </w:pP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727</w:t>
            </w:r>
          </w:p>
        </w:tc>
        <w:tc>
          <w:tcPr>
            <w:tcW w:w="11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562</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3,742</w:t>
            </w: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2"/>
                <w:szCs w:val="22"/>
                <w:color w:val="auto"/>
              </w:rPr>
            </w:pPr>
          </w:p>
        </w:tc>
        <w:tc>
          <w:tcPr>
            <w:tcW w:w="29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6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5,811</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943</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606</w:t>
            </w:r>
          </w:p>
        </w:tc>
        <w:tc>
          <w:tcPr>
            <w:tcW w:w="500" w:type="dxa"/>
            <w:vAlign w:val="bottom"/>
          </w:tcPr>
          <w:p>
            <w:pPr>
              <w:jc w:val="center"/>
              <w:ind w:left="264"/>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6,148</w:t>
            </w: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2"/>
                <w:szCs w:val="22"/>
                <w:color w:val="auto"/>
              </w:rPr>
            </w:pPr>
          </w:p>
        </w:tc>
        <w:tc>
          <w:tcPr>
            <w:tcW w:w="29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6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7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Year Ended December 31, 1997</w:t>
            </w: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75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8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1680" w:type="dxa"/>
            <w:vAlign w:val="bottom"/>
          </w:tcPr>
          <w:p>
            <w:pPr>
              <w:spacing w:after="0"/>
              <w:rPr>
                <w:sz w:val="15"/>
                <w:szCs w:val="15"/>
                <w:color w:val="auto"/>
              </w:rPr>
            </w:pPr>
          </w:p>
        </w:tc>
        <w:tc>
          <w:tcPr>
            <w:tcW w:w="122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Beginning</w:t>
            </w:r>
          </w:p>
        </w:tc>
        <w:tc>
          <w:tcPr>
            <w:tcW w:w="1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Provision for</w:t>
            </w:r>
          </w:p>
        </w:tc>
        <w:tc>
          <w:tcPr>
            <w:tcW w:w="140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Retirements</w:t>
            </w:r>
          </w:p>
        </w:tc>
        <w:tc>
          <w:tcPr>
            <w:tcW w:w="50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Ending</w:t>
            </w:r>
          </w:p>
        </w:tc>
        <w:tc>
          <w:tcPr>
            <w:tcW w:w="0" w:type="dxa"/>
            <w:vAlign w:val="bottom"/>
          </w:tcPr>
          <w:p>
            <w:pPr>
              <w:spacing w:after="0"/>
              <w:rPr>
                <w:sz w:val="1"/>
                <w:szCs w:val="1"/>
                <w:color w:val="auto"/>
              </w:rPr>
            </w:pPr>
          </w:p>
        </w:tc>
      </w:tr>
      <w:tr>
        <w:trPr>
          <w:trHeight w:val="175"/>
        </w:trPr>
        <w:tc>
          <w:tcPr>
            <w:tcW w:w="36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22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Balance</w:t>
            </w:r>
          </w:p>
        </w:tc>
        <w:tc>
          <w:tcPr>
            <w:tcW w:w="1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Depreciation</w:t>
            </w:r>
          </w:p>
        </w:tc>
        <w:tc>
          <w:tcPr>
            <w:tcW w:w="14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Balance</w:t>
            </w:r>
          </w:p>
        </w:tc>
        <w:tc>
          <w:tcPr>
            <w:tcW w:w="0" w:type="dxa"/>
            <w:vAlign w:val="bottom"/>
          </w:tcPr>
          <w:p>
            <w:pPr>
              <w:spacing w:after="0"/>
              <w:rPr>
                <w:sz w:val="1"/>
                <w:szCs w:val="1"/>
                <w:color w:val="auto"/>
              </w:rPr>
            </w:pPr>
          </w:p>
        </w:tc>
      </w:tr>
      <w:tr>
        <w:trPr>
          <w:trHeight w:val="175"/>
        </w:trPr>
        <w:tc>
          <w:tcPr>
            <w:tcW w:w="3680" w:type="dxa"/>
            <w:vAlign w:val="bottom"/>
            <w:vMerge w:val="restart"/>
          </w:tcPr>
          <w:p>
            <w:pPr>
              <w:spacing w:after="0"/>
              <w:rPr>
                <w:sz w:val="20"/>
                <w:szCs w:val="20"/>
                <w:color w:val="auto"/>
              </w:rPr>
            </w:pPr>
            <w:r>
              <w:rPr>
                <w:rFonts w:ascii="Courier New" w:cs="Courier New" w:eastAsia="Courier New" w:hAnsi="Courier New"/>
                <w:sz w:val="15"/>
                <w:szCs w:val="15"/>
                <w:color w:val="auto"/>
              </w:rPr>
              <w:t>Building</w:t>
            </w:r>
          </w:p>
        </w:tc>
        <w:tc>
          <w:tcPr>
            <w:tcW w:w="1680" w:type="dxa"/>
            <w:vAlign w:val="bottom"/>
            <w:vMerge w:val="restart"/>
          </w:tcPr>
          <w:p>
            <w:pPr>
              <w:jc w:val="right"/>
              <w:spacing w:after="0"/>
              <w:rPr>
                <w:sz w:val="20"/>
                <w:szCs w:val="20"/>
                <w:color w:val="auto"/>
              </w:rPr>
            </w:pPr>
            <w:r>
              <w:rPr>
                <w:rFonts w:ascii="Courier New" w:cs="Courier New" w:eastAsia="Courier New" w:hAnsi="Courier New"/>
                <w:sz w:val="30"/>
                <w:szCs w:val="30"/>
                <w:color w:val="auto"/>
                <w:vertAlign w:val="subscript"/>
              </w:rPr>
              <w:t>$</w:t>
            </w:r>
            <w:r>
              <w:rPr>
                <w:rFonts w:ascii="Courier New" w:cs="Courier New" w:eastAsia="Courier New" w:hAnsi="Courier New"/>
                <w:sz w:val="15"/>
                <w:szCs w:val="15"/>
                <w:color w:val="auto"/>
              </w:rPr>
              <w:t>-------------</w:t>
            </w:r>
          </w:p>
        </w:tc>
        <w:tc>
          <w:tcPr>
            <w:tcW w:w="12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2,022</w:t>
            </w:r>
          </w:p>
        </w:tc>
        <w:tc>
          <w:tcPr>
            <w:tcW w:w="16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8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212</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jc w:val="center"/>
              <w:ind w:left="264"/>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2,234</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Banking house equipment</w:t>
            </w:r>
          </w:p>
        </w:tc>
        <w:tc>
          <w:tcPr>
            <w:tcW w:w="168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3,100</w:t>
            </w:r>
          </w:p>
        </w:tc>
        <w:tc>
          <w:tcPr>
            <w:tcW w:w="720" w:type="dxa"/>
            <w:vAlign w:val="bottom"/>
          </w:tcPr>
          <w:p>
            <w:pPr>
              <w:spacing w:after="0"/>
              <w:rPr>
                <w:sz w:val="15"/>
                <w:szCs w:val="15"/>
                <w:color w:val="auto"/>
              </w:rPr>
            </w:pP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488</w:t>
            </w:r>
          </w:p>
        </w:tc>
        <w:tc>
          <w:tcPr>
            <w:tcW w:w="11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3,577</w:t>
            </w: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2"/>
                <w:szCs w:val="22"/>
                <w:color w:val="auto"/>
              </w:rPr>
            </w:pPr>
          </w:p>
        </w:tc>
        <w:tc>
          <w:tcPr>
            <w:tcW w:w="29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6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5,122</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700</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500" w:type="dxa"/>
            <w:vAlign w:val="bottom"/>
          </w:tcPr>
          <w:p>
            <w:pPr>
              <w:jc w:val="center"/>
              <w:ind w:left="264"/>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5,811</w:t>
            </w: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2"/>
                <w:szCs w:val="22"/>
                <w:color w:val="auto"/>
              </w:rPr>
            </w:pPr>
          </w:p>
        </w:tc>
        <w:tc>
          <w:tcPr>
            <w:tcW w:w="29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6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7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Year Ended December 31, 1996</w:t>
            </w: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75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8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1680" w:type="dxa"/>
            <w:vAlign w:val="bottom"/>
          </w:tcPr>
          <w:p>
            <w:pPr>
              <w:spacing w:after="0"/>
              <w:rPr>
                <w:sz w:val="15"/>
                <w:szCs w:val="15"/>
                <w:color w:val="auto"/>
              </w:rPr>
            </w:pPr>
          </w:p>
        </w:tc>
        <w:tc>
          <w:tcPr>
            <w:tcW w:w="122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Beginning</w:t>
            </w:r>
          </w:p>
        </w:tc>
        <w:tc>
          <w:tcPr>
            <w:tcW w:w="1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Provision for</w:t>
            </w:r>
          </w:p>
        </w:tc>
        <w:tc>
          <w:tcPr>
            <w:tcW w:w="140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Retirements</w:t>
            </w:r>
          </w:p>
        </w:tc>
        <w:tc>
          <w:tcPr>
            <w:tcW w:w="50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Ending</w:t>
            </w:r>
          </w:p>
        </w:tc>
        <w:tc>
          <w:tcPr>
            <w:tcW w:w="0" w:type="dxa"/>
            <w:vAlign w:val="bottom"/>
          </w:tcPr>
          <w:p>
            <w:pPr>
              <w:spacing w:after="0"/>
              <w:rPr>
                <w:sz w:val="1"/>
                <w:szCs w:val="1"/>
                <w:color w:val="auto"/>
              </w:rPr>
            </w:pPr>
          </w:p>
        </w:tc>
      </w:tr>
      <w:tr>
        <w:trPr>
          <w:trHeight w:val="175"/>
        </w:trPr>
        <w:tc>
          <w:tcPr>
            <w:tcW w:w="36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22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Balance</w:t>
            </w:r>
          </w:p>
        </w:tc>
        <w:tc>
          <w:tcPr>
            <w:tcW w:w="1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Depreciation</w:t>
            </w:r>
          </w:p>
        </w:tc>
        <w:tc>
          <w:tcPr>
            <w:tcW w:w="14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Balance</w:t>
            </w:r>
          </w:p>
        </w:tc>
        <w:tc>
          <w:tcPr>
            <w:tcW w:w="0" w:type="dxa"/>
            <w:vAlign w:val="bottom"/>
          </w:tcPr>
          <w:p>
            <w:pPr>
              <w:spacing w:after="0"/>
              <w:rPr>
                <w:sz w:val="1"/>
                <w:szCs w:val="1"/>
                <w:color w:val="auto"/>
              </w:rPr>
            </w:pPr>
          </w:p>
        </w:tc>
      </w:tr>
      <w:tr>
        <w:trPr>
          <w:trHeight w:val="175"/>
        </w:trPr>
        <w:tc>
          <w:tcPr>
            <w:tcW w:w="3680" w:type="dxa"/>
            <w:vAlign w:val="bottom"/>
            <w:vMerge w:val="restart"/>
          </w:tcPr>
          <w:p>
            <w:pPr>
              <w:spacing w:after="0"/>
              <w:rPr>
                <w:sz w:val="20"/>
                <w:szCs w:val="20"/>
                <w:color w:val="auto"/>
              </w:rPr>
            </w:pPr>
            <w:r>
              <w:rPr>
                <w:rFonts w:ascii="Courier New" w:cs="Courier New" w:eastAsia="Courier New" w:hAnsi="Courier New"/>
                <w:sz w:val="15"/>
                <w:szCs w:val="15"/>
                <w:color w:val="auto"/>
              </w:rPr>
              <w:t>Building</w:t>
            </w:r>
          </w:p>
        </w:tc>
        <w:tc>
          <w:tcPr>
            <w:tcW w:w="1680" w:type="dxa"/>
            <w:vAlign w:val="bottom"/>
            <w:vMerge w:val="restart"/>
          </w:tcPr>
          <w:p>
            <w:pPr>
              <w:jc w:val="right"/>
              <w:spacing w:after="0"/>
              <w:rPr>
                <w:sz w:val="20"/>
                <w:szCs w:val="20"/>
                <w:color w:val="auto"/>
              </w:rPr>
            </w:pPr>
            <w:r>
              <w:rPr>
                <w:rFonts w:ascii="Courier New" w:cs="Courier New" w:eastAsia="Courier New" w:hAnsi="Courier New"/>
                <w:sz w:val="30"/>
                <w:szCs w:val="30"/>
                <w:color w:val="auto"/>
                <w:vertAlign w:val="subscript"/>
              </w:rPr>
              <w:t>$</w:t>
            </w:r>
            <w:r>
              <w:rPr>
                <w:rFonts w:ascii="Courier New" w:cs="Courier New" w:eastAsia="Courier New" w:hAnsi="Courier New"/>
                <w:sz w:val="15"/>
                <w:szCs w:val="15"/>
                <w:color w:val="auto"/>
              </w:rPr>
              <w:t>-------------</w:t>
            </w:r>
          </w:p>
        </w:tc>
        <w:tc>
          <w:tcPr>
            <w:tcW w:w="12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1,814</w:t>
            </w:r>
          </w:p>
        </w:tc>
        <w:tc>
          <w:tcPr>
            <w:tcW w:w="16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8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208</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jc w:val="center"/>
              <w:ind w:left="264"/>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2,022</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Banking house equipment</w:t>
            </w:r>
          </w:p>
        </w:tc>
        <w:tc>
          <w:tcPr>
            <w:tcW w:w="168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2,657</w:t>
            </w:r>
          </w:p>
        </w:tc>
        <w:tc>
          <w:tcPr>
            <w:tcW w:w="720" w:type="dxa"/>
            <w:vAlign w:val="bottom"/>
          </w:tcPr>
          <w:p>
            <w:pPr>
              <w:spacing w:after="0"/>
              <w:rPr>
                <w:sz w:val="15"/>
                <w:szCs w:val="15"/>
                <w:color w:val="auto"/>
              </w:rPr>
            </w:pP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590</w:t>
            </w:r>
          </w:p>
        </w:tc>
        <w:tc>
          <w:tcPr>
            <w:tcW w:w="11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147</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3,100</w:t>
            </w: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2"/>
                <w:szCs w:val="22"/>
                <w:color w:val="auto"/>
              </w:rPr>
            </w:pPr>
          </w:p>
        </w:tc>
        <w:tc>
          <w:tcPr>
            <w:tcW w:w="29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6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4,471</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798</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147</w:t>
            </w:r>
          </w:p>
        </w:tc>
        <w:tc>
          <w:tcPr>
            <w:tcW w:w="500" w:type="dxa"/>
            <w:vAlign w:val="bottom"/>
          </w:tcPr>
          <w:p>
            <w:pPr>
              <w:jc w:val="center"/>
              <w:ind w:left="264"/>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5,122</w:t>
            </w: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2"/>
                <w:szCs w:val="22"/>
                <w:color w:val="auto"/>
              </w:rPr>
            </w:pPr>
          </w:p>
        </w:tc>
        <w:tc>
          <w:tcPr>
            <w:tcW w:w="29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1180"/>
          </w:cols>
          <w:pgMar w:left="240" w:top="265" w:right="479"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78</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right="3820"/>
        <w:spacing w:after="0" w:line="30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hereunto duly authorized.</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Farmers &amp; Merchants Bancorp, Inc.</w:t>
      </w:r>
    </w:p>
    <w:p>
      <w:pPr>
        <w:spacing w:after="0" w:line="180" w:lineRule="exact"/>
        <w:rPr>
          <w:sz w:val="20"/>
          <w:szCs w:val="20"/>
          <w:color w:val="auto"/>
        </w:rPr>
      </w:pPr>
    </w:p>
    <w:tbl>
      <w:tblPr>
        <w:tblLayout w:type="fixed"/>
        <w:tblInd w:w="3440" w:type="dxa"/>
        <w:tblCellMar>
          <w:top w:w="0" w:type="dxa"/>
          <w:left w:w="0" w:type="dxa"/>
          <w:bottom w:w="0" w:type="dxa"/>
          <w:right w:w="0" w:type="dxa"/>
        </w:tblCellMar>
      </w:tblPr>
      <w:tr>
        <w:trPr>
          <w:trHeight w:val="175"/>
        </w:trPr>
        <w:tc>
          <w:tcPr>
            <w:tcW w:w="2560" w:type="dxa"/>
            <w:vAlign w:val="bottom"/>
          </w:tcPr>
          <w:p>
            <w:pPr>
              <w:spacing w:after="0"/>
              <w:rPr>
                <w:sz w:val="20"/>
                <w:szCs w:val="20"/>
                <w:color w:val="auto"/>
              </w:rPr>
            </w:pPr>
            <w:r>
              <w:rPr>
                <w:rFonts w:ascii="Courier New" w:cs="Courier New" w:eastAsia="Courier New" w:hAnsi="Courier New"/>
                <w:sz w:val="15"/>
                <w:szCs w:val="15"/>
                <w:color w:val="auto"/>
              </w:rPr>
              <w:t>By: Joe E. Crossgrove</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Date: 3-19-99</w:t>
            </w:r>
          </w:p>
        </w:tc>
        <w:tc>
          <w:tcPr>
            <w:tcW w:w="0" w:type="dxa"/>
            <w:vAlign w:val="bottom"/>
          </w:tcPr>
          <w:p>
            <w:pPr>
              <w:spacing w:after="0"/>
              <w:rPr>
                <w:sz w:val="1"/>
                <w:szCs w:val="1"/>
                <w:color w:val="auto"/>
              </w:rPr>
            </w:pPr>
          </w:p>
        </w:tc>
      </w:tr>
      <w:tr>
        <w:trPr>
          <w:trHeight w:val="256"/>
        </w:trPr>
        <w:tc>
          <w:tcPr>
            <w:tcW w:w="2560" w:type="dxa"/>
            <w:vAlign w:val="bottom"/>
            <w:vMerge w:val="restart"/>
          </w:tcPr>
          <w:p>
            <w:pPr>
              <w:spacing w:after="0"/>
              <w:rPr>
                <w:sz w:val="20"/>
                <w:szCs w:val="20"/>
                <w:color w:val="auto"/>
              </w:rPr>
            </w:pPr>
            <w:r>
              <w:rPr>
                <w:rFonts w:ascii="Courier New" w:cs="Courier New" w:eastAsia="Courier New" w:hAnsi="Courier New"/>
                <w:sz w:val="26"/>
                <w:szCs w:val="26"/>
                <w:color w:val="auto"/>
                <w:w w:val="70"/>
                <w:vertAlign w:val="subscript"/>
              </w:rPr>
              <w:t>Joe E.</w:t>
            </w: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Crossgrove</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5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56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640"/>
        <w:spacing w:after="0" w:line="30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/s/ Joe E. Crossgrove</w:t>
            </w:r>
          </w:p>
        </w:tc>
        <w:tc>
          <w:tcPr>
            <w:tcW w:w="25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Date: 3-19-99</w:t>
            </w: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/s/ Barbara Britenriker</w:t>
            </w:r>
          </w:p>
        </w:tc>
        <w:tc>
          <w:tcPr>
            <w:tcW w:w="1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Date: 3-19-99</w:t>
            </w:r>
          </w:p>
        </w:tc>
        <w:tc>
          <w:tcPr>
            <w:tcW w:w="0" w:type="dxa"/>
            <w:vAlign w:val="bottom"/>
          </w:tcPr>
          <w:p>
            <w:pPr>
              <w:spacing w:after="0"/>
              <w:rPr>
                <w:sz w:val="1"/>
                <w:szCs w:val="1"/>
                <w:color w:val="auto"/>
              </w:rPr>
            </w:pPr>
          </w:p>
        </w:tc>
      </w:tr>
      <w:tr>
        <w:trPr>
          <w:trHeight w:val="175"/>
        </w:trPr>
        <w:tc>
          <w:tcPr>
            <w:tcW w:w="3220" w:type="dxa"/>
            <w:vAlign w:val="bottom"/>
            <w:vMerge w:val="restart"/>
          </w:tcPr>
          <w:p>
            <w:pPr>
              <w:spacing w:after="0"/>
              <w:rPr>
                <w:sz w:val="20"/>
                <w:szCs w:val="20"/>
                <w:color w:val="auto"/>
              </w:rPr>
            </w:pPr>
            <w:r>
              <w:rPr>
                <w:rFonts w:ascii="Courier New" w:cs="Courier New" w:eastAsia="Courier New" w:hAnsi="Courier New"/>
                <w:sz w:val="24"/>
                <w:szCs w:val="24"/>
                <w:color w:val="auto"/>
                <w:w w:val="71"/>
                <w:vertAlign w:val="subscript"/>
              </w:rPr>
              <w:t>Joe</w:t>
            </w:r>
            <w:r>
              <w:rPr>
                <w:rFonts w:ascii="Courier New" w:cs="Courier New" w:eastAsia="Courier New" w:hAnsi="Courier New"/>
                <w:sz w:val="13"/>
                <w:szCs w:val="13"/>
                <w:color w:val="auto"/>
                <w:w w:val="71"/>
              </w:rPr>
              <w:t>----------------------------</w:t>
            </w:r>
            <w:r>
              <w:rPr>
                <w:rFonts w:ascii="Courier New" w:cs="Courier New" w:eastAsia="Courier New" w:hAnsi="Courier New"/>
                <w:sz w:val="24"/>
                <w:szCs w:val="24"/>
                <w:color w:val="auto"/>
                <w:w w:val="71"/>
                <w:vertAlign w:val="subscript"/>
              </w:rPr>
              <w:t>E.Crossgrove,Director</w:t>
            </w:r>
          </w:p>
        </w:tc>
        <w:tc>
          <w:tcPr>
            <w:tcW w:w="2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220" w:type="dxa"/>
            <w:vAlign w:val="bottom"/>
            <w:vMerge w:val="continue"/>
          </w:tcPr>
          <w:p>
            <w:pPr>
              <w:spacing w:after="0"/>
              <w:rPr>
                <w:sz w:val="15"/>
                <w:szCs w:val="15"/>
                <w:color w:val="auto"/>
              </w:rPr>
            </w:pPr>
          </w:p>
        </w:tc>
        <w:tc>
          <w:tcPr>
            <w:tcW w:w="2500" w:type="dxa"/>
            <w:vAlign w:val="bottom"/>
          </w:tcPr>
          <w:p>
            <w:pPr>
              <w:spacing w:after="0"/>
              <w:rPr>
                <w:sz w:val="15"/>
                <w:szCs w:val="15"/>
                <w:color w:val="auto"/>
              </w:rPr>
            </w:pP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Barbara Britenriker</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2500" w:type="dxa"/>
            <w:vAlign w:val="bottom"/>
          </w:tcPr>
          <w:p>
            <w:pPr>
              <w:spacing w:after="0"/>
              <w:rPr>
                <w:sz w:val="22"/>
                <w:szCs w:val="22"/>
                <w:color w:val="auto"/>
              </w:rPr>
            </w:pP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Chief Accounting Officer</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3220" w:type="dxa"/>
            <w:vAlign w:val="bottom"/>
          </w:tcPr>
          <w:p>
            <w:pPr>
              <w:spacing w:after="0"/>
              <w:rPr>
                <w:sz w:val="20"/>
                <w:szCs w:val="20"/>
                <w:color w:val="auto"/>
              </w:rPr>
            </w:pPr>
            <w:r>
              <w:rPr>
                <w:rFonts w:ascii="Courier New" w:cs="Courier New" w:eastAsia="Courier New" w:hAnsi="Courier New"/>
                <w:sz w:val="15"/>
                <w:szCs w:val="15"/>
                <w:color w:val="auto"/>
              </w:rPr>
              <w:t>/s/ Charles Lugbill</w:t>
            </w:r>
          </w:p>
        </w:tc>
        <w:tc>
          <w:tcPr>
            <w:tcW w:w="25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Date: 3-19-99</w:t>
            </w: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/s/ Kent Roth</w:t>
            </w:r>
          </w:p>
        </w:tc>
        <w:tc>
          <w:tcPr>
            <w:tcW w:w="1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Date: 3-19-99</w:t>
            </w:r>
          </w:p>
        </w:tc>
        <w:tc>
          <w:tcPr>
            <w:tcW w:w="0" w:type="dxa"/>
            <w:vAlign w:val="bottom"/>
          </w:tcPr>
          <w:p>
            <w:pPr>
              <w:spacing w:after="0"/>
              <w:rPr>
                <w:sz w:val="1"/>
                <w:szCs w:val="1"/>
                <w:color w:val="auto"/>
              </w:rPr>
            </w:pPr>
          </w:p>
        </w:tc>
      </w:tr>
      <w:tr>
        <w:trPr>
          <w:trHeight w:val="175"/>
        </w:trPr>
        <w:tc>
          <w:tcPr>
            <w:tcW w:w="3220" w:type="dxa"/>
            <w:vAlign w:val="bottom"/>
            <w:vMerge w:val="restart"/>
          </w:tcPr>
          <w:p>
            <w:pPr>
              <w:spacing w:after="0"/>
              <w:rPr>
                <w:sz w:val="20"/>
                <w:szCs w:val="20"/>
                <w:color w:val="auto"/>
              </w:rPr>
            </w:pPr>
            <w:r>
              <w:rPr>
                <w:rFonts w:ascii="Courier New" w:cs="Courier New" w:eastAsia="Courier New" w:hAnsi="Courier New"/>
                <w:sz w:val="30"/>
                <w:szCs w:val="30"/>
                <w:color w:val="auto"/>
                <w:w w:val="76"/>
                <w:vertAlign w:val="subscript"/>
              </w:rPr>
              <w:t>Charles</w:t>
            </w:r>
            <w:r>
              <w:rPr>
                <w:rFonts w:ascii="Courier New" w:cs="Courier New" w:eastAsia="Courier New" w:hAnsi="Courier New"/>
                <w:sz w:val="15"/>
                <w:szCs w:val="15"/>
                <w:color w:val="auto"/>
                <w:w w:val="76"/>
              </w:rPr>
              <w:t>----------------------------</w:t>
            </w:r>
            <w:r>
              <w:rPr>
                <w:rFonts w:ascii="Courier New" w:cs="Courier New" w:eastAsia="Courier New" w:hAnsi="Courier New"/>
                <w:sz w:val="30"/>
                <w:szCs w:val="30"/>
                <w:color w:val="auto"/>
                <w:w w:val="76"/>
                <w:vertAlign w:val="subscript"/>
              </w:rPr>
              <w:t>Lugbill</w:t>
            </w:r>
          </w:p>
        </w:tc>
        <w:tc>
          <w:tcPr>
            <w:tcW w:w="2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220" w:type="dxa"/>
            <w:vAlign w:val="bottom"/>
            <w:vMerge w:val="continue"/>
          </w:tcPr>
          <w:p>
            <w:pPr>
              <w:spacing w:after="0"/>
              <w:rPr>
                <w:sz w:val="15"/>
                <w:szCs w:val="15"/>
                <w:color w:val="auto"/>
              </w:rPr>
            </w:pPr>
          </w:p>
        </w:tc>
        <w:tc>
          <w:tcPr>
            <w:tcW w:w="2500" w:type="dxa"/>
            <w:vAlign w:val="bottom"/>
          </w:tcPr>
          <w:p>
            <w:pPr>
              <w:spacing w:after="0"/>
              <w:rPr>
                <w:sz w:val="15"/>
                <w:szCs w:val="15"/>
                <w:color w:val="auto"/>
              </w:rPr>
            </w:pP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Kent Roth, Auditor</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0"/>
                <w:szCs w:val="20"/>
                <w:color w:val="auto"/>
              </w:rPr>
            </w:pPr>
            <w:r>
              <w:rPr>
                <w:rFonts w:ascii="Courier New" w:cs="Courier New" w:eastAsia="Courier New" w:hAnsi="Courier New"/>
                <w:sz w:val="15"/>
                <w:szCs w:val="15"/>
                <w:color w:val="auto"/>
              </w:rPr>
              <w:t>Director and Chairman</w:t>
            </w:r>
          </w:p>
        </w:tc>
        <w:tc>
          <w:tcPr>
            <w:tcW w:w="250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220" w:type="dxa"/>
            <w:vAlign w:val="bottom"/>
          </w:tcPr>
          <w:p>
            <w:pPr>
              <w:spacing w:after="0"/>
              <w:rPr>
                <w:sz w:val="20"/>
                <w:szCs w:val="20"/>
                <w:color w:val="auto"/>
              </w:rPr>
            </w:pPr>
            <w:r>
              <w:rPr>
                <w:rFonts w:ascii="Courier New" w:cs="Courier New" w:eastAsia="Courier New" w:hAnsi="Courier New"/>
                <w:sz w:val="15"/>
                <w:szCs w:val="15"/>
                <w:color w:val="auto"/>
              </w:rPr>
              <w:t>/s/ Eugene D. Bernath</w:t>
            </w:r>
          </w:p>
        </w:tc>
        <w:tc>
          <w:tcPr>
            <w:tcW w:w="25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Date: 3-19-99</w:t>
            </w: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/s/ Harold H. Plassman</w:t>
            </w:r>
          </w:p>
        </w:tc>
        <w:tc>
          <w:tcPr>
            <w:tcW w:w="1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Date: 3-19-99</w:t>
            </w:r>
          </w:p>
        </w:tc>
        <w:tc>
          <w:tcPr>
            <w:tcW w:w="0" w:type="dxa"/>
            <w:vAlign w:val="bottom"/>
          </w:tcPr>
          <w:p>
            <w:pPr>
              <w:spacing w:after="0"/>
              <w:rPr>
                <w:sz w:val="1"/>
                <w:szCs w:val="1"/>
                <w:color w:val="auto"/>
              </w:rPr>
            </w:pPr>
          </w:p>
        </w:tc>
      </w:tr>
      <w:tr>
        <w:trPr>
          <w:trHeight w:val="175"/>
        </w:trPr>
        <w:tc>
          <w:tcPr>
            <w:tcW w:w="3220" w:type="dxa"/>
            <w:vAlign w:val="bottom"/>
            <w:vMerge w:val="restart"/>
          </w:tcPr>
          <w:p>
            <w:pPr>
              <w:spacing w:after="0"/>
              <w:rPr>
                <w:sz w:val="20"/>
                <w:szCs w:val="20"/>
                <w:color w:val="auto"/>
              </w:rPr>
            </w:pPr>
            <w:r>
              <w:rPr>
                <w:rFonts w:ascii="Courier New" w:cs="Courier New" w:eastAsia="Courier New" w:hAnsi="Courier New"/>
                <w:sz w:val="24"/>
                <w:szCs w:val="24"/>
                <w:color w:val="auto"/>
                <w:w w:val="71"/>
                <w:vertAlign w:val="subscript"/>
              </w:rPr>
              <w:t>Eugene</w:t>
            </w:r>
            <w:r>
              <w:rPr>
                <w:rFonts w:ascii="Courier New" w:cs="Courier New" w:eastAsia="Courier New" w:hAnsi="Courier New"/>
                <w:sz w:val="13"/>
                <w:szCs w:val="13"/>
                <w:color w:val="auto"/>
                <w:w w:val="71"/>
              </w:rPr>
              <w:t>----------------------------</w:t>
            </w:r>
            <w:r>
              <w:rPr>
                <w:rFonts w:ascii="Courier New" w:cs="Courier New" w:eastAsia="Courier New" w:hAnsi="Courier New"/>
                <w:sz w:val="24"/>
                <w:szCs w:val="24"/>
                <w:color w:val="auto"/>
                <w:w w:val="71"/>
                <w:vertAlign w:val="subscript"/>
              </w:rPr>
              <w:t>D.Bernath,Director</w:t>
            </w:r>
          </w:p>
        </w:tc>
        <w:tc>
          <w:tcPr>
            <w:tcW w:w="2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220" w:type="dxa"/>
            <w:vAlign w:val="bottom"/>
            <w:vMerge w:val="continue"/>
          </w:tcPr>
          <w:p>
            <w:pPr>
              <w:spacing w:after="0"/>
              <w:rPr>
                <w:sz w:val="23"/>
                <w:szCs w:val="23"/>
                <w:color w:val="auto"/>
              </w:rPr>
            </w:pPr>
          </w:p>
        </w:tc>
        <w:tc>
          <w:tcPr>
            <w:tcW w:w="2500" w:type="dxa"/>
            <w:vAlign w:val="bottom"/>
          </w:tcPr>
          <w:p>
            <w:pPr>
              <w:spacing w:after="0"/>
              <w:rPr>
                <w:sz w:val="23"/>
                <w:szCs w:val="23"/>
                <w:color w:val="auto"/>
              </w:rPr>
            </w:pP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Harold H. Plassman, Director</w:t>
            </w: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220" w:type="dxa"/>
            <w:vAlign w:val="bottom"/>
          </w:tcPr>
          <w:p>
            <w:pPr>
              <w:spacing w:after="0"/>
              <w:rPr>
                <w:sz w:val="20"/>
                <w:szCs w:val="20"/>
                <w:color w:val="auto"/>
              </w:rPr>
            </w:pPr>
            <w:r>
              <w:rPr>
                <w:rFonts w:ascii="Courier New" w:cs="Courier New" w:eastAsia="Courier New" w:hAnsi="Courier New"/>
                <w:sz w:val="15"/>
                <w:szCs w:val="15"/>
                <w:color w:val="auto"/>
              </w:rPr>
              <w:t>/s/ Jerry Boyers</w:t>
            </w:r>
          </w:p>
        </w:tc>
        <w:tc>
          <w:tcPr>
            <w:tcW w:w="25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Date: 3-19-99</w:t>
            </w: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/s/ James Provost</w:t>
            </w:r>
          </w:p>
        </w:tc>
        <w:tc>
          <w:tcPr>
            <w:tcW w:w="1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Date: 3-19-99</w:t>
            </w:r>
          </w:p>
        </w:tc>
        <w:tc>
          <w:tcPr>
            <w:tcW w:w="0" w:type="dxa"/>
            <w:vAlign w:val="bottom"/>
          </w:tcPr>
          <w:p>
            <w:pPr>
              <w:spacing w:after="0"/>
              <w:rPr>
                <w:sz w:val="1"/>
                <w:szCs w:val="1"/>
                <w:color w:val="auto"/>
              </w:rPr>
            </w:pPr>
          </w:p>
        </w:tc>
      </w:tr>
      <w:tr>
        <w:trPr>
          <w:trHeight w:val="175"/>
        </w:trPr>
        <w:tc>
          <w:tcPr>
            <w:tcW w:w="3220" w:type="dxa"/>
            <w:vAlign w:val="bottom"/>
            <w:vMerge w:val="restart"/>
          </w:tcPr>
          <w:p>
            <w:pPr>
              <w:spacing w:after="0"/>
              <w:rPr>
                <w:sz w:val="20"/>
                <w:szCs w:val="20"/>
                <w:color w:val="auto"/>
              </w:rPr>
            </w:pPr>
            <w:r>
              <w:rPr>
                <w:rFonts w:ascii="Courier New" w:cs="Courier New" w:eastAsia="Courier New" w:hAnsi="Courier New"/>
                <w:sz w:val="27"/>
                <w:szCs w:val="27"/>
                <w:color w:val="auto"/>
                <w:w w:val="70"/>
                <w:vertAlign w:val="subscript"/>
              </w:rPr>
              <w:t>Jerry</w:t>
            </w: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Boyers,Director</w:t>
            </w:r>
          </w:p>
        </w:tc>
        <w:tc>
          <w:tcPr>
            <w:tcW w:w="2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220" w:type="dxa"/>
            <w:vAlign w:val="bottom"/>
            <w:vMerge w:val="continue"/>
          </w:tcPr>
          <w:p>
            <w:pPr>
              <w:spacing w:after="0"/>
              <w:rPr>
                <w:sz w:val="23"/>
                <w:szCs w:val="23"/>
                <w:color w:val="auto"/>
              </w:rPr>
            </w:pPr>
          </w:p>
        </w:tc>
        <w:tc>
          <w:tcPr>
            <w:tcW w:w="2500" w:type="dxa"/>
            <w:vAlign w:val="bottom"/>
          </w:tcPr>
          <w:p>
            <w:pPr>
              <w:spacing w:after="0"/>
              <w:rPr>
                <w:sz w:val="23"/>
                <w:szCs w:val="23"/>
                <w:color w:val="auto"/>
              </w:rPr>
            </w:pP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James Provost, Director</w:t>
            </w: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220" w:type="dxa"/>
            <w:vAlign w:val="bottom"/>
          </w:tcPr>
          <w:p>
            <w:pPr>
              <w:spacing w:after="0"/>
              <w:rPr>
                <w:sz w:val="20"/>
                <w:szCs w:val="20"/>
                <w:color w:val="auto"/>
              </w:rPr>
            </w:pPr>
            <w:r>
              <w:rPr>
                <w:rFonts w:ascii="Courier New" w:cs="Courier New" w:eastAsia="Courier New" w:hAnsi="Courier New"/>
                <w:sz w:val="15"/>
                <w:szCs w:val="15"/>
                <w:color w:val="auto"/>
              </w:rPr>
              <w:t>/s/ Robert Frey</w:t>
            </w:r>
          </w:p>
        </w:tc>
        <w:tc>
          <w:tcPr>
            <w:tcW w:w="25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Date: 3-19-99</w:t>
            </w: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/s/ James Saneholtz</w:t>
            </w:r>
          </w:p>
        </w:tc>
        <w:tc>
          <w:tcPr>
            <w:tcW w:w="1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Date: 3-19-99</w:t>
            </w:r>
          </w:p>
        </w:tc>
        <w:tc>
          <w:tcPr>
            <w:tcW w:w="0" w:type="dxa"/>
            <w:vAlign w:val="bottom"/>
          </w:tcPr>
          <w:p>
            <w:pPr>
              <w:spacing w:after="0"/>
              <w:rPr>
                <w:sz w:val="1"/>
                <w:szCs w:val="1"/>
                <w:color w:val="auto"/>
              </w:rPr>
            </w:pPr>
          </w:p>
        </w:tc>
      </w:tr>
      <w:tr>
        <w:trPr>
          <w:trHeight w:val="175"/>
        </w:trPr>
        <w:tc>
          <w:tcPr>
            <w:tcW w:w="3220" w:type="dxa"/>
            <w:vAlign w:val="bottom"/>
            <w:vMerge w:val="restart"/>
          </w:tcPr>
          <w:p>
            <w:pPr>
              <w:spacing w:after="0"/>
              <w:rPr>
                <w:sz w:val="20"/>
                <w:szCs w:val="20"/>
                <w:color w:val="auto"/>
              </w:rPr>
            </w:pPr>
            <w:r>
              <w:rPr>
                <w:rFonts w:ascii="Courier New" w:cs="Courier New" w:eastAsia="Courier New" w:hAnsi="Courier New"/>
                <w:sz w:val="28"/>
                <w:szCs w:val="28"/>
                <w:color w:val="auto"/>
                <w:w w:val="71"/>
                <w:vertAlign w:val="subscript"/>
              </w:rPr>
              <w:t>Robert</w:t>
            </w:r>
            <w:r>
              <w:rPr>
                <w:rFonts w:ascii="Courier New" w:cs="Courier New" w:eastAsia="Courier New" w:hAnsi="Courier New"/>
                <w:sz w:val="14"/>
                <w:szCs w:val="14"/>
                <w:color w:val="auto"/>
                <w:w w:val="71"/>
              </w:rPr>
              <w:t>----------------------------</w:t>
            </w:r>
            <w:r>
              <w:rPr>
                <w:rFonts w:ascii="Courier New" w:cs="Courier New" w:eastAsia="Courier New" w:hAnsi="Courier New"/>
                <w:sz w:val="28"/>
                <w:szCs w:val="28"/>
                <w:color w:val="auto"/>
                <w:w w:val="71"/>
                <w:vertAlign w:val="subscript"/>
              </w:rPr>
              <w:t>Frey,Director</w:t>
            </w:r>
          </w:p>
        </w:tc>
        <w:tc>
          <w:tcPr>
            <w:tcW w:w="2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220" w:type="dxa"/>
            <w:vAlign w:val="bottom"/>
            <w:vMerge w:val="continue"/>
          </w:tcPr>
          <w:p>
            <w:pPr>
              <w:spacing w:after="0"/>
              <w:rPr>
                <w:sz w:val="23"/>
                <w:szCs w:val="23"/>
                <w:color w:val="auto"/>
              </w:rPr>
            </w:pPr>
          </w:p>
        </w:tc>
        <w:tc>
          <w:tcPr>
            <w:tcW w:w="2500" w:type="dxa"/>
            <w:vAlign w:val="bottom"/>
          </w:tcPr>
          <w:p>
            <w:pPr>
              <w:spacing w:after="0"/>
              <w:rPr>
                <w:sz w:val="23"/>
                <w:szCs w:val="23"/>
                <w:color w:val="auto"/>
              </w:rPr>
            </w:pP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James Saneholtz, Director</w:t>
            </w: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220" w:type="dxa"/>
            <w:vAlign w:val="bottom"/>
          </w:tcPr>
          <w:p>
            <w:pPr>
              <w:spacing w:after="0"/>
              <w:rPr>
                <w:sz w:val="20"/>
                <w:szCs w:val="20"/>
                <w:color w:val="auto"/>
              </w:rPr>
            </w:pPr>
            <w:r>
              <w:rPr>
                <w:rFonts w:ascii="Courier New" w:cs="Courier New" w:eastAsia="Courier New" w:hAnsi="Courier New"/>
                <w:sz w:val="15"/>
                <w:szCs w:val="15"/>
                <w:color w:val="auto"/>
              </w:rPr>
              <w:t>Lee Grafice</w:t>
            </w:r>
          </w:p>
        </w:tc>
        <w:tc>
          <w:tcPr>
            <w:tcW w:w="25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Date: 3-19-99</w:t>
            </w: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/s/ Maynard Sauder</w:t>
            </w:r>
          </w:p>
        </w:tc>
        <w:tc>
          <w:tcPr>
            <w:tcW w:w="1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Date: 3-19-99</w:t>
            </w:r>
          </w:p>
        </w:tc>
        <w:tc>
          <w:tcPr>
            <w:tcW w:w="0" w:type="dxa"/>
            <w:vAlign w:val="bottom"/>
          </w:tcPr>
          <w:p>
            <w:pPr>
              <w:spacing w:after="0"/>
              <w:rPr>
                <w:sz w:val="1"/>
                <w:szCs w:val="1"/>
                <w:color w:val="auto"/>
              </w:rPr>
            </w:pPr>
          </w:p>
        </w:tc>
      </w:tr>
      <w:tr>
        <w:trPr>
          <w:trHeight w:val="175"/>
        </w:trPr>
        <w:tc>
          <w:tcPr>
            <w:tcW w:w="3220" w:type="dxa"/>
            <w:vAlign w:val="bottom"/>
            <w:vMerge w:val="restart"/>
          </w:tcPr>
          <w:p>
            <w:pPr>
              <w:spacing w:after="0"/>
              <w:rPr>
                <w:sz w:val="20"/>
                <w:szCs w:val="20"/>
                <w:color w:val="auto"/>
              </w:rPr>
            </w:pPr>
            <w:r>
              <w:rPr>
                <w:rFonts w:ascii="Courier New" w:cs="Courier New" w:eastAsia="Courier New" w:hAnsi="Courier New"/>
                <w:sz w:val="28"/>
                <w:szCs w:val="28"/>
                <w:color w:val="auto"/>
                <w:w w:val="71"/>
                <w:vertAlign w:val="subscript"/>
              </w:rPr>
              <w:t>Lee</w:t>
            </w:r>
            <w:r>
              <w:rPr>
                <w:rFonts w:ascii="Courier New" w:cs="Courier New" w:eastAsia="Courier New" w:hAnsi="Courier New"/>
                <w:sz w:val="14"/>
                <w:szCs w:val="14"/>
                <w:color w:val="auto"/>
                <w:w w:val="71"/>
              </w:rPr>
              <w:t>----------------------------</w:t>
            </w:r>
            <w:r>
              <w:rPr>
                <w:rFonts w:ascii="Courier New" w:cs="Courier New" w:eastAsia="Courier New" w:hAnsi="Courier New"/>
                <w:sz w:val="28"/>
                <w:szCs w:val="28"/>
                <w:color w:val="auto"/>
                <w:w w:val="71"/>
                <w:vertAlign w:val="subscript"/>
              </w:rPr>
              <w:t>Grafice,Director</w:t>
            </w:r>
          </w:p>
        </w:tc>
        <w:tc>
          <w:tcPr>
            <w:tcW w:w="2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220" w:type="dxa"/>
            <w:vAlign w:val="bottom"/>
            <w:vMerge w:val="continue"/>
          </w:tcPr>
          <w:p>
            <w:pPr>
              <w:spacing w:after="0"/>
              <w:rPr>
                <w:sz w:val="23"/>
                <w:szCs w:val="23"/>
                <w:color w:val="auto"/>
              </w:rPr>
            </w:pPr>
          </w:p>
        </w:tc>
        <w:tc>
          <w:tcPr>
            <w:tcW w:w="2500" w:type="dxa"/>
            <w:vAlign w:val="bottom"/>
          </w:tcPr>
          <w:p>
            <w:pPr>
              <w:spacing w:after="0"/>
              <w:rPr>
                <w:sz w:val="23"/>
                <w:szCs w:val="23"/>
                <w:color w:val="auto"/>
              </w:rPr>
            </w:pP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Maynard Sauder, Director</w:t>
            </w: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220" w:type="dxa"/>
            <w:vAlign w:val="bottom"/>
          </w:tcPr>
          <w:p>
            <w:pPr>
              <w:spacing w:after="0"/>
              <w:rPr>
                <w:sz w:val="20"/>
                <w:szCs w:val="20"/>
                <w:color w:val="auto"/>
              </w:rPr>
            </w:pPr>
            <w:r>
              <w:rPr>
                <w:rFonts w:ascii="Courier New" w:cs="Courier New" w:eastAsia="Courier New" w:hAnsi="Courier New"/>
                <w:sz w:val="15"/>
                <w:szCs w:val="15"/>
                <w:color w:val="auto"/>
              </w:rPr>
              <w:t>/s/ Jack C. Johnson</w:t>
            </w:r>
          </w:p>
        </w:tc>
        <w:tc>
          <w:tcPr>
            <w:tcW w:w="25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Date: 3-19-99</w:t>
            </w: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/s/ Merle J. Short</w:t>
            </w:r>
          </w:p>
        </w:tc>
        <w:tc>
          <w:tcPr>
            <w:tcW w:w="1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Date: 3-19-99</w:t>
            </w:r>
          </w:p>
        </w:tc>
        <w:tc>
          <w:tcPr>
            <w:tcW w:w="0" w:type="dxa"/>
            <w:vAlign w:val="bottom"/>
          </w:tcPr>
          <w:p>
            <w:pPr>
              <w:spacing w:after="0"/>
              <w:rPr>
                <w:sz w:val="1"/>
                <w:szCs w:val="1"/>
                <w:color w:val="auto"/>
              </w:rPr>
            </w:pPr>
          </w:p>
        </w:tc>
      </w:tr>
      <w:tr>
        <w:trPr>
          <w:trHeight w:val="175"/>
        </w:trPr>
        <w:tc>
          <w:tcPr>
            <w:tcW w:w="3220" w:type="dxa"/>
            <w:vAlign w:val="bottom"/>
            <w:vMerge w:val="restart"/>
          </w:tcPr>
          <w:p>
            <w:pPr>
              <w:spacing w:after="0"/>
              <w:rPr>
                <w:sz w:val="20"/>
                <w:szCs w:val="20"/>
                <w:color w:val="auto"/>
              </w:rPr>
            </w:pPr>
            <w:r>
              <w:rPr>
                <w:rFonts w:ascii="Courier New" w:cs="Courier New" w:eastAsia="Courier New" w:hAnsi="Courier New"/>
                <w:sz w:val="25"/>
                <w:szCs w:val="25"/>
                <w:color w:val="auto"/>
                <w:w w:val="72"/>
                <w:vertAlign w:val="subscript"/>
              </w:rPr>
              <w:t>Jack</w:t>
            </w: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bscript"/>
              </w:rPr>
              <w:t>C.Johnson,Director</w:t>
            </w:r>
          </w:p>
        </w:tc>
        <w:tc>
          <w:tcPr>
            <w:tcW w:w="2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220" w:type="dxa"/>
            <w:vAlign w:val="bottom"/>
            <w:vMerge w:val="continue"/>
          </w:tcPr>
          <w:p>
            <w:pPr>
              <w:spacing w:after="0"/>
              <w:rPr>
                <w:sz w:val="23"/>
                <w:szCs w:val="23"/>
                <w:color w:val="auto"/>
              </w:rPr>
            </w:pPr>
          </w:p>
        </w:tc>
        <w:tc>
          <w:tcPr>
            <w:tcW w:w="2500" w:type="dxa"/>
            <w:vAlign w:val="bottom"/>
          </w:tcPr>
          <w:p>
            <w:pPr>
              <w:spacing w:after="0"/>
              <w:rPr>
                <w:sz w:val="23"/>
                <w:szCs w:val="23"/>
                <w:color w:val="auto"/>
              </w:rPr>
            </w:pP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Merle J. Short, Director</w:t>
            </w: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220" w:type="dxa"/>
            <w:vAlign w:val="bottom"/>
          </w:tcPr>
          <w:p>
            <w:pPr>
              <w:spacing w:after="0"/>
              <w:rPr>
                <w:sz w:val="20"/>
                <w:szCs w:val="20"/>
                <w:color w:val="auto"/>
              </w:rPr>
            </w:pPr>
            <w:r>
              <w:rPr>
                <w:rFonts w:ascii="Courier New" w:cs="Courier New" w:eastAsia="Courier New" w:hAnsi="Courier New"/>
                <w:sz w:val="15"/>
                <w:szCs w:val="15"/>
                <w:color w:val="auto"/>
              </w:rPr>
              <w:t>/s/ Dean Miller</w:t>
            </w:r>
          </w:p>
        </w:tc>
        <w:tc>
          <w:tcPr>
            <w:tcW w:w="25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Date: 3-19-99</w:t>
            </w: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/s/ Steven J. Wyse</w:t>
            </w:r>
          </w:p>
        </w:tc>
        <w:tc>
          <w:tcPr>
            <w:tcW w:w="1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Date: 3-19-99</w:t>
            </w:r>
          </w:p>
        </w:tc>
        <w:tc>
          <w:tcPr>
            <w:tcW w:w="0" w:type="dxa"/>
            <w:vAlign w:val="bottom"/>
          </w:tcPr>
          <w:p>
            <w:pPr>
              <w:spacing w:after="0"/>
              <w:rPr>
                <w:sz w:val="1"/>
                <w:szCs w:val="1"/>
                <w:color w:val="auto"/>
              </w:rPr>
            </w:pPr>
          </w:p>
        </w:tc>
      </w:tr>
      <w:tr>
        <w:trPr>
          <w:trHeight w:val="175"/>
        </w:trPr>
        <w:tc>
          <w:tcPr>
            <w:tcW w:w="3220" w:type="dxa"/>
            <w:vAlign w:val="bottom"/>
            <w:vMerge w:val="restart"/>
          </w:tcPr>
          <w:p>
            <w:pPr>
              <w:spacing w:after="0"/>
              <w:rPr>
                <w:sz w:val="20"/>
                <w:szCs w:val="20"/>
                <w:color w:val="auto"/>
              </w:rPr>
            </w:pPr>
            <w:r>
              <w:rPr>
                <w:rFonts w:ascii="Courier New" w:cs="Courier New" w:eastAsia="Courier New" w:hAnsi="Courier New"/>
                <w:sz w:val="28"/>
                <w:szCs w:val="28"/>
                <w:color w:val="auto"/>
                <w:w w:val="71"/>
                <w:vertAlign w:val="subscript"/>
              </w:rPr>
              <w:t>Dean</w:t>
            </w:r>
            <w:r>
              <w:rPr>
                <w:rFonts w:ascii="Courier New" w:cs="Courier New" w:eastAsia="Courier New" w:hAnsi="Courier New"/>
                <w:sz w:val="14"/>
                <w:szCs w:val="14"/>
                <w:color w:val="auto"/>
                <w:w w:val="71"/>
              </w:rPr>
              <w:t>----------------------------</w:t>
            </w:r>
            <w:r>
              <w:rPr>
                <w:rFonts w:ascii="Courier New" w:cs="Courier New" w:eastAsia="Courier New" w:hAnsi="Courier New"/>
                <w:sz w:val="28"/>
                <w:szCs w:val="28"/>
                <w:color w:val="auto"/>
                <w:w w:val="71"/>
                <w:vertAlign w:val="subscript"/>
              </w:rPr>
              <w:t>Miller,Director</w:t>
            </w:r>
          </w:p>
        </w:tc>
        <w:tc>
          <w:tcPr>
            <w:tcW w:w="2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220" w:type="dxa"/>
            <w:vAlign w:val="bottom"/>
            <w:vMerge w:val="continue"/>
          </w:tcPr>
          <w:p>
            <w:pPr>
              <w:spacing w:after="0"/>
              <w:rPr>
                <w:sz w:val="23"/>
                <w:szCs w:val="23"/>
                <w:color w:val="auto"/>
              </w:rPr>
            </w:pPr>
          </w:p>
        </w:tc>
        <w:tc>
          <w:tcPr>
            <w:tcW w:w="2500" w:type="dxa"/>
            <w:vAlign w:val="bottom"/>
          </w:tcPr>
          <w:p>
            <w:pPr>
              <w:spacing w:after="0"/>
              <w:rPr>
                <w:sz w:val="23"/>
                <w:szCs w:val="23"/>
                <w:color w:val="auto"/>
              </w:rPr>
            </w:pP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Steven J. Wyse, Director</w:t>
            </w: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220" w:type="dxa"/>
            <w:vAlign w:val="bottom"/>
          </w:tcPr>
          <w:p>
            <w:pPr>
              <w:spacing w:after="0"/>
              <w:rPr>
                <w:sz w:val="20"/>
                <w:szCs w:val="20"/>
                <w:color w:val="auto"/>
              </w:rPr>
            </w:pPr>
            <w:r>
              <w:rPr>
                <w:rFonts w:ascii="Courier New" w:cs="Courier New" w:eastAsia="Courier New" w:hAnsi="Courier New"/>
                <w:sz w:val="15"/>
                <w:szCs w:val="15"/>
                <w:color w:val="auto"/>
              </w:rPr>
              <w:t>/s/ Dale L. Nafziger</w:t>
            </w:r>
          </w:p>
        </w:tc>
        <w:tc>
          <w:tcPr>
            <w:tcW w:w="25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Date: 3-19-99</w:t>
            </w:r>
          </w:p>
        </w:tc>
        <w:tc>
          <w:tcPr>
            <w:tcW w:w="3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20" w:type="dxa"/>
            <w:vAlign w:val="bottom"/>
            <w:vMerge w:val="restart"/>
          </w:tcPr>
          <w:p>
            <w:pPr>
              <w:spacing w:after="0"/>
              <w:rPr>
                <w:sz w:val="20"/>
                <w:szCs w:val="20"/>
                <w:color w:val="auto"/>
              </w:rPr>
            </w:pPr>
            <w:r>
              <w:rPr>
                <w:rFonts w:ascii="Courier New" w:cs="Courier New" w:eastAsia="Courier New" w:hAnsi="Courier New"/>
                <w:sz w:val="25"/>
                <w:szCs w:val="25"/>
                <w:color w:val="auto"/>
                <w:w w:val="71"/>
                <w:vertAlign w:val="subscript"/>
              </w:rPr>
              <w:t>Dale</w:t>
            </w: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L.Nafziger,Director</w:t>
            </w:r>
          </w:p>
        </w:tc>
        <w:tc>
          <w:tcPr>
            <w:tcW w:w="2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2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220" w:type="dxa"/>
            <w:vAlign w:val="bottom"/>
            <w:vMerge w:val="continue"/>
          </w:tcPr>
          <w:p>
            <w:pPr>
              <w:spacing w:after="0"/>
              <w:rPr>
                <w:sz w:val="16"/>
                <w:szCs w:val="16"/>
                <w:color w:val="auto"/>
              </w:rPr>
            </w:pPr>
          </w:p>
        </w:tc>
        <w:tc>
          <w:tcPr>
            <w:tcW w:w="25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00"/>
          </w:cols>
          <w:pgMar w:left="240" w:top="265"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900"/>
          </w:cols>
          <w:pgMar w:left="240" w:top="265" w:right="759" w:bottom="1440" w:gutter="0" w:footer="0" w:header="0"/>
          <w:type w:val="continuous"/>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79</w:t>
      </w:r>
    </w:p>
    <w:p>
      <w:pPr>
        <w:spacing w:after="0" w:line="200" w:lineRule="exact"/>
        <w:rPr>
          <w:sz w:val="20"/>
          <w:szCs w:val="20"/>
          <w:color w:val="auto"/>
        </w:rPr>
      </w:pPr>
    </w:p>
    <w:p>
      <w:pPr>
        <w:spacing w:after="0" w:line="32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19"/>
          </w:cols>
          <w:pgMar w:left="2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DATA SCHEDULE</w:t>
      </w:r>
    </w:p>
    <w:p>
      <w:pPr>
        <w:sectPr>
          <w:pgSz w:w="11900" w:h="16838" w:orient="portrait"/>
          <w:cols w:equalWidth="0" w:num="2">
            <w:col w:w="2460" w:space="720"/>
            <w:col w:w="7039"/>
          </w:cols>
          <w:pgMar w:left="240" w:top="265" w:right="1440" w:bottom="1440" w:gutter="0" w:footer="0" w:header="0"/>
          <w:type w:val="continuous"/>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9</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2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YEAR</w:t>
      </w:r>
    </w:p>
    <w:p>
      <w:pPr>
        <w:spacing w:after="0" w:line="3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DEC-31-1998</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JAN-01-1998</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DEC-31-1998</w:t>
      </w:r>
    </w:p>
    <w:p>
      <w:pPr>
        <w:spacing w:after="0" w:line="5" w:lineRule="exact"/>
        <w:rPr>
          <w:sz w:val="20"/>
          <w:szCs w:val="20"/>
          <w:color w:val="auto"/>
        </w:rPr>
      </w:pPr>
    </w:p>
    <w:p>
      <w:pPr>
        <w:jc w:val="right"/>
        <w:ind w:right="5859"/>
        <w:spacing w:after="0"/>
        <w:rPr>
          <w:sz w:val="20"/>
          <w:szCs w:val="20"/>
          <w:color w:val="auto"/>
        </w:rPr>
      </w:pPr>
      <w:r>
        <w:rPr>
          <w:rFonts w:ascii="Courier New" w:cs="Courier New" w:eastAsia="Courier New" w:hAnsi="Courier New"/>
          <w:sz w:val="15"/>
          <w:szCs w:val="15"/>
          <w:color w:val="auto"/>
        </w:rPr>
        <w:t>18549</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100</w:t>
      </w:r>
    </w:p>
    <w:p>
      <w:pPr>
        <w:spacing w:after="0" w:line="5"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5"/>
          <w:szCs w:val="15"/>
          <w:color w:val="auto"/>
        </w:rPr>
        <w:t>19045</w:t>
      </w:r>
    </w:p>
    <w:p>
      <w:pPr>
        <w:spacing w:after="0" w:line="5"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123911</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123911</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123911</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407042</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5850</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585869</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512183</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2916</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4180</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11240</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12677</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42673</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585869</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36335</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5722</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831</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42888</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21182</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903</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20803</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892</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12867</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11070</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11070</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7657</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5.89</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5.89</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7.85</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6455</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1988</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8443</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5850</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1774</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882</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5850</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5850</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39"/>
      </w:cols>
      <w:pgMar w:left="320" w:top="4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amp;"/>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lowerLetter"/>
      <w:start w:val="1"/>
    </w:lvl>
    <w:lvl w:ilvl="1">
      <w:lvlJc w:val="left"/>
      <w:lvlText w:val="(%2)"/>
      <w:numFmt w:val="decimal"/>
      <w:start w:val="4"/>
    </w:lvl>
  </w:abstractNum>
  <w:abstractNum w:abstractNumId="11">
    <w:nsid w:val="66EF438D"/>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2020-02-22T06:35:24Z</dcterms:created>
  <dcterms:modified xsi:type="dcterms:W3CDTF">2020-02-22T06:35:24Z</dcterms:modified>
</cp:coreProperties>
</file>