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81915</wp:posOffset>
            </wp:positionV>
            <wp:extent cx="1929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98" w:lineRule="exact"/>
        <w:rPr>
          <w:sz w:val="24"/>
          <w:szCs w:val="24"/>
          <w:color w:val="auto"/>
        </w:rPr>
      </w:pPr>
    </w:p>
    <w:p>
      <w:pPr>
        <w:jc w:val="center"/>
        <w:spacing w:after="0" w:line="334" w:lineRule="exact"/>
        <w:rPr>
          <w:sz w:val="20"/>
          <w:szCs w:val="20"/>
          <w:color w:val="auto"/>
        </w:rPr>
      </w:pPr>
      <w:r>
        <w:rPr>
          <w:rFonts w:ascii="Arial" w:cs="Arial" w:eastAsia="Arial" w:hAnsi="Arial"/>
          <w:sz w:val="29"/>
          <w:szCs w:val="29"/>
          <w:b w:val="1"/>
          <w:bCs w:val="1"/>
          <w:color w:val="auto"/>
        </w:rPr>
        <w:t>FORM 10</w:t>
      </w:r>
      <w:r>
        <w:rPr>
          <w:rFonts w:ascii="MS PGothic" w:cs="MS PGothic" w:eastAsia="MS PGothic" w:hAnsi="MS PGothic"/>
          <w:sz w:val="29"/>
          <w:szCs w:val="29"/>
          <w:b w:val="1"/>
          <w:bCs w:val="1"/>
          <w:color w:val="auto"/>
        </w:rPr>
        <w:t>‑</w:t>
      </w:r>
      <w:r>
        <w:rPr>
          <w:rFonts w:ascii="Arial" w:cs="Arial" w:eastAsia="Arial" w:hAnsi="Arial"/>
          <w:sz w:val="29"/>
          <w:szCs w:val="29"/>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108585</wp:posOffset>
            </wp:positionV>
            <wp:extent cx="1929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5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June 30, 2019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4280"/>
        <w:spacing w:after="0"/>
        <w:tabs>
          <w:tab w:leader="none" w:pos="69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4193540</wp:posOffset>
            </wp:positionH>
            <wp:positionV relativeFrom="paragraph">
              <wp:posOffset>-7620</wp:posOffset>
            </wp:positionV>
            <wp:extent cx="219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075"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100330</wp:posOffset>
            </wp:positionV>
            <wp:extent cx="1929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FARMERS &amp; MERCHANTS BANCORP,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90170</wp:posOffset>
            </wp:positionV>
            <wp:extent cx="1929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53" w:lineRule="exact"/>
        <w:rPr>
          <w:sz w:val="24"/>
          <w:szCs w:val="24"/>
          <w:color w:val="auto"/>
        </w:rPr>
      </w:pPr>
    </w:p>
    <w:tbl>
      <w:tblPr>
        <w:tblLayout w:type="fixed"/>
        <w:tblInd w:w="1260" w:type="dxa"/>
        <w:tblCellMar>
          <w:top w:w="0" w:type="dxa"/>
          <w:left w:w="0" w:type="dxa"/>
          <w:bottom w:w="0" w:type="dxa"/>
          <w:right w:w="0" w:type="dxa"/>
        </w:tblCellMar>
      </w:tblPr>
      <w:tr>
        <w:trPr>
          <w:trHeight w:val="225"/>
        </w:trPr>
        <w:tc>
          <w:tcPr>
            <w:tcW w:w="720" w:type="dxa"/>
            <w:vAlign w:val="bottom"/>
          </w:tcPr>
          <w:p>
            <w:pPr>
              <w:spacing w:after="0"/>
              <w:rPr>
                <w:sz w:val="19"/>
                <w:szCs w:val="19"/>
                <w:color w:val="auto"/>
              </w:rPr>
            </w:pPr>
          </w:p>
        </w:tc>
        <w:tc>
          <w:tcPr>
            <w:tcW w:w="2200" w:type="dxa"/>
            <w:vAlign w:val="bottom"/>
          </w:tcPr>
          <w:p>
            <w:pPr>
              <w:jc w:val="center"/>
              <w:ind w:right="359"/>
              <w:spacing w:after="0"/>
              <w:rPr>
                <w:sz w:val="20"/>
                <w:szCs w:val="20"/>
                <w:color w:val="auto"/>
              </w:rPr>
            </w:pPr>
            <w:r>
              <w:rPr>
                <w:rFonts w:ascii="Arial" w:cs="Arial" w:eastAsia="Arial" w:hAnsi="Arial"/>
                <w:sz w:val="18"/>
                <w:szCs w:val="18"/>
                <w:b w:val="1"/>
                <w:bCs w:val="1"/>
                <w:color w:val="auto"/>
              </w:rPr>
              <w:t>OHIO</w:t>
            </w: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jc w:val="right"/>
              <w:ind w:right="400"/>
              <w:spacing w:after="0"/>
              <w:rPr>
                <w:sz w:val="20"/>
                <w:szCs w:val="20"/>
                <w:color w:val="auto"/>
              </w:rPr>
            </w:pPr>
            <w:r>
              <w:rPr>
                <w:rFonts w:ascii="Arial" w:cs="Arial" w:eastAsia="Arial" w:hAnsi="Arial"/>
                <w:sz w:val="18"/>
                <w:szCs w:val="18"/>
                <w:b w:val="1"/>
                <w:bCs w:val="1"/>
                <w:color w:val="auto"/>
              </w:rPr>
              <w:t>34-1469491</w:t>
            </w:r>
          </w:p>
        </w:tc>
      </w:tr>
      <w:tr>
        <w:trPr>
          <w:trHeight w:val="149"/>
        </w:trPr>
        <w:tc>
          <w:tcPr>
            <w:tcW w:w="2920" w:type="dxa"/>
            <w:vAlign w:val="bottom"/>
            <w:gridSpan w:val="2"/>
          </w:tcPr>
          <w:p>
            <w:pPr>
              <w:jc w:val="center"/>
              <w:ind w:left="20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jc w:val="center"/>
              <w:ind w:left="2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20" w:type="dxa"/>
            <w:vAlign w:val="bottom"/>
            <w:gridSpan w:val="2"/>
          </w:tcPr>
          <w:p>
            <w:pPr>
              <w:jc w:val="center"/>
              <w:ind w:left="204"/>
              <w:spacing w:after="0"/>
              <w:rPr>
                <w:sz w:val="20"/>
                <w:szCs w:val="20"/>
                <w:color w:val="auto"/>
              </w:rPr>
            </w:pPr>
            <w:r>
              <w:rPr>
                <w:rFonts w:ascii="Arial" w:cs="Arial" w:eastAsia="Arial" w:hAnsi="Arial"/>
                <w:sz w:val="14"/>
                <w:szCs w:val="14"/>
                <w:b w:val="1"/>
                <w:bCs w:val="1"/>
                <w:color w:val="auto"/>
                <w:w w:val="94"/>
              </w:rPr>
              <w:t>incorporation or organization)</w:t>
            </w:r>
          </w:p>
        </w:tc>
        <w:tc>
          <w:tcPr>
            <w:tcW w:w="3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Pr>
          <w:p>
            <w:pPr>
              <w:jc w:val="center"/>
              <w:ind w:left="240"/>
              <w:spacing w:after="0"/>
              <w:rPr>
                <w:sz w:val="20"/>
                <w:szCs w:val="20"/>
                <w:color w:val="auto"/>
              </w:rPr>
            </w:pPr>
            <w:r>
              <w:rPr>
                <w:rFonts w:ascii="Arial" w:cs="Arial" w:eastAsia="Arial" w:hAnsi="Arial"/>
                <w:sz w:val="14"/>
                <w:szCs w:val="14"/>
                <w:b w:val="1"/>
                <w:bCs w:val="1"/>
                <w:color w:val="auto"/>
                <w:w w:val="94"/>
              </w:rPr>
              <w:t>Identification No.)</w:t>
            </w:r>
          </w:p>
        </w:tc>
      </w:tr>
      <w:tr>
        <w:trPr>
          <w:trHeight w:val="327"/>
        </w:trPr>
        <w:tc>
          <w:tcPr>
            <w:tcW w:w="6060" w:type="dxa"/>
            <w:vAlign w:val="bottom"/>
            <w:gridSpan w:val="6"/>
          </w:tcPr>
          <w:p>
            <w:pPr>
              <w:jc w:val="center"/>
              <w:ind w:right="2860"/>
              <w:spacing w:after="0"/>
              <w:rPr>
                <w:sz w:val="20"/>
                <w:szCs w:val="20"/>
                <w:color w:val="auto"/>
              </w:rPr>
            </w:pPr>
            <w:r>
              <w:rPr>
                <w:rFonts w:ascii="Arial" w:cs="Arial" w:eastAsia="Arial" w:hAnsi="Arial"/>
                <w:sz w:val="18"/>
                <w:szCs w:val="18"/>
                <w:b w:val="1"/>
                <w:bCs w:val="1"/>
                <w:color w:val="auto"/>
                <w:w w:val="89"/>
              </w:rPr>
              <w:t>307 North Defiance Street, Archbold, Ohio</w:t>
            </w:r>
          </w:p>
        </w:tc>
        <w:tc>
          <w:tcPr>
            <w:tcW w:w="2160" w:type="dxa"/>
            <w:vAlign w:val="bottom"/>
          </w:tcPr>
          <w:p>
            <w:pPr>
              <w:jc w:val="right"/>
              <w:ind w:right="620"/>
              <w:spacing w:after="0"/>
              <w:rPr>
                <w:sz w:val="20"/>
                <w:szCs w:val="20"/>
                <w:color w:val="auto"/>
              </w:rPr>
            </w:pPr>
            <w:r>
              <w:rPr>
                <w:rFonts w:ascii="Arial" w:cs="Arial" w:eastAsia="Arial" w:hAnsi="Arial"/>
                <w:sz w:val="18"/>
                <w:szCs w:val="18"/>
                <w:b w:val="1"/>
                <w:bCs w:val="1"/>
                <w:color w:val="auto"/>
              </w:rPr>
              <w:t>43502</w:t>
            </w:r>
          </w:p>
        </w:tc>
      </w:tr>
      <w:tr>
        <w:trPr>
          <w:trHeight w:val="186"/>
        </w:trPr>
        <w:tc>
          <w:tcPr>
            <w:tcW w:w="2920" w:type="dxa"/>
            <w:vAlign w:val="bottom"/>
            <w:gridSpan w:val="2"/>
          </w:tcPr>
          <w:p>
            <w:pPr>
              <w:jc w:val="center"/>
              <w:ind w:left="204"/>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3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Pr>
          <w:p>
            <w:pPr>
              <w:jc w:val="center"/>
              <w:ind w:left="260"/>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7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0" w:type="dxa"/>
            <w:vAlign w:val="bottom"/>
            <w:gridSpan w:val="2"/>
          </w:tcPr>
          <w:p>
            <w:pPr>
              <w:jc w:val="center"/>
              <w:ind w:left="179"/>
              <w:spacing w:after="0"/>
              <w:rPr>
                <w:sz w:val="20"/>
                <w:szCs w:val="20"/>
                <w:color w:val="auto"/>
              </w:rPr>
            </w:pPr>
            <w:r>
              <w:rPr>
                <w:rFonts w:ascii="Arial" w:cs="Arial" w:eastAsia="Arial" w:hAnsi="Arial"/>
                <w:sz w:val="18"/>
                <w:szCs w:val="18"/>
                <w:b w:val="1"/>
                <w:bCs w:val="1"/>
                <w:color w:val="auto"/>
                <w:w w:val="89"/>
              </w:rPr>
              <w:t>(419) 446-2501</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44"/>
        </w:trPr>
        <w:tc>
          <w:tcPr>
            <w:tcW w:w="7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140" w:type="dxa"/>
            <w:vAlign w:val="bottom"/>
            <w:gridSpan w:val="4"/>
          </w:tcPr>
          <w:p>
            <w:pPr>
              <w:jc w:val="center"/>
              <w:ind w:right="80"/>
              <w:spacing w:after="0" w:line="145" w:lineRule="exact"/>
              <w:rPr>
                <w:sz w:val="20"/>
                <w:szCs w:val="20"/>
                <w:color w:val="auto"/>
              </w:rPr>
            </w:pPr>
            <w:r>
              <w:rPr>
                <w:rFonts w:ascii="Arial" w:cs="Arial" w:eastAsia="Arial" w:hAnsi="Arial"/>
                <w:sz w:val="14"/>
                <w:szCs w:val="14"/>
                <w:b w:val="1"/>
                <w:bCs w:val="1"/>
                <w:color w:val="auto"/>
                <w:w w:val="88"/>
              </w:rPr>
              <w:t>Registrant’s telephone number, including area code</w:t>
            </w:r>
          </w:p>
        </w:tc>
        <w:tc>
          <w:tcPr>
            <w:tcW w:w="2160" w:type="dxa"/>
            <w:vAlign w:val="bottom"/>
          </w:tcPr>
          <w:p>
            <w:pPr>
              <w:spacing w:after="0"/>
              <w:rPr>
                <w:sz w:val="12"/>
                <w:szCs w:val="12"/>
                <w:color w:val="auto"/>
              </w:rPr>
            </w:pPr>
          </w:p>
        </w:tc>
      </w:tr>
      <w:tr>
        <w:trPr>
          <w:trHeight w:val="194"/>
        </w:trPr>
        <w:tc>
          <w:tcPr>
            <w:tcW w:w="720" w:type="dxa"/>
            <w:vAlign w:val="bottom"/>
          </w:tcPr>
          <w:p>
            <w:pPr>
              <w:spacing w:after="0"/>
              <w:rPr>
                <w:sz w:val="16"/>
                <w:szCs w:val="16"/>
                <w:color w:val="auto"/>
              </w:rPr>
            </w:pPr>
          </w:p>
        </w:tc>
        <w:tc>
          <w:tcPr>
            <w:tcW w:w="7500" w:type="dxa"/>
            <w:vAlign w:val="bottom"/>
            <w:gridSpan w:val="6"/>
          </w:tcPr>
          <w:p>
            <w:pPr>
              <w:jc w:val="center"/>
              <w:spacing w:after="0"/>
              <w:rPr>
                <w:sz w:val="20"/>
                <w:szCs w:val="20"/>
                <w:color w:val="auto"/>
              </w:rPr>
            </w:pPr>
            <w:r>
              <w:rPr>
                <w:rFonts w:ascii="Arial" w:cs="Arial" w:eastAsia="Arial" w:hAnsi="Arial"/>
                <w:sz w:val="14"/>
                <w:szCs w:val="14"/>
                <w:b w:val="1"/>
                <w:bCs w:val="1"/>
                <w:color w:val="auto"/>
                <w:w w:val="89"/>
              </w:rPr>
              <w:t>(Former name, former address and former fiscal year, if changed since last report.)</w:t>
            </w:r>
          </w:p>
        </w:tc>
      </w:tr>
      <w:tr>
        <w:trPr>
          <w:trHeight w:val="22"/>
        </w:trPr>
        <w:tc>
          <w:tcPr>
            <w:tcW w:w="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5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r>
      <w:tr>
        <w:trPr>
          <w:trHeight w:val="294"/>
        </w:trPr>
        <w:tc>
          <w:tcPr>
            <w:tcW w:w="720" w:type="dxa"/>
            <w:vAlign w:val="bottom"/>
          </w:tcPr>
          <w:p>
            <w:pPr>
              <w:spacing w:after="0"/>
              <w:rPr>
                <w:sz w:val="24"/>
                <w:szCs w:val="24"/>
                <w:color w:val="auto"/>
              </w:rPr>
            </w:pPr>
          </w:p>
        </w:tc>
        <w:tc>
          <w:tcPr>
            <w:tcW w:w="75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color w:val="auto"/>
                <w:w w:val="89"/>
              </w:rPr>
              <w:t>Securities registered pursuant to Section 12(b) of the Act:</w:t>
            </w:r>
          </w:p>
        </w:tc>
      </w:tr>
      <w:tr>
        <w:trPr>
          <w:trHeight w:val="199"/>
        </w:trPr>
        <w:tc>
          <w:tcPr>
            <w:tcW w:w="720" w:type="dxa"/>
            <w:vAlign w:val="bottom"/>
            <w:tcBorders>
              <w:right w:val="single" w:sz="8" w:color="auto"/>
            </w:tcBorders>
          </w:tcPr>
          <w:p>
            <w:pPr>
              <w:spacing w:after="0"/>
              <w:rPr>
                <w:sz w:val="17"/>
                <w:szCs w:val="17"/>
                <w:color w:val="auto"/>
              </w:rPr>
            </w:pPr>
          </w:p>
        </w:tc>
        <w:tc>
          <w:tcPr>
            <w:tcW w:w="220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w w:val="88"/>
              </w:rPr>
              <w:t>Title of each class</w:t>
            </w:r>
          </w:p>
        </w:tc>
        <w:tc>
          <w:tcPr>
            <w:tcW w:w="300" w:type="dxa"/>
            <w:vAlign w:val="bottom"/>
            <w:tcBorders>
              <w:bottom w:val="single" w:sz="8" w:color="auto"/>
              <w:right w:val="single" w:sz="8" w:color="auto"/>
            </w:tcBorders>
          </w:tcPr>
          <w:p>
            <w:pPr>
              <w:spacing w:after="0"/>
              <w:rPr>
                <w:sz w:val="17"/>
                <w:szCs w:val="17"/>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Trading Symbol(s)</w:t>
            </w: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60" w:type="dxa"/>
            <w:vAlign w:val="bottom"/>
            <w:tcBorders>
              <w:bottom w:val="single" w:sz="8" w:color="auto"/>
              <w:right w:val="single" w:sz="8" w:color="auto"/>
            </w:tcBorders>
          </w:tcPr>
          <w:p>
            <w:pPr>
              <w:jc w:val="center"/>
              <w:ind w:right="280"/>
              <w:spacing w:after="0"/>
              <w:rPr>
                <w:sz w:val="20"/>
                <w:szCs w:val="20"/>
                <w:color w:val="auto"/>
              </w:rPr>
            </w:pPr>
            <w:r>
              <w:rPr>
                <w:rFonts w:ascii="Arial" w:cs="Arial" w:eastAsia="Arial" w:hAnsi="Arial"/>
                <w:sz w:val="16"/>
                <w:szCs w:val="16"/>
                <w:color w:val="auto"/>
                <w:w w:val="88"/>
              </w:rPr>
              <w:t>Name of Each Exchange</w:t>
            </w:r>
          </w:p>
        </w:tc>
      </w:tr>
      <w:tr>
        <w:trPr>
          <w:trHeight w:val="205"/>
        </w:trPr>
        <w:tc>
          <w:tcPr>
            <w:tcW w:w="720" w:type="dxa"/>
            <w:vAlign w:val="bottom"/>
            <w:tcBorders>
              <w:right w:val="single" w:sz="8" w:color="auto"/>
            </w:tcBorders>
          </w:tcPr>
          <w:p>
            <w:pPr>
              <w:spacing w:after="0"/>
              <w:rPr>
                <w:sz w:val="17"/>
                <w:szCs w:val="17"/>
                <w:color w:val="auto"/>
              </w:rPr>
            </w:pPr>
          </w:p>
        </w:tc>
        <w:tc>
          <w:tcPr>
            <w:tcW w:w="220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89"/>
              </w:rPr>
              <w:t>Common Stock, No Par Value</w:t>
            </w:r>
          </w:p>
        </w:tc>
        <w:tc>
          <w:tcPr>
            <w:tcW w:w="300" w:type="dxa"/>
            <w:vAlign w:val="bottom"/>
            <w:tcBorders>
              <w:bottom w:val="single" w:sz="8" w:color="auto"/>
              <w:right w:val="single" w:sz="8" w:color="auto"/>
            </w:tcBorders>
          </w:tcPr>
          <w:p>
            <w:pPr>
              <w:spacing w:after="0"/>
              <w:rPr>
                <w:sz w:val="17"/>
                <w:szCs w:val="17"/>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FMAO</w:t>
            </w:r>
          </w:p>
        </w:tc>
        <w:tc>
          <w:tcPr>
            <w:tcW w:w="340" w:type="dxa"/>
            <w:vAlign w:val="bottom"/>
            <w:tcBorders>
              <w:bottom w:val="single" w:sz="8" w:color="auto"/>
            </w:tcBorders>
            <w:gridSpan w:val="2"/>
          </w:tcPr>
          <w:p>
            <w:pPr>
              <w:spacing w:after="0"/>
              <w:rPr>
                <w:sz w:val="17"/>
                <w:szCs w:val="17"/>
                <w:color w:val="auto"/>
              </w:rPr>
            </w:pPr>
          </w:p>
        </w:tc>
        <w:tc>
          <w:tcPr>
            <w:tcW w:w="2160" w:type="dxa"/>
            <w:vAlign w:val="bottom"/>
            <w:tcBorders>
              <w:bottom w:val="single" w:sz="8" w:color="auto"/>
              <w:right w:val="single" w:sz="8" w:color="auto"/>
            </w:tcBorders>
          </w:tcPr>
          <w:p>
            <w:pPr>
              <w:jc w:val="center"/>
              <w:ind w:right="280"/>
              <w:spacing w:after="0"/>
              <w:rPr>
                <w:sz w:val="20"/>
                <w:szCs w:val="20"/>
                <w:color w:val="auto"/>
              </w:rPr>
            </w:pPr>
            <w:r>
              <w:rPr>
                <w:rFonts w:ascii="Arial" w:cs="Arial" w:eastAsia="Arial" w:hAnsi="Arial"/>
                <w:sz w:val="16"/>
                <w:szCs w:val="16"/>
                <w:color w:val="auto"/>
                <w:w w:val="93"/>
              </w:rPr>
              <w:t>NASDAQ Capital Market</w:t>
            </w:r>
          </w:p>
        </w:tc>
      </w:tr>
    </w:tbl>
    <w:p>
      <w:pPr>
        <w:spacing w:after="0" w:line="193" w:lineRule="exact"/>
        <w:rPr>
          <w:sz w:val="24"/>
          <w:szCs w:val="24"/>
          <w:color w:val="auto"/>
        </w:rPr>
      </w:pPr>
    </w:p>
    <w:p>
      <w:pPr>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340" w:hanging="332"/>
        <w:spacing w:after="0" w:line="184" w:lineRule="exact"/>
        <w:tabs>
          <w:tab w:leader="none" w:pos="3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6" w:lineRule="exact"/>
        <w:rPr>
          <w:sz w:val="24"/>
          <w:szCs w:val="24"/>
          <w:color w:val="auto"/>
        </w:rPr>
      </w:pPr>
    </w:p>
    <w:p>
      <w:pPr>
        <w:ind w:right="20"/>
        <w:spacing w:after="0" w:line="34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59" w:lineRule="exact"/>
        <w:rPr>
          <w:sz w:val="24"/>
          <w:szCs w:val="24"/>
          <w:color w:val="auto"/>
        </w:rPr>
      </w:pPr>
    </w:p>
    <w:p>
      <w:pPr>
        <w:ind w:right="4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Indicated by check mark whether the registrant is a shell company (as defined in Rule 12b-2 of the Exchange Act).</w:t>
      </w:r>
    </w:p>
    <w:p>
      <w:pPr>
        <w:sectPr>
          <w:pgSz w:w="11900" w:h="16838" w:orient="portrait"/>
          <w:cols w:equalWidth="0" w:num="1">
            <w:col w:w="11420"/>
          </w:cols>
          <w:pgMar w:left="240" w:top="580" w:right="239" w:bottom="1440" w:gutter="0" w:footer="0" w:header="0"/>
        </w:sectPr>
      </w:pPr>
    </w:p>
    <w:p>
      <w:pPr>
        <w:spacing w:after="0" w:line="70"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39" w:lineRule="exact"/>
        <w:rPr>
          <w:sz w:val="24"/>
          <w:szCs w:val="24"/>
          <w:color w:val="auto"/>
        </w:rPr>
      </w:pPr>
    </w:p>
    <w:p>
      <w:pPr>
        <w:sectPr>
          <w:pgSz w:w="11900" w:h="16838" w:orient="portrait"/>
          <w:cols w:equalWidth="0" w:num="2">
            <w:col w:w="420" w:space="160"/>
            <w:col w:w="10840"/>
          </w:cols>
          <w:pgMar w:left="240" w:top="580" w:right="239" w:bottom="1440" w:gutter="0" w:footer="0" w:header="0"/>
          <w:type w:val="continuous"/>
        </w:sectPr>
      </w:pPr>
    </w:p>
    <w:p>
      <w:pPr>
        <w:spacing w:after="0"/>
        <w:rPr>
          <w:sz w:val="20"/>
          <w:szCs w:val="20"/>
          <w:color w:val="auto"/>
        </w:rPr>
      </w:pPr>
      <w:r>
        <w:rPr>
          <w:rFonts w:ascii="Arial" w:cs="Arial" w:eastAsia="Arial" w:hAnsi="Arial"/>
          <w:sz w:val="14"/>
          <w:szCs w:val="14"/>
          <w:color w:val="auto"/>
        </w:rPr>
        <w:t>Indicate the number of shares of each of the issuers’ classes of common stock, as of the latest practicable date:</w:t>
      </w:r>
    </w:p>
    <w:p>
      <w:pPr>
        <w:sectPr>
          <w:pgSz w:w="11900" w:h="16838" w:orient="portrait"/>
          <w:cols w:equalWidth="0" w:num="1">
            <w:col w:w="11420"/>
          </w:cols>
          <w:pgMar w:left="240" w:top="580" w:right="239" w:bottom="1440" w:gutter="0" w:footer="0" w:header="0"/>
          <w:type w:val="continuous"/>
        </w:sectPr>
      </w:pPr>
    </w:p>
    <w:p>
      <w:pPr>
        <w:spacing w:after="0" w:line="123" w:lineRule="exact"/>
        <w:rPr>
          <w:sz w:val="24"/>
          <w:szCs w:val="24"/>
          <w:color w:val="auto"/>
        </w:rPr>
      </w:pPr>
    </w:p>
    <w:p>
      <w:pPr>
        <w:jc w:val="center"/>
        <w:ind w:right="1060"/>
        <w:spacing w:after="0"/>
        <w:rPr>
          <w:sz w:val="20"/>
          <w:szCs w:val="20"/>
          <w:color w:val="auto"/>
        </w:rPr>
      </w:pPr>
      <w:r>
        <w:rPr>
          <w:rFonts w:ascii="Arial" w:cs="Arial" w:eastAsia="Arial" w:hAnsi="Arial"/>
          <w:sz w:val="14"/>
          <w:szCs w:val="14"/>
          <w:u w:val="single" w:color="auto"/>
          <w:color w:val="auto"/>
        </w:rPr>
        <w:t>Common Stock, No Par Value</w:t>
      </w:r>
    </w:p>
    <w:p>
      <w:pPr>
        <w:spacing w:after="0" w:line="45" w:lineRule="exact"/>
        <w:rPr>
          <w:sz w:val="24"/>
          <w:szCs w:val="24"/>
          <w:color w:val="auto"/>
        </w:rPr>
      </w:pPr>
    </w:p>
    <w:p>
      <w:pPr>
        <w:jc w:val="center"/>
        <w:ind w:right="1060"/>
        <w:spacing w:after="0"/>
        <w:rPr>
          <w:sz w:val="20"/>
          <w:szCs w:val="20"/>
          <w:color w:val="auto"/>
        </w:rPr>
      </w:pPr>
      <w:r>
        <w:rPr>
          <w:rFonts w:ascii="Arial" w:cs="Arial" w:eastAsia="Arial" w:hAnsi="Arial"/>
          <w:sz w:val="16"/>
          <w:szCs w:val="16"/>
          <w:color w:val="auto"/>
        </w:rPr>
        <w:t>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jc w:val="center"/>
        <w:ind w:right="1780"/>
        <w:spacing w:after="0"/>
        <w:rPr>
          <w:sz w:val="20"/>
          <w:szCs w:val="20"/>
          <w:color w:val="auto"/>
        </w:rPr>
      </w:pPr>
      <w:r>
        <w:rPr>
          <w:rFonts w:ascii="Arial" w:cs="Arial" w:eastAsia="Arial" w:hAnsi="Arial"/>
          <w:sz w:val="16"/>
          <w:szCs w:val="16"/>
          <w:u w:val="single" w:color="auto"/>
          <w:color w:val="auto"/>
        </w:rPr>
        <w:t>11,106,183</w:t>
      </w:r>
    </w:p>
    <w:p>
      <w:pPr>
        <w:spacing w:after="0" w:line="22" w:lineRule="exact"/>
        <w:rPr>
          <w:sz w:val="24"/>
          <w:szCs w:val="24"/>
          <w:color w:val="auto"/>
        </w:rPr>
      </w:pPr>
    </w:p>
    <w:p>
      <w:pPr>
        <w:jc w:val="center"/>
        <w:ind w:right="1780"/>
        <w:spacing w:after="0"/>
        <w:rPr>
          <w:sz w:val="20"/>
          <w:szCs w:val="20"/>
          <w:color w:val="auto"/>
        </w:rPr>
      </w:pPr>
      <w:r>
        <w:rPr>
          <w:rFonts w:ascii="Arial" w:cs="Arial" w:eastAsia="Arial" w:hAnsi="Arial"/>
          <w:sz w:val="14"/>
          <w:szCs w:val="14"/>
          <w:color w:val="auto"/>
        </w:rPr>
        <w:t>Outstanding as of July 19, 2019</w:t>
      </w:r>
    </w:p>
    <w:p>
      <w:pPr>
        <w:spacing w:after="0" w:line="222" w:lineRule="exact"/>
        <w:rPr>
          <w:sz w:val="24"/>
          <w:szCs w:val="24"/>
          <w:color w:val="auto"/>
        </w:rPr>
      </w:pPr>
    </w:p>
    <w:p>
      <w:pPr>
        <w:sectPr>
          <w:pgSz w:w="11900" w:h="16838" w:orient="portrait"/>
          <w:cols w:equalWidth="0" w:num="2">
            <w:col w:w="6920" w:space="720"/>
            <w:col w:w="3780"/>
          </w:cols>
          <w:pgMar w:left="240" w:top="580" w:right="239" w:bottom="1440" w:gutter="0" w:footer="0" w:header="0"/>
          <w:type w:val="continuous"/>
        </w:sectPr>
      </w:pP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10Q</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80" w:type="dxa"/>
            <w:vAlign w:val="bottom"/>
            <w:gridSpan w:val="30"/>
          </w:tcPr>
          <w:p>
            <w:pPr>
              <w:spacing w:after="0"/>
              <w:rPr>
                <w:sz w:val="20"/>
                <w:szCs w:val="20"/>
                <w:color w:val="auto"/>
              </w:rPr>
            </w:pPr>
            <w:r>
              <w:rPr>
                <w:rFonts w:ascii="Arial" w:cs="Arial" w:eastAsia="Arial" w:hAnsi="Arial"/>
                <w:sz w:val="18"/>
                <w:szCs w:val="18"/>
                <w:color w:val="auto"/>
              </w:rPr>
              <w:t>FARMERS &amp; MERCHANTS BANCORP, INC.</w:t>
            </w:r>
          </w:p>
        </w:tc>
        <w:tc>
          <w:tcPr>
            <w:tcW w:w="2680" w:type="dxa"/>
            <w:vAlign w:val="bottom"/>
          </w:tcPr>
          <w:p>
            <w:pPr>
              <w:spacing w:after="0"/>
              <w:rPr>
                <w:sz w:val="18"/>
                <w:szCs w:val="18"/>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INDEX</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03"/>
        </w:trPr>
        <w:tc>
          <w:tcPr>
            <w:tcW w:w="660" w:type="dxa"/>
            <w:vAlign w:val="bottom"/>
          </w:tcPr>
          <w:p>
            <w:pPr>
              <w:spacing w:after="0"/>
              <w:rPr>
                <w:sz w:val="17"/>
                <w:szCs w:val="17"/>
                <w:color w:val="auto"/>
              </w:rPr>
            </w:pPr>
          </w:p>
        </w:tc>
        <w:tc>
          <w:tcPr>
            <w:tcW w:w="1260" w:type="dxa"/>
            <w:vAlign w:val="bottom"/>
            <w:tcBorders>
              <w:bottom w:val="single" w:sz="8" w:color="auto"/>
            </w:tcBorders>
            <w:gridSpan w:val="3"/>
          </w:tcPr>
          <w:p>
            <w:pPr>
              <w:spacing w:after="0" w:line="202" w:lineRule="exact"/>
              <w:rPr>
                <w:sz w:val="20"/>
                <w:szCs w:val="20"/>
                <w:color w:val="auto"/>
              </w:rPr>
            </w:pPr>
            <w:r>
              <w:rPr>
                <w:rFonts w:ascii="Arial" w:cs="Arial" w:eastAsia="Arial" w:hAnsi="Arial"/>
                <w:sz w:val="18"/>
                <w:szCs w:val="18"/>
                <w:color w:val="auto"/>
                <w:w w:val="91"/>
              </w:rPr>
              <w:t>Form 10-Q Items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80" w:type="dxa"/>
            <w:vAlign w:val="bottom"/>
          </w:tcPr>
          <w:p>
            <w:pPr>
              <w:ind w:left="2300"/>
              <w:spacing w:after="0" w:line="202" w:lineRule="exact"/>
              <w:rPr>
                <w:sz w:val="20"/>
                <w:szCs w:val="20"/>
                <w:color w:val="auto"/>
              </w:rPr>
            </w:pPr>
            <w:r>
              <w:rPr>
                <w:rFonts w:ascii="Arial" w:cs="Arial" w:eastAsia="Arial" w:hAnsi="Arial"/>
                <w:sz w:val="18"/>
                <w:szCs w:val="18"/>
                <w:color w:val="auto"/>
                <w:w w:val="85"/>
              </w:rPr>
              <w:t>Page</w:t>
            </w:r>
          </w:p>
        </w:tc>
      </w:tr>
      <w:tr>
        <w:trPr>
          <w:trHeight w:val="237"/>
        </w:trPr>
        <w:tc>
          <w:tcPr>
            <w:tcW w:w="66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PART I.</w:t>
            </w:r>
          </w:p>
        </w:tc>
        <w:tc>
          <w:tcPr>
            <w:tcW w:w="780" w:type="dxa"/>
            <w:vAlign w:val="bottom"/>
          </w:tcPr>
          <w:p>
            <w:pPr>
              <w:spacing w:after="0"/>
              <w:rPr>
                <w:sz w:val="20"/>
                <w:szCs w:val="20"/>
                <w:color w:val="auto"/>
              </w:rPr>
            </w:pPr>
          </w:p>
        </w:tc>
        <w:tc>
          <w:tcPr>
            <w:tcW w:w="226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INFORMATION</w:t>
              </w:r>
            </w:hyperlink>
          </w:p>
        </w:tc>
        <w:tc>
          <w:tcPr>
            <w:tcW w:w="3120" w:type="dxa"/>
            <w:vAlign w:val="bottom"/>
            <w:gridSpan w:val="14"/>
          </w:tcPr>
          <w:p>
            <w:pPr>
              <w:spacing w:after="0"/>
              <w:rPr>
                <w:sz w:val="20"/>
                <w:szCs w:val="20"/>
                <w:color w:val="auto"/>
              </w:rPr>
            </w:pPr>
          </w:p>
        </w:tc>
        <w:tc>
          <w:tcPr>
            <w:tcW w:w="2680" w:type="dxa"/>
            <w:vAlign w:val="bottom"/>
          </w:tcPr>
          <w:p>
            <w:pPr>
              <w:spacing w:after="0"/>
              <w:rPr>
                <w:sz w:val="20"/>
                <w:szCs w:val="20"/>
                <w:color w:val="auto"/>
              </w:rPr>
            </w:pPr>
          </w:p>
        </w:tc>
      </w:tr>
      <w:tr>
        <w:trPr>
          <w:trHeight w:val="372"/>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2960" w:type="dxa"/>
            <w:vAlign w:val="bottom"/>
            <w:gridSpan w:val="12"/>
          </w:tcPr>
          <w:p>
            <w:pPr>
              <w:spacing w:after="0"/>
              <w:rPr>
                <w:sz w:val="24"/>
                <w:szCs w:val="24"/>
                <w:color w:val="auto"/>
              </w:rPr>
            </w:pPr>
          </w:p>
        </w:tc>
        <w:tc>
          <w:tcPr>
            <w:tcW w:w="268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4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w:t>
              </w:r>
            </w:hyperlink>
          </w:p>
        </w:tc>
        <w:tc>
          <w:tcPr>
            <w:tcW w:w="2340" w:type="dxa"/>
            <w:vAlign w:val="bottom"/>
            <w:gridSpan w:val="10"/>
          </w:tcPr>
          <w:p>
            <w:pPr>
              <w:spacing w:after="0"/>
              <w:rPr>
                <w:sz w:val="24"/>
                <w:szCs w:val="24"/>
                <w:color w:val="auto"/>
              </w:rPr>
            </w:pPr>
          </w:p>
        </w:tc>
        <w:tc>
          <w:tcPr>
            <w:tcW w:w="268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gridSpan w:val="2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 xml:space="preserve">June 30, 2019 and </w:t>
              </w:r>
              <w:r>
                <w:rPr>
                  <w:rFonts w:ascii="Arial" w:cs="Arial" w:eastAsia="Arial" w:hAnsi="Arial"/>
                  <w:sz w:val="18"/>
                  <w:szCs w:val="18"/>
                  <w:color w:val="000000"/>
                </w:rPr>
                <w:t>December 31, 2018</w:t>
              </w:r>
            </w:hyperlink>
          </w:p>
        </w:tc>
        <w:tc>
          <w:tcPr>
            <w:tcW w:w="2680" w:type="dxa"/>
            <w:vAlign w:val="bottom"/>
          </w:tcPr>
          <w:p>
            <w:pPr>
              <w:jc w:val="center"/>
              <w:ind w:left="2170"/>
              <w:spacing w:after="0" w:line="196" w:lineRule="exact"/>
              <w:rPr>
                <w:sz w:val="20"/>
                <w:szCs w:val="20"/>
                <w:color w:val="auto"/>
              </w:rPr>
            </w:pPr>
            <w:r>
              <w:rPr>
                <w:rFonts w:ascii="Arial" w:cs="Arial" w:eastAsia="Arial" w:hAnsi="Arial"/>
                <w:sz w:val="18"/>
                <w:szCs w:val="18"/>
                <w:color w:val="auto"/>
                <w:w w:val="99"/>
              </w:rPr>
              <w:t>3</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Income -</w:t>
              </w:r>
            </w:hyperlink>
          </w:p>
        </w:tc>
        <w:tc>
          <w:tcPr>
            <w:tcW w:w="1820" w:type="dxa"/>
            <w:vAlign w:val="bottom"/>
            <w:gridSpan w:val="9"/>
          </w:tcPr>
          <w:p>
            <w:pPr>
              <w:spacing w:after="0"/>
              <w:rPr>
                <w:sz w:val="24"/>
                <w:szCs w:val="24"/>
                <w:color w:val="auto"/>
              </w:rPr>
            </w:pPr>
          </w:p>
        </w:tc>
        <w:tc>
          <w:tcPr>
            <w:tcW w:w="268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2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Three and Six Months Ended June 30, 2019 and June 30, 2018</w:t>
              </w:r>
            </w:hyperlink>
          </w:p>
        </w:tc>
        <w:tc>
          <w:tcPr>
            <w:tcW w:w="620" w:type="dxa"/>
            <w:vAlign w:val="bottom"/>
          </w:tcPr>
          <w:p>
            <w:pPr>
              <w:spacing w:after="0"/>
              <w:rPr>
                <w:sz w:val="17"/>
                <w:szCs w:val="17"/>
                <w:color w:val="auto"/>
              </w:rPr>
            </w:pPr>
          </w:p>
        </w:tc>
        <w:tc>
          <w:tcPr>
            <w:tcW w:w="2680" w:type="dxa"/>
            <w:vAlign w:val="bottom"/>
          </w:tcPr>
          <w:p>
            <w:pPr>
              <w:jc w:val="center"/>
              <w:ind w:left="2170"/>
              <w:spacing w:after="0" w:line="196" w:lineRule="exact"/>
              <w:rPr>
                <w:sz w:val="20"/>
                <w:szCs w:val="20"/>
                <w:color w:val="auto"/>
              </w:rPr>
            </w:pPr>
            <w:r>
              <w:rPr>
                <w:rFonts w:ascii="Arial" w:cs="Arial" w:eastAsia="Arial" w:hAnsi="Arial"/>
                <w:sz w:val="18"/>
                <w:szCs w:val="18"/>
                <w:color w:val="auto"/>
                <w:w w:val="99"/>
              </w:rPr>
              <w:t>4</w:t>
            </w:r>
          </w:p>
        </w:tc>
      </w:tr>
      <w:tr>
        <w:trPr>
          <w:trHeight w:val="34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2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w:t>
              </w:r>
            </w:hyperlink>
          </w:p>
        </w:tc>
        <w:tc>
          <w:tcPr>
            <w:tcW w:w="660" w:type="dxa"/>
            <w:vAlign w:val="bottom"/>
            <w:gridSpan w:val="2"/>
          </w:tcPr>
          <w:p>
            <w:pPr>
              <w:spacing w:after="0"/>
              <w:rPr>
                <w:sz w:val="24"/>
                <w:szCs w:val="24"/>
                <w:color w:val="auto"/>
              </w:rPr>
            </w:pPr>
          </w:p>
        </w:tc>
        <w:tc>
          <w:tcPr>
            <w:tcW w:w="268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2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Three and Six Months Ended June 30, 2019 and June 30, 2018</w:t>
              </w:r>
            </w:hyperlink>
          </w:p>
        </w:tc>
        <w:tc>
          <w:tcPr>
            <w:tcW w:w="620" w:type="dxa"/>
            <w:vAlign w:val="bottom"/>
          </w:tcPr>
          <w:p>
            <w:pPr>
              <w:spacing w:after="0"/>
              <w:rPr>
                <w:sz w:val="17"/>
                <w:szCs w:val="17"/>
                <w:color w:val="auto"/>
              </w:rPr>
            </w:pPr>
          </w:p>
        </w:tc>
        <w:tc>
          <w:tcPr>
            <w:tcW w:w="2680" w:type="dxa"/>
            <w:vAlign w:val="bottom"/>
          </w:tcPr>
          <w:p>
            <w:pPr>
              <w:jc w:val="center"/>
              <w:ind w:left="2170"/>
              <w:spacing w:after="0" w:line="196" w:lineRule="exact"/>
              <w:rPr>
                <w:sz w:val="20"/>
                <w:szCs w:val="20"/>
                <w:color w:val="auto"/>
              </w:rPr>
            </w:pPr>
            <w:r>
              <w:rPr>
                <w:rFonts w:ascii="Arial" w:cs="Arial" w:eastAsia="Arial" w:hAnsi="Arial"/>
                <w:sz w:val="18"/>
                <w:szCs w:val="18"/>
                <w:color w:val="auto"/>
                <w:w w:val="99"/>
              </w:rPr>
              <w:t>5</w:t>
            </w:r>
          </w:p>
        </w:tc>
      </w:tr>
      <w:tr>
        <w:trPr>
          <w:trHeight w:val="34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8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Changes to Stockholders’ Equity -</w:t>
              </w:r>
            </w:hyperlink>
          </w:p>
        </w:tc>
        <w:tc>
          <w:tcPr>
            <w:tcW w:w="268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2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Three and Six Months Ended June 30, 2019 and June 30, 2018</w:t>
              </w:r>
            </w:hyperlink>
          </w:p>
        </w:tc>
        <w:tc>
          <w:tcPr>
            <w:tcW w:w="620" w:type="dxa"/>
            <w:vAlign w:val="bottom"/>
          </w:tcPr>
          <w:p>
            <w:pPr>
              <w:spacing w:after="0"/>
              <w:rPr>
                <w:sz w:val="17"/>
                <w:szCs w:val="17"/>
                <w:color w:val="auto"/>
              </w:rPr>
            </w:pPr>
          </w:p>
        </w:tc>
        <w:tc>
          <w:tcPr>
            <w:tcW w:w="2680" w:type="dxa"/>
            <w:vAlign w:val="bottom"/>
          </w:tcPr>
          <w:p>
            <w:pPr>
              <w:jc w:val="center"/>
              <w:ind w:left="2150"/>
              <w:spacing w:after="0" w:line="196" w:lineRule="exact"/>
              <w:rPr>
                <w:sz w:val="20"/>
                <w:szCs w:val="20"/>
                <w:color w:val="auto"/>
              </w:rPr>
            </w:pPr>
            <w:r>
              <w:rPr>
                <w:rFonts w:ascii="Arial" w:cs="Arial" w:eastAsia="Arial" w:hAnsi="Arial"/>
                <w:sz w:val="18"/>
                <w:szCs w:val="18"/>
                <w:color w:val="auto"/>
                <w:w w:val="92"/>
              </w:rPr>
              <w:t>6-7</w:t>
            </w:r>
          </w:p>
        </w:tc>
      </w:tr>
      <w:tr>
        <w:trPr>
          <w:trHeight w:val="439"/>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w:t>
              </w:r>
            </w:hyperlink>
          </w:p>
        </w:tc>
        <w:tc>
          <w:tcPr>
            <w:tcW w:w="1520" w:type="dxa"/>
            <w:vAlign w:val="bottom"/>
            <w:gridSpan w:val="8"/>
          </w:tcPr>
          <w:p>
            <w:pPr>
              <w:spacing w:after="0"/>
              <w:rPr>
                <w:sz w:val="24"/>
                <w:szCs w:val="24"/>
                <w:color w:val="auto"/>
              </w:rPr>
            </w:pPr>
          </w:p>
        </w:tc>
        <w:tc>
          <w:tcPr>
            <w:tcW w:w="268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gridSpan w:val="2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Six Months Ended June 30, 2019 and June 30, 2018</w:t>
              </w:r>
            </w:hyperlink>
          </w:p>
        </w:tc>
        <w:tc>
          <w:tcPr>
            <w:tcW w:w="2680" w:type="dxa"/>
            <w:vAlign w:val="bottom"/>
          </w:tcPr>
          <w:p>
            <w:pPr>
              <w:jc w:val="center"/>
              <w:ind w:left="2150"/>
              <w:spacing w:after="0" w:line="196" w:lineRule="exact"/>
              <w:rPr>
                <w:sz w:val="20"/>
                <w:szCs w:val="20"/>
                <w:color w:val="auto"/>
              </w:rPr>
            </w:pPr>
            <w:r>
              <w:rPr>
                <w:rFonts w:ascii="Arial" w:cs="Arial" w:eastAsia="Arial" w:hAnsi="Arial"/>
                <w:sz w:val="18"/>
                <w:szCs w:val="18"/>
                <w:color w:val="auto"/>
                <w:w w:val="92"/>
              </w:rPr>
              <w:t>8-9</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Condensed Consolidated Financial Statements</w:t>
              </w:r>
            </w:hyperlink>
          </w:p>
        </w:tc>
        <w:tc>
          <w:tcPr>
            <w:tcW w:w="1380" w:type="dxa"/>
            <w:vAlign w:val="bottom"/>
            <w:gridSpan w:val="6"/>
          </w:tcPr>
          <w:p>
            <w:pPr>
              <w:spacing w:after="0"/>
              <w:rPr>
                <w:sz w:val="24"/>
                <w:szCs w:val="24"/>
                <w:color w:val="auto"/>
              </w:rPr>
            </w:pPr>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89"/>
              </w:rPr>
              <w:t>10</w:t>
            </w:r>
          </w:p>
        </w:tc>
      </w:tr>
      <w:tr>
        <w:trPr>
          <w:trHeight w:val="34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80" w:type="dxa"/>
            <w:vAlign w:val="bottom"/>
            <w:tcBorders>
              <w:bottom w:val="single" w:sz="8" w:color="0000EE"/>
            </w:tcBorders>
            <w:gridSpan w:val="22"/>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Management's Discussion and Analysis of Financial Condition</w:t>
              </w:r>
            </w:hyperlink>
          </w:p>
        </w:tc>
        <w:tc>
          <w:tcPr>
            <w:tcW w:w="800" w:type="dxa"/>
            <w:vAlign w:val="bottom"/>
            <w:gridSpan w:val="3"/>
          </w:tcPr>
          <w:p>
            <w:pPr>
              <w:spacing w:after="0"/>
              <w:rPr>
                <w:sz w:val="24"/>
                <w:szCs w:val="24"/>
                <w:color w:val="auto"/>
              </w:rPr>
            </w:pPr>
          </w:p>
        </w:tc>
        <w:tc>
          <w:tcPr>
            <w:tcW w:w="268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line="196" w:lineRule="exact"/>
              <w:rPr>
                <w:sz w:val="20"/>
                <w:szCs w:val="20"/>
                <w:color w:val="auto"/>
              </w:rPr>
            </w:pPr>
            <w:r>
              <w:rPr>
                <w:rFonts w:ascii="Arial" w:cs="Arial" w:eastAsia="Arial" w:hAnsi="Arial"/>
                <w:sz w:val="18"/>
                <w:szCs w:val="18"/>
                <w:color w:val="auto"/>
              </w:rPr>
              <w:t>2.</w:t>
            </w: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gridSpan w:val="2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and Results of Operations</w:t>
              </w:r>
            </w:hyperlink>
          </w:p>
        </w:tc>
        <w:tc>
          <w:tcPr>
            <w:tcW w:w="2680" w:type="dxa"/>
            <w:vAlign w:val="bottom"/>
          </w:tcPr>
          <w:p>
            <w:pPr>
              <w:jc w:val="center"/>
              <w:ind w:left="2170"/>
              <w:spacing w:after="0" w:line="196" w:lineRule="exact"/>
              <w:rPr>
                <w:sz w:val="20"/>
                <w:szCs w:val="20"/>
                <w:color w:val="auto"/>
              </w:rPr>
            </w:pPr>
            <w:r>
              <w:rPr>
                <w:rFonts w:ascii="Arial" w:cs="Arial" w:eastAsia="Arial" w:hAnsi="Arial"/>
                <w:sz w:val="18"/>
                <w:szCs w:val="18"/>
                <w:color w:val="auto"/>
                <w:w w:val="91"/>
              </w:rPr>
              <w:t>44-60</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360" w:type="dxa"/>
            <w:vAlign w:val="bottom"/>
            <w:tcBorders>
              <w:bottom w:val="single" w:sz="8" w:color="0000EE"/>
            </w:tcBorders>
            <w:gridSpan w:val="21"/>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Qualitative and Quantitative Disclosures About Market Risk</w:t>
              </w:r>
            </w:hyperlink>
          </w:p>
        </w:tc>
        <w:tc>
          <w:tcPr>
            <w:tcW w:w="1020" w:type="dxa"/>
            <w:vAlign w:val="bottom"/>
            <w:gridSpan w:val="4"/>
          </w:tcPr>
          <w:p>
            <w:pPr>
              <w:spacing w:after="0"/>
              <w:rPr>
                <w:sz w:val="24"/>
                <w:szCs w:val="24"/>
                <w:color w:val="auto"/>
              </w:rPr>
            </w:pPr>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89"/>
              </w:rPr>
              <w:t>61</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Controls and Procedures</w:t>
              </w:r>
            </w:hyperlink>
          </w:p>
        </w:tc>
        <w:tc>
          <w:tcPr>
            <w:tcW w:w="3600" w:type="dxa"/>
            <w:vAlign w:val="bottom"/>
            <w:gridSpan w:val="17"/>
          </w:tcPr>
          <w:p>
            <w:pPr>
              <w:spacing w:after="0"/>
              <w:rPr>
                <w:sz w:val="24"/>
                <w:szCs w:val="24"/>
                <w:color w:val="auto"/>
              </w:rPr>
            </w:pPr>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89"/>
              </w:rPr>
              <w:t>62</w:t>
            </w:r>
          </w:p>
        </w:tc>
      </w:tr>
      <w:tr>
        <w:trPr>
          <w:trHeight w:val="358"/>
        </w:trPr>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780" w:type="dxa"/>
            <w:vAlign w:val="bottom"/>
          </w:tcPr>
          <w:p>
            <w:pPr>
              <w:spacing w:after="0"/>
              <w:rPr>
                <w:sz w:val="24"/>
                <w:szCs w:val="24"/>
                <w:color w:val="auto"/>
              </w:rPr>
            </w:pPr>
          </w:p>
        </w:tc>
        <w:tc>
          <w:tcPr>
            <w:tcW w:w="5380" w:type="dxa"/>
            <w:vAlign w:val="bottom"/>
            <w:gridSpan w:val="25"/>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89"/>
              </w:rPr>
              <w:t>62</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4"/>
          </w:tcPr>
          <w:p>
            <w:pPr>
              <w:spacing w:after="0"/>
              <w:rPr>
                <w:sz w:val="24"/>
                <w:szCs w:val="24"/>
                <w:color w:val="auto"/>
              </w:rPr>
            </w:pPr>
          </w:p>
        </w:tc>
        <w:tc>
          <w:tcPr>
            <w:tcW w:w="3500" w:type="dxa"/>
            <w:vAlign w:val="bottom"/>
            <w:gridSpan w:val="16"/>
          </w:tcPr>
          <w:p>
            <w:pPr>
              <w:spacing w:after="0"/>
              <w:rPr>
                <w:sz w:val="24"/>
                <w:szCs w:val="24"/>
                <w:color w:val="auto"/>
              </w:rPr>
            </w:pPr>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89"/>
              </w:rPr>
              <w:t>62</w:t>
            </w:r>
          </w:p>
        </w:tc>
      </w:tr>
      <w:tr>
        <w:trPr>
          <w:trHeight w:val="358"/>
        </w:trPr>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780" w:type="dxa"/>
            <w:vAlign w:val="bottom"/>
          </w:tcPr>
          <w:p>
            <w:pPr>
              <w:spacing w:after="0"/>
              <w:rPr>
                <w:sz w:val="24"/>
                <w:szCs w:val="24"/>
                <w:color w:val="auto"/>
              </w:rPr>
            </w:pPr>
          </w:p>
        </w:tc>
        <w:tc>
          <w:tcPr>
            <w:tcW w:w="5380" w:type="dxa"/>
            <w:vAlign w:val="bottom"/>
            <w:gridSpan w:val="25"/>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Risk Factors</w:t>
              </w:r>
            </w:hyperlink>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89"/>
              </w:rPr>
              <w:t>62</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80" w:type="dxa"/>
            <w:vAlign w:val="bottom"/>
            <w:gridSpan w:val="25"/>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Unregistered Sales of Equity Securities and Use of Proceeds</w:t>
              </w:r>
            </w:hyperlink>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89"/>
              </w:rPr>
              <w:t>62</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8"/>
          </w:tcPr>
          <w:p>
            <w:pPr>
              <w:spacing w:after="0"/>
              <w:rPr>
                <w:sz w:val="24"/>
                <w:szCs w:val="24"/>
                <w:color w:val="auto"/>
              </w:rPr>
            </w:pPr>
          </w:p>
        </w:tc>
        <w:tc>
          <w:tcPr>
            <w:tcW w:w="1040" w:type="dxa"/>
            <w:vAlign w:val="bottom"/>
            <w:gridSpan w:val="5"/>
          </w:tcPr>
          <w:p>
            <w:pPr>
              <w:spacing w:after="0"/>
              <w:rPr>
                <w:sz w:val="24"/>
                <w:szCs w:val="24"/>
                <w:color w:val="auto"/>
              </w:rPr>
            </w:pPr>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89"/>
              </w:rPr>
              <w:t>62</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80" w:type="dxa"/>
            <w:vAlign w:val="bottom"/>
            <w:gridSpan w:val="25"/>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Mine Safety Disclosures</w:t>
              </w:r>
            </w:hyperlink>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89"/>
              </w:rPr>
              <w:t>62</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3620" w:type="dxa"/>
            <w:vAlign w:val="bottom"/>
            <w:gridSpan w:val="18"/>
          </w:tcPr>
          <w:p>
            <w:pPr>
              <w:spacing w:after="0"/>
              <w:rPr>
                <w:sz w:val="24"/>
                <w:szCs w:val="24"/>
                <w:color w:val="auto"/>
              </w:rPr>
            </w:pPr>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89"/>
              </w:rPr>
              <w:t>62</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80" w:type="dxa"/>
            <w:vAlign w:val="bottom"/>
            <w:gridSpan w:val="25"/>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Exhibits</w:t>
              </w:r>
            </w:hyperlink>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89"/>
              </w:rPr>
              <w:t>63</w:t>
            </w:r>
          </w:p>
        </w:tc>
      </w:tr>
      <w:tr>
        <w:trPr>
          <w:trHeight w:val="358"/>
        </w:trPr>
        <w:tc>
          <w:tcPr>
            <w:tcW w:w="660" w:type="dxa"/>
            <w:vAlign w:val="bottom"/>
          </w:tcPr>
          <w:p>
            <w:pPr>
              <w:spacing w:after="0"/>
              <w:rPr>
                <w:sz w:val="24"/>
                <w:szCs w:val="24"/>
                <w:color w:val="auto"/>
              </w:rPr>
            </w:pPr>
          </w:p>
        </w:tc>
        <w:tc>
          <w:tcPr>
            <w:tcW w:w="1260" w:type="dxa"/>
            <w:vAlign w:val="bottom"/>
            <w:gridSpan w:val="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Signatures</w:t>
              </w:r>
            </w:hyperlink>
          </w:p>
        </w:tc>
        <w:tc>
          <w:tcPr>
            <w:tcW w:w="7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89"/>
              </w:rPr>
              <w:t>64</w:t>
            </w:r>
          </w:p>
        </w:tc>
      </w:tr>
      <w:tr>
        <w:trPr>
          <w:trHeight w:val="412"/>
        </w:trPr>
        <w:tc>
          <w:tcPr>
            <w:tcW w:w="66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101.INS</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80" w:type="dxa"/>
            <w:vAlign w:val="bottom"/>
            <w:gridSpan w:val="25"/>
          </w:tcPr>
          <w:p>
            <w:pPr>
              <w:spacing w:after="0"/>
              <w:rPr>
                <w:sz w:val="20"/>
                <w:szCs w:val="20"/>
                <w:color w:val="auto"/>
              </w:rPr>
            </w:pPr>
            <w:r>
              <w:rPr>
                <w:rFonts w:ascii="Arial" w:cs="Arial" w:eastAsia="Arial" w:hAnsi="Arial"/>
                <w:sz w:val="18"/>
                <w:szCs w:val="18"/>
                <w:color w:val="auto"/>
              </w:rPr>
              <w:t>XBRL Instance Document (1)</w:t>
            </w:r>
          </w:p>
        </w:tc>
        <w:tc>
          <w:tcPr>
            <w:tcW w:w="2680" w:type="dxa"/>
            <w:vAlign w:val="bottom"/>
          </w:tcPr>
          <w:p>
            <w:pPr>
              <w:spacing w:after="0"/>
              <w:rPr>
                <w:sz w:val="24"/>
                <w:szCs w:val="24"/>
                <w:color w:val="auto"/>
              </w:rPr>
            </w:pPr>
          </w:p>
        </w:tc>
      </w:tr>
      <w:tr>
        <w:trPr>
          <w:trHeight w:val="257"/>
        </w:trPr>
        <w:tc>
          <w:tcPr>
            <w:tcW w:w="660" w:type="dxa"/>
            <w:vAlign w:val="bottom"/>
          </w:tcPr>
          <w:p>
            <w:pPr>
              <w:spacing w:after="0"/>
              <w:rPr>
                <w:sz w:val="22"/>
                <w:szCs w:val="22"/>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780" w:type="dxa"/>
            <w:vAlign w:val="bottom"/>
          </w:tcPr>
          <w:p>
            <w:pPr>
              <w:spacing w:after="0"/>
              <w:rPr>
                <w:sz w:val="22"/>
                <w:szCs w:val="22"/>
                <w:color w:val="auto"/>
              </w:rPr>
            </w:pPr>
          </w:p>
        </w:tc>
        <w:tc>
          <w:tcPr>
            <w:tcW w:w="5380" w:type="dxa"/>
            <w:vAlign w:val="bottom"/>
            <w:gridSpan w:val="25"/>
          </w:tcPr>
          <w:p>
            <w:pPr>
              <w:spacing w:after="0"/>
              <w:rPr>
                <w:sz w:val="20"/>
                <w:szCs w:val="20"/>
                <w:color w:val="auto"/>
              </w:rPr>
            </w:pPr>
            <w:r>
              <w:rPr>
                <w:rFonts w:ascii="Arial" w:cs="Arial" w:eastAsia="Arial" w:hAnsi="Arial"/>
                <w:sz w:val="18"/>
                <w:szCs w:val="18"/>
                <w:color w:val="auto"/>
              </w:rPr>
              <w:t>XBRL Taxonomy Extension Scheme Document (1)</w:t>
            </w:r>
          </w:p>
        </w:tc>
        <w:tc>
          <w:tcPr>
            <w:tcW w:w="2680" w:type="dxa"/>
            <w:vAlign w:val="bottom"/>
          </w:tcPr>
          <w:p>
            <w:pPr>
              <w:spacing w:after="0"/>
              <w:rPr>
                <w:sz w:val="22"/>
                <w:szCs w:val="22"/>
                <w:color w:val="auto"/>
              </w:rPr>
            </w:pPr>
          </w:p>
        </w:tc>
      </w:tr>
      <w:tr>
        <w:trPr>
          <w:trHeight w:val="257"/>
        </w:trPr>
        <w:tc>
          <w:tcPr>
            <w:tcW w:w="660" w:type="dxa"/>
            <w:vAlign w:val="bottom"/>
          </w:tcPr>
          <w:p>
            <w:pPr>
              <w:spacing w:after="0"/>
              <w:rPr>
                <w:sz w:val="22"/>
                <w:szCs w:val="22"/>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780" w:type="dxa"/>
            <w:vAlign w:val="bottom"/>
          </w:tcPr>
          <w:p>
            <w:pPr>
              <w:spacing w:after="0"/>
              <w:rPr>
                <w:sz w:val="22"/>
                <w:szCs w:val="22"/>
                <w:color w:val="auto"/>
              </w:rPr>
            </w:pPr>
          </w:p>
        </w:tc>
        <w:tc>
          <w:tcPr>
            <w:tcW w:w="5380" w:type="dxa"/>
            <w:vAlign w:val="bottom"/>
            <w:gridSpan w:val="25"/>
          </w:tcPr>
          <w:p>
            <w:pPr>
              <w:spacing w:after="0"/>
              <w:rPr>
                <w:sz w:val="20"/>
                <w:szCs w:val="20"/>
                <w:color w:val="auto"/>
              </w:rPr>
            </w:pPr>
            <w:r>
              <w:rPr>
                <w:rFonts w:ascii="Arial" w:cs="Arial" w:eastAsia="Arial" w:hAnsi="Arial"/>
                <w:sz w:val="18"/>
                <w:szCs w:val="18"/>
                <w:color w:val="auto"/>
              </w:rPr>
              <w:t>XBRL Taxonomy Extension Calculation Linkbase Document (1)</w:t>
            </w:r>
          </w:p>
        </w:tc>
        <w:tc>
          <w:tcPr>
            <w:tcW w:w="2680" w:type="dxa"/>
            <w:vAlign w:val="bottom"/>
          </w:tcPr>
          <w:p>
            <w:pPr>
              <w:spacing w:after="0"/>
              <w:rPr>
                <w:sz w:val="22"/>
                <w:szCs w:val="22"/>
                <w:color w:val="auto"/>
              </w:rPr>
            </w:pPr>
          </w:p>
        </w:tc>
      </w:tr>
      <w:tr>
        <w:trPr>
          <w:trHeight w:val="257"/>
        </w:trPr>
        <w:tc>
          <w:tcPr>
            <w:tcW w:w="660" w:type="dxa"/>
            <w:vAlign w:val="bottom"/>
          </w:tcPr>
          <w:p>
            <w:pPr>
              <w:spacing w:after="0"/>
              <w:rPr>
                <w:sz w:val="22"/>
                <w:szCs w:val="22"/>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780" w:type="dxa"/>
            <w:vAlign w:val="bottom"/>
          </w:tcPr>
          <w:p>
            <w:pPr>
              <w:spacing w:after="0"/>
              <w:rPr>
                <w:sz w:val="22"/>
                <w:szCs w:val="22"/>
                <w:color w:val="auto"/>
              </w:rPr>
            </w:pPr>
          </w:p>
        </w:tc>
        <w:tc>
          <w:tcPr>
            <w:tcW w:w="5380" w:type="dxa"/>
            <w:vAlign w:val="bottom"/>
            <w:gridSpan w:val="25"/>
          </w:tcPr>
          <w:p>
            <w:pPr>
              <w:spacing w:after="0"/>
              <w:rPr>
                <w:sz w:val="20"/>
                <w:szCs w:val="20"/>
                <w:color w:val="auto"/>
              </w:rPr>
            </w:pPr>
            <w:r>
              <w:rPr>
                <w:rFonts w:ascii="Arial" w:cs="Arial" w:eastAsia="Arial" w:hAnsi="Arial"/>
                <w:sz w:val="18"/>
                <w:szCs w:val="18"/>
                <w:color w:val="auto"/>
              </w:rPr>
              <w:t>XBRL Taxonomy Extension Definition Linkbase Document (1)</w:t>
            </w:r>
          </w:p>
        </w:tc>
        <w:tc>
          <w:tcPr>
            <w:tcW w:w="2680" w:type="dxa"/>
            <w:vAlign w:val="bottom"/>
          </w:tcPr>
          <w:p>
            <w:pPr>
              <w:spacing w:after="0"/>
              <w:rPr>
                <w:sz w:val="22"/>
                <w:szCs w:val="22"/>
                <w:color w:val="auto"/>
              </w:rPr>
            </w:pPr>
          </w:p>
        </w:tc>
      </w:tr>
      <w:tr>
        <w:trPr>
          <w:trHeight w:val="257"/>
        </w:trPr>
        <w:tc>
          <w:tcPr>
            <w:tcW w:w="660" w:type="dxa"/>
            <w:vAlign w:val="bottom"/>
          </w:tcPr>
          <w:p>
            <w:pPr>
              <w:spacing w:after="0"/>
              <w:rPr>
                <w:sz w:val="22"/>
                <w:szCs w:val="22"/>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780" w:type="dxa"/>
            <w:vAlign w:val="bottom"/>
          </w:tcPr>
          <w:p>
            <w:pPr>
              <w:spacing w:after="0"/>
              <w:rPr>
                <w:sz w:val="22"/>
                <w:szCs w:val="22"/>
                <w:color w:val="auto"/>
              </w:rPr>
            </w:pPr>
          </w:p>
        </w:tc>
        <w:tc>
          <w:tcPr>
            <w:tcW w:w="5380" w:type="dxa"/>
            <w:vAlign w:val="bottom"/>
            <w:gridSpan w:val="25"/>
          </w:tcPr>
          <w:p>
            <w:pPr>
              <w:spacing w:after="0"/>
              <w:rPr>
                <w:sz w:val="20"/>
                <w:szCs w:val="20"/>
                <w:color w:val="auto"/>
              </w:rPr>
            </w:pPr>
            <w:r>
              <w:rPr>
                <w:rFonts w:ascii="Arial" w:cs="Arial" w:eastAsia="Arial" w:hAnsi="Arial"/>
                <w:sz w:val="18"/>
                <w:szCs w:val="18"/>
                <w:color w:val="auto"/>
              </w:rPr>
              <w:t>XBRL Taxonomy Extension Label Linkbase Document (1)</w:t>
            </w:r>
          </w:p>
        </w:tc>
        <w:tc>
          <w:tcPr>
            <w:tcW w:w="2680" w:type="dxa"/>
            <w:vAlign w:val="bottom"/>
          </w:tcPr>
          <w:p>
            <w:pPr>
              <w:spacing w:after="0"/>
              <w:rPr>
                <w:sz w:val="22"/>
                <w:szCs w:val="22"/>
                <w:color w:val="auto"/>
              </w:rPr>
            </w:pPr>
          </w:p>
        </w:tc>
      </w:tr>
      <w:tr>
        <w:trPr>
          <w:trHeight w:val="257"/>
        </w:trPr>
        <w:tc>
          <w:tcPr>
            <w:tcW w:w="660" w:type="dxa"/>
            <w:vAlign w:val="bottom"/>
          </w:tcPr>
          <w:p>
            <w:pPr>
              <w:spacing w:after="0"/>
              <w:rPr>
                <w:sz w:val="22"/>
                <w:szCs w:val="22"/>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780" w:type="dxa"/>
            <w:vAlign w:val="bottom"/>
          </w:tcPr>
          <w:p>
            <w:pPr>
              <w:spacing w:after="0"/>
              <w:rPr>
                <w:sz w:val="22"/>
                <w:szCs w:val="22"/>
                <w:color w:val="auto"/>
              </w:rPr>
            </w:pPr>
          </w:p>
        </w:tc>
        <w:tc>
          <w:tcPr>
            <w:tcW w:w="5380" w:type="dxa"/>
            <w:vAlign w:val="bottom"/>
            <w:gridSpan w:val="25"/>
          </w:tcPr>
          <w:p>
            <w:pPr>
              <w:spacing w:after="0"/>
              <w:rPr>
                <w:sz w:val="20"/>
                <w:szCs w:val="20"/>
                <w:color w:val="auto"/>
              </w:rPr>
            </w:pPr>
            <w:r>
              <w:rPr>
                <w:rFonts w:ascii="Arial" w:cs="Arial" w:eastAsia="Arial" w:hAnsi="Arial"/>
                <w:sz w:val="18"/>
                <w:szCs w:val="18"/>
                <w:color w:val="auto"/>
              </w:rPr>
              <w:t>XBRL Taxonomy Extension Presentation Linkbase Document (1)</w:t>
            </w:r>
          </w:p>
        </w:tc>
        <w:tc>
          <w:tcPr>
            <w:tcW w:w="2680" w:type="dxa"/>
            <w:vAlign w:val="bottom"/>
          </w:tcPr>
          <w:p>
            <w:pPr>
              <w:spacing w:after="0"/>
              <w:rPr>
                <w:sz w:val="22"/>
                <w:szCs w:val="22"/>
                <w:color w:val="auto"/>
              </w:rPr>
            </w:pPr>
          </w:p>
        </w:tc>
      </w:tr>
    </w:tbl>
    <w:p>
      <w:pPr>
        <w:spacing w:after="0" w:line="188" w:lineRule="exact"/>
        <w:rPr>
          <w:sz w:val="20"/>
          <w:szCs w:val="20"/>
          <w:color w:val="auto"/>
        </w:rPr>
      </w:pPr>
    </w:p>
    <w:p>
      <w:pPr>
        <w:jc w:val="both"/>
        <w:ind w:left="380" w:hanging="372"/>
        <w:spacing w:after="0" w:line="224"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gridSpan w:val="4"/>
          </w:tcPr>
          <w:p>
            <w:pPr>
              <w:jc w:val="right"/>
              <w:ind w:right="1230"/>
              <w:spacing w:after="0"/>
              <w:rPr>
                <w:sz w:val="20"/>
                <w:szCs w:val="20"/>
                <w:color w:val="auto"/>
              </w:rPr>
            </w:pPr>
            <w:r>
              <w:rPr>
                <w:rFonts w:ascii="Arial" w:cs="Arial" w:eastAsia="Arial" w:hAnsi="Arial"/>
                <w:sz w:val="18"/>
                <w:szCs w:val="18"/>
                <w:color w:val="auto"/>
              </w:rPr>
              <w:t>(in thousands of dollars)</w:t>
            </w:r>
          </w:p>
        </w:tc>
      </w:tr>
      <w:tr>
        <w:trPr>
          <w:trHeight w:val="230"/>
        </w:trPr>
        <w:tc>
          <w:tcPr>
            <w:tcW w:w="6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8"/>
                <w:szCs w:val="18"/>
                <w:color w:val="auto"/>
                <w:w w:val="87"/>
              </w:rPr>
              <w:t>June 30, 2019</w:t>
            </w: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3"/>
              </w:rPr>
              <w:t>December 31, 2018</w:t>
            </w:r>
          </w:p>
        </w:tc>
      </w:tr>
      <w:tr>
        <w:trPr>
          <w:trHeight w:val="223"/>
        </w:trPr>
        <w:tc>
          <w:tcPr>
            <w:tcW w:w="6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(Unaudited)</w:t>
            </w: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Cash and due from banks</w:t>
            </w: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108,085</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37,492</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 funds sold</w:t>
            </w:r>
          </w:p>
        </w:tc>
        <w:tc>
          <w:tcPr>
            <w:tcW w:w="7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15,193</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873</w:t>
            </w:r>
          </w:p>
        </w:tc>
      </w:tr>
      <w:tr>
        <w:trPr>
          <w:trHeight w:val="223"/>
        </w:trPr>
        <w:tc>
          <w:tcPr>
            <w:tcW w:w="6420" w:type="dxa"/>
            <w:vAlign w:val="bottom"/>
          </w:tcPr>
          <w:p>
            <w:pPr>
              <w:ind w:left="740"/>
              <w:spacing w:after="0"/>
              <w:rPr>
                <w:sz w:val="20"/>
                <w:szCs w:val="20"/>
                <w:color w:val="auto"/>
              </w:rPr>
            </w:pPr>
            <w:r>
              <w:rPr>
                <w:rFonts w:ascii="Arial" w:cs="Arial" w:eastAsia="Arial" w:hAnsi="Arial"/>
                <w:sz w:val="18"/>
                <w:szCs w:val="18"/>
                <w:color w:val="auto"/>
              </w:rPr>
              <w:t>Total cash and cash equivalents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123,278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38,365</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Interest-bearing time deposits</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4,509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4,019</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Securities - available-for-sale</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204,415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168,447</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securities, at cost</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5,789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3,679</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Loans held for sale</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1,909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495</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Loans, net</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1,084,448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839,599</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Premises and equipment</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26,013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22,615</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Goodwill</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47,340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4,074</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Mortgage servicing rights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2,465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2,385</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real estate owned</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600</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Bank owned life insurance</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15,050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14,884</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7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15,002</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17,001</w:t>
            </w:r>
          </w:p>
        </w:tc>
      </w:tr>
      <w:tr>
        <w:trPr>
          <w:trHeight w:val="263"/>
        </w:trPr>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7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1,530,547</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1,116,163</w:t>
            </w:r>
          </w:p>
        </w:tc>
      </w:tr>
      <w:tr>
        <w:trPr>
          <w:trHeight w:val="210"/>
        </w:trPr>
        <w:tc>
          <w:tcPr>
            <w:tcW w:w="64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Deposits</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30"/>
        </w:trPr>
        <w:tc>
          <w:tcPr>
            <w:tcW w:w="6420" w:type="dxa"/>
            <w:vAlign w:val="bottom"/>
          </w:tcPr>
          <w:p>
            <w:pPr>
              <w:ind w:left="740"/>
              <w:spacing w:after="0"/>
              <w:rPr>
                <w:sz w:val="20"/>
                <w:szCs w:val="20"/>
                <w:color w:val="auto"/>
              </w:rPr>
            </w:pPr>
            <w:r>
              <w:rPr>
                <w:rFonts w:ascii="Arial" w:cs="Arial" w:eastAsia="Arial" w:hAnsi="Arial"/>
                <w:sz w:val="18"/>
                <w:szCs w:val="18"/>
                <w:color w:val="auto"/>
              </w:rPr>
              <w:t>Noninterest-bearing</w:t>
            </w: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242,510</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215,422</w:t>
            </w:r>
          </w:p>
        </w:tc>
      </w:tr>
      <w:tr>
        <w:trPr>
          <w:trHeight w:val="230"/>
        </w:trPr>
        <w:tc>
          <w:tcPr>
            <w:tcW w:w="64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Interest-bearing</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30"/>
        </w:trPr>
        <w:tc>
          <w:tcPr>
            <w:tcW w:w="6420" w:type="dxa"/>
            <w:vAlign w:val="bottom"/>
          </w:tcPr>
          <w:p>
            <w:pPr>
              <w:ind w:left="1000"/>
              <w:spacing w:after="0"/>
              <w:rPr>
                <w:sz w:val="20"/>
                <w:szCs w:val="20"/>
                <w:color w:val="auto"/>
              </w:rPr>
            </w:pPr>
            <w:r>
              <w:rPr>
                <w:rFonts w:ascii="Arial" w:cs="Arial" w:eastAsia="Arial" w:hAnsi="Arial"/>
                <w:sz w:val="18"/>
                <w:szCs w:val="18"/>
                <w:color w:val="auto"/>
              </w:rPr>
              <w:t>NOW accounts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430,505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298,254</w:t>
            </w:r>
          </w:p>
        </w:tc>
      </w:tr>
      <w:tr>
        <w:trPr>
          <w:trHeight w:val="230"/>
        </w:trPr>
        <w:tc>
          <w:tcPr>
            <w:tcW w:w="64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Savings</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293,179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227,701</w:t>
            </w:r>
          </w:p>
        </w:tc>
      </w:tr>
      <w:tr>
        <w:trPr>
          <w:trHeight w:val="230"/>
        </w:trPr>
        <w:tc>
          <w:tcPr>
            <w:tcW w:w="64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Time</w:t>
            </w:r>
          </w:p>
        </w:tc>
        <w:tc>
          <w:tcPr>
            <w:tcW w:w="7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276,153</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187,413</w:t>
            </w:r>
          </w:p>
        </w:tc>
      </w:tr>
      <w:tr>
        <w:trPr>
          <w:trHeight w:val="223"/>
        </w:trPr>
        <w:tc>
          <w:tcPr>
            <w:tcW w:w="642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Total deposits</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1,242,347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928,790</w:t>
            </w:r>
          </w:p>
        </w:tc>
      </w:tr>
      <w:tr>
        <w:trPr>
          <w:trHeight w:val="215"/>
        </w:trPr>
        <w:tc>
          <w:tcPr>
            <w:tcW w:w="6420" w:type="dxa"/>
            <w:vAlign w:val="bottom"/>
          </w:tcPr>
          <w:p>
            <w:pPr>
              <w:ind w:left="500"/>
              <w:spacing w:after="0"/>
              <w:rPr>
                <w:sz w:val="20"/>
                <w:szCs w:val="20"/>
                <w:color w:val="auto"/>
              </w:rPr>
            </w:pPr>
            <w:r>
              <w:rPr>
                <w:rFonts w:ascii="Arial" w:cs="Arial" w:eastAsia="Arial" w:hAnsi="Arial"/>
                <w:sz w:val="18"/>
                <w:szCs w:val="18"/>
                <w:color w:val="auto"/>
              </w:rPr>
              <w:t>Federal funds purchased and securities sold under agreements to</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6420" w:type="dxa"/>
            <w:vAlign w:val="bottom"/>
          </w:tcPr>
          <w:p>
            <w:pPr>
              <w:ind w:left="640"/>
              <w:spacing w:after="0"/>
              <w:rPr>
                <w:sz w:val="20"/>
                <w:szCs w:val="20"/>
                <w:color w:val="auto"/>
              </w:rPr>
            </w:pPr>
            <w:r>
              <w:rPr>
                <w:rFonts w:ascii="Arial" w:cs="Arial" w:eastAsia="Arial" w:hAnsi="Arial"/>
                <w:sz w:val="18"/>
                <w:szCs w:val="18"/>
                <w:color w:val="auto"/>
              </w:rPr>
              <w:t>repurchase</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27,102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32,181</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 Home Loan Bank (FHLB) advances</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24,532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Dividend payable</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1,654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1,379</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7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10,865</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10,526</w:t>
            </w:r>
          </w:p>
        </w:tc>
      </w:tr>
      <w:tr>
        <w:trPr>
          <w:trHeight w:val="223"/>
        </w:trPr>
        <w:tc>
          <w:tcPr>
            <w:tcW w:w="6420" w:type="dxa"/>
            <w:vAlign w:val="bottom"/>
            <w:tcBorders>
              <w:bottom w:val="single" w:sz="8" w:color="CFF0FC"/>
            </w:tcBorders>
          </w:tcPr>
          <w:p>
            <w:pPr>
              <w:ind w:left="1480"/>
              <w:spacing w:after="0"/>
              <w:rPr>
                <w:sz w:val="20"/>
                <w:szCs w:val="20"/>
                <w:color w:val="auto"/>
              </w:rPr>
            </w:pPr>
            <w:r>
              <w:rPr>
                <w:rFonts w:ascii="Arial" w:cs="Arial" w:eastAsia="Arial" w:hAnsi="Arial"/>
                <w:sz w:val="18"/>
                <w:szCs w:val="18"/>
                <w:color w:val="auto"/>
              </w:rPr>
              <w:t>Total liabilities</w:t>
            </w:r>
          </w:p>
        </w:tc>
        <w:tc>
          <w:tcPr>
            <w:tcW w:w="7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1,306,500</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972,876</w:t>
            </w:r>
          </w:p>
        </w:tc>
      </w:tr>
      <w:tr>
        <w:trPr>
          <w:trHeight w:val="223"/>
        </w:trPr>
        <w:tc>
          <w:tcPr>
            <w:tcW w:w="6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15"/>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Common stock - No par value 20,000,000 shares authorized; issued and</w:t>
            </w: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r>
      <w:tr>
        <w:trPr>
          <w:trHeight w:val="230"/>
        </w:trPr>
        <w:tc>
          <w:tcPr>
            <w:tcW w:w="64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outstanding 12,230,000 shares 6/30/19, 10,400,000 shares 12/31/18</w:t>
            </w:r>
          </w:p>
        </w:tc>
        <w:tc>
          <w:tcPr>
            <w:tcW w:w="7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81,955</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10,823</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Treasury stock - 1,123,817 shares 6/30/19, 1,114,739 shares 12/31/18</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(12,707)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(12,409)</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Retained earnings</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153,993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147,887</w:t>
            </w:r>
          </w:p>
        </w:tc>
      </w:tr>
      <w:tr>
        <w:trPr>
          <w:trHeight w:val="230"/>
        </w:trPr>
        <w:tc>
          <w:tcPr>
            <w:tcW w:w="64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Accumulated other comprehensive income (loss)</w:t>
            </w:r>
          </w:p>
        </w:tc>
        <w:tc>
          <w:tcPr>
            <w:tcW w:w="7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806</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w:t>
            </w:r>
          </w:p>
        </w:tc>
      </w:tr>
      <w:tr>
        <w:trPr>
          <w:trHeight w:val="223"/>
        </w:trPr>
        <w:tc>
          <w:tcPr>
            <w:tcW w:w="642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Total stockholders' equity</w:t>
            </w:r>
          </w:p>
        </w:tc>
        <w:tc>
          <w:tcPr>
            <w:tcW w:w="7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224,047</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143,287</w:t>
            </w:r>
          </w:p>
        </w:tc>
      </w:tr>
      <w:tr>
        <w:trPr>
          <w:trHeight w:val="223"/>
        </w:trPr>
        <w:tc>
          <w:tcPr>
            <w:tcW w:w="64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7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1,530,547</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1,116,163</w:t>
            </w:r>
          </w:p>
        </w:tc>
      </w:tr>
      <w:tr>
        <w:trPr>
          <w:trHeight w:val="20"/>
        </w:trPr>
        <w:tc>
          <w:tcPr>
            <w:tcW w:w="6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Note: The December 31, 2018, Condensed Consolidated Balance Sheet has been derived from the audited Consolidated Balance Sheet as of that date.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6"/>
          </w:tcPr>
          <w:p>
            <w:pPr>
              <w:jc w:val="center"/>
              <w:ind w:right="460"/>
              <w:spacing w:after="0"/>
              <w:rPr>
                <w:sz w:val="20"/>
                <w:szCs w:val="20"/>
                <w:color w:val="auto"/>
              </w:rPr>
            </w:pPr>
            <w:r>
              <w:rPr>
                <w:rFonts w:ascii="Arial" w:cs="Arial" w:eastAsia="Arial" w:hAnsi="Arial"/>
                <w:sz w:val="18"/>
                <w:szCs w:val="18"/>
                <w:color w:val="auto"/>
                <w:w w:val="89"/>
              </w:rPr>
              <w:t>(in thousands of dollars, except per</w:t>
            </w:r>
          </w:p>
        </w:tc>
        <w:tc>
          <w:tcPr>
            <w:tcW w:w="120" w:type="dxa"/>
            <w:vAlign w:val="bottom"/>
          </w:tcPr>
          <w:p>
            <w:pPr>
              <w:spacing w:after="0"/>
              <w:rPr>
                <w:sz w:val="18"/>
                <w:szCs w:val="18"/>
                <w:color w:val="auto"/>
              </w:rPr>
            </w:pPr>
          </w:p>
        </w:tc>
        <w:tc>
          <w:tcPr>
            <w:tcW w:w="2860" w:type="dxa"/>
            <w:vAlign w:val="bottom"/>
            <w:gridSpan w:val="7"/>
          </w:tcPr>
          <w:p>
            <w:pPr>
              <w:jc w:val="center"/>
              <w:ind w:right="260"/>
              <w:spacing w:after="0"/>
              <w:rPr>
                <w:sz w:val="20"/>
                <w:szCs w:val="20"/>
                <w:color w:val="auto"/>
              </w:rPr>
            </w:pPr>
            <w:r>
              <w:rPr>
                <w:rFonts w:ascii="Arial" w:cs="Arial" w:eastAsia="Arial" w:hAnsi="Arial"/>
                <w:sz w:val="18"/>
                <w:szCs w:val="18"/>
                <w:color w:val="auto"/>
                <w:w w:val="89"/>
              </w:rPr>
              <w:t>(in thousands of dollars, except per</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6"/>
          </w:tcPr>
          <w:p>
            <w:pPr>
              <w:jc w:val="center"/>
              <w:ind w:right="460"/>
              <w:spacing w:after="0"/>
              <w:rPr>
                <w:sz w:val="20"/>
                <w:szCs w:val="20"/>
                <w:color w:val="auto"/>
              </w:rPr>
            </w:pPr>
            <w:r>
              <w:rPr>
                <w:rFonts w:ascii="Arial" w:cs="Arial" w:eastAsia="Arial" w:hAnsi="Arial"/>
                <w:sz w:val="18"/>
                <w:szCs w:val="18"/>
                <w:color w:val="auto"/>
                <w:w w:val="87"/>
              </w:rPr>
              <w:t>share data)</w:t>
            </w:r>
          </w:p>
        </w:tc>
        <w:tc>
          <w:tcPr>
            <w:tcW w:w="120" w:type="dxa"/>
            <w:vAlign w:val="bottom"/>
          </w:tcPr>
          <w:p>
            <w:pPr>
              <w:spacing w:after="0"/>
              <w:rPr>
                <w:sz w:val="19"/>
                <w:szCs w:val="19"/>
                <w:color w:val="auto"/>
              </w:rPr>
            </w:pPr>
          </w:p>
        </w:tc>
        <w:tc>
          <w:tcPr>
            <w:tcW w:w="2860" w:type="dxa"/>
            <w:vAlign w:val="bottom"/>
            <w:gridSpan w:val="7"/>
          </w:tcPr>
          <w:p>
            <w:pPr>
              <w:jc w:val="center"/>
              <w:ind w:right="260"/>
              <w:spacing w:after="0"/>
              <w:rPr>
                <w:sz w:val="20"/>
                <w:szCs w:val="20"/>
                <w:color w:val="auto"/>
              </w:rPr>
            </w:pPr>
            <w:r>
              <w:rPr>
                <w:rFonts w:ascii="Arial" w:cs="Arial" w:eastAsia="Arial" w:hAnsi="Arial"/>
                <w:sz w:val="18"/>
                <w:szCs w:val="18"/>
                <w:color w:val="auto"/>
                <w:w w:val="87"/>
              </w:rPr>
              <w:t>share data)</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6"/>
          </w:tcPr>
          <w:p>
            <w:pPr>
              <w:jc w:val="center"/>
              <w:ind w:right="46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9"/>
                <w:szCs w:val="19"/>
                <w:color w:val="auto"/>
              </w:rPr>
            </w:pPr>
          </w:p>
        </w:tc>
        <w:tc>
          <w:tcPr>
            <w:tcW w:w="2860" w:type="dxa"/>
            <w:vAlign w:val="bottom"/>
            <w:gridSpan w:val="7"/>
          </w:tcPr>
          <w:p>
            <w:pPr>
              <w:jc w:val="center"/>
              <w:ind w:right="24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June 30, 2019</w:t>
            </w:r>
          </w:p>
        </w:tc>
        <w:tc>
          <w:tcPr>
            <w:tcW w:w="120" w:type="dxa"/>
            <w:vAlign w:val="bottom"/>
          </w:tcPr>
          <w:p>
            <w:pPr>
              <w:spacing w:after="0"/>
              <w:rPr>
                <w:sz w:val="20"/>
                <w:szCs w:val="20"/>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June 30, 2018</w:t>
            </w:r>
          </w:p>
        </w:tc>
        <w:tc>
          <w:tcPr>
            <w:tcW w:w="120" w:type="dxa"/>
            <w:vAlign w:val="bottom"/>
          </w:tcPr>
          <w:p>
            <w:pPr>
              <w:spacing w:after="0"/>
              <w:rPr>
                <w:sz w:val="20"/>
                <w:szCs w:val="20"/>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June 30, 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June 30, 2018</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Interest Income</w:t>
            </w: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Loans, including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16,723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10,521</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31,403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20,623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securities: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500"/>
              <w:spacing w:after="0"/>
              <w:rPr>
                <w:sz w:val="20"/>
                <w:szCs w:val="20"/>
                <w:color w:val="auto"/>
              </w:rPr>
            </w:pPr>
            <w:r>
              <w:rPr>
                <w:rFonts w:ascii="Arial" w:cs="Arial" w:eastAsia="Arial" w:hAnsi="Arial"/>
                <w:sz w:val="18"/>
                <w:szCs w:val="18"/>
                <w:color w:val="auto"/>
              </w:rPr>
              <w:t>U.S. Treasury and government agencies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Municipalities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funds sold and other</w:t>
            </w: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500"/>
              <w:spacing w:after="0"/>
              <w:rPr>
                <w:sz w:val="20"/>
                <w:szCs w:val="20"/>
                <w:color w:val="auto"/>
              </w:rPr>
            </w:pPr>
            <w:r>
              <w:rPr>
                <w:rFonts w:ascii="Arial" w:cs="Arial" w:eastAsia="Arial" w:hAnsi="Arial"/>
                <w:sz w:val="18"/>
                <w:szCs w:val="18"/>
                <w:color w:val="auto"/>
              </w:rPr>
              <w:t>Total interest income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11,537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34,145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Expense</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funds purchased and securities sold under</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agreements to repurchase</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Borrowed funds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interest expense</w:t>
            </w: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Net Interest Income - Before Provision for Loan Losses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10,010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Provision for Loan Losses</w:t>
            </w: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9,878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Noninterest Income</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Customer service fees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service charges and fees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Net gain on sale of loans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on sale of available-for-sale securities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500"/>
              <w:spacing w:after="0"/>
              <w:rPr>
                <w:sz w:val="20"/>
                <w:szCs w:val="20"/>
                <w:color w:val="auto"/>
              </w:rPr>
            </w:pPr>
            <w:r>
              <w:rPr>
                <w:rFonts w:ascii="Arial" w:cs="Arial" w:eastAsia="Arial" w:hAnsi="Arial"/>
                <w:sz w:val="18"/>
                <w:szCs w:val="18"/>
                <w:color w:val="auto"/>
              </w:rPr>
              <w:t>Total noninterest income</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2,806</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Noninterest Expense</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Salaries and wages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3,225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benefits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Net occupancy expense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Furniture and equipment</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Data processing</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Franchise taxes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ATM expense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Advertising</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Net (gain) loss on sale of other assets owned</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FDIC assessment</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Mortgage servicing rights amortization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Consulting fees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general and administrative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noninterest expense</w:t>
            </w: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7,638</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21,223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5,046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Taxes</w:t>
            </w: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6,180</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4,114</w:t>
            </w:r>
          </w:p>
        </w:tc>
        <w:tc>
          <w:tcPr>
            <w:tcW w:w="3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9,404</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Dividends Declared</w:t>
            </w: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ind w:right="5140"/>
        <w:spacing w:after="0" w:line="264" w:lineRule="auto"/>
        <w:rPr>
          <w:sz w:val="20"/>
          <w:szCs w:val="20"/>
          <w:color w:val="auto"/>
        </w:rPr>
      </w:pPr>
      <w:r>
        <w:rPr>
          <w:rFonts w:ascii="Arial" w:cs="Arial" w:eastAsia="Arial" w:hAnsi="Arial"/>
          <w:sz w:val="18"/>
          <w:szCs w:val="18"/>
          <w:color w:val="auto"/>
        </w:rPr>
        <w:t>FARMERS &amp; MERCHANTS BANCORP, INC. AND SUBSIDIARIES CONDENSED CONSOLIDATED STATEMENTS OF COMPREHENSIVE INCOME (Unaudited)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gridSpan w:val="5"/>
          </w:tcPr>
          <w:p>
            <w:pPr>
              <w:jc w:val="center"/>
              <w:ind w:right="340"/>
              <w:spacing w:after="0"/>
              <w:rPr>
                <w:sz w:val="20"/>
                <w:szCs w:val="20"/>
                <w:color w:val="auto"/>
              </w:rPr>
            </w:pPr>
            <w:r>
              <w:rPr>
                <w:rFonts w:ascii="Arial" w:cs="Arial" w:eastAsia="Arial" w:hAnsi="Arial"/>
                <w:sz w:val="18"/>
                <w:szCs w:val="18"/>
                <w:color w:val="auto"/>
                <w:w w:val="91"/>
              </w:rPr>
              <w:t>(in thousands of dollars)</w:t>
            </w:r>
          </w:p>
        </w:tc>
        <w:tc>
          <w:tcPr>
            <w:tcW w:w="120" w:type="dxa"/>
            <w:vAlign w:val="bottom"/>
          </w:tcPr>
          <w:p>
            <w:pPr>
              <w:spacing w:after="0"/>
              <w:rPr>
                <w:sz w:val="19"/>
                <w:szCs w:val="19"/>
                <w:color w:val="auto"/>
              </w:rPr>
            </w:pPr>
          </w:p>
        </w:tc>
        <w:tc>
          <w:tcPr>
            <w:tcW w:w="2820" w:type="dxa"/>
            <w:vAlign w:val="bottom"/>
            <w:gridSpan w:val="5"/>
          </w:tcPr>
          <w:p>
            <w:pPr>
              <w:jc w:val="right"/>
              <w:ind w:right="550"/>
              <w:spacing w:after="0"/>
              <w:rPr>
                <w:sz w:val="20"/>
                <w:szCs w:val="20"/>
                <w:color w:val="auto"/>
              </w:rPr>
            </w:pPr>
            <w:r>
              <w:rPr>
                <w:rFonts w:ascii="Arial" w:cs="Arial" w:eastAsia="Arial" w:hAnsi="Arial"/>
                <w:sz w:val="18"/>
                <w:szCs w:val="18"/>
                <w:color w:val="auto"/>
              </w:rPr>
              <w:t>(in thousands of dollars)</w:t>
            </w:r>
          </w:p>
        </w:tc>
      </w:tr>
      <w:tr>
        <w:trPr>
          <w:trHeight w:val="230"/>
        </w:trPr>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gridSpan w:val="5"/>
          </w:tcPr>
          <w:p>
            <w:pPr>
              <w:jc w:val="center"/>
              <w:ind w:right="34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9"/>
                <w:szCs w:val="19"/>
                <w:color w:val="auto"/>
              </w:rPr>
            </w:pPr>
          </w:p>
        </w:tc>
        <w:tc>
          <w:tcPr>
            <w:tcW w:w="2820" w:type="dxa"/>
            <w:vAlign w:val="bottom"/>
            <w:gridSpan w:val="5"/>
          </w:tcPr>
          <w:p>
            <w:pPr>
              <w:jc w:val="right"/>
              <w:ind w:right="770"/>
              <w:spacing w:after="0"/>
              <w:rPr>
                <w:sz w:val="20"/>
                <w:szCs w:val="20"/>
                <w:color w:val="auto"/>
              </w:rPr>
            </w:pPr>
            <w:r>
              <w:rPr>
                <w:rFonts w:ascii="Arial" w:cs="Arial" w:eastAsia="Arial" w:hAnsi="Arial"/>
                <w:sz w:val="18"/>
                <w:szCs w:val="18"/>
                <w:color w:val="auto"/>
              </w:rPr>
              <w:t>Six Months Ended</w:t>
            </w:r>
          </w:p>
        </w:tc>
      </w:tr>
      <w:tr>
        <w:trPr>
          <w:trHeight w:val="230"/>
        </w:trPr>
        <w:tc>
          <w:tcPr>
            <w:tcW w:w="54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June 30, 2019</w:t>
            </w: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June 30, 2018</w:t>
            </w: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June 30, 2019</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9"/>
              </w:rPr>
              <w:t>June 30, 2018</w:t>
            </w: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6,180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4,114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9,404</w:t>
            </w:r>
          </w:p>
        </w:tc>
        <w:tc>
          <w:tcPr>
            <w:tcW w:w="1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7,881</w:t>
            </w:r>
          </w:p>
        </w:tc>
      </w:tr>
      <w:tr>
        <w:trPr>
          <w:trHeight w:val="230"/>
        </w:trPr>
        <w:tc>
          <w:tcPr>
            <w:tcW w:w="546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5"/>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(loss) on available-for-sale</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30"/>
        </w:trPr>
        <w:tc>
          <w:tcPr>
            <w:tcW w:w="5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3,061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4,810</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w:t>
            </w:r>
          </w:p>
        </w:tc>
      </w:tr>
      <w:tr>
        <w:trPr>
          <w:trHeight w:val="215"/>
        </w:trPr>
        <w:tc>
          <w:tcPr>
            <w:tcW w:w="5460" w:type="dxa"/>
            <w:vAlign w:val="bottom"/>
          </w:tcPr>
          <w:p>
            <w:pPr>
              <w:ind w:left="260"/>
              <w:spacing w:after="0"/>
              <w:rPr>
                <w:sz w:val="20"/>
                <w:szCs w:val="20"/>
                <w:color w:val="auto"/>
              </w:rPr>
            </w:pPr>
            <w:r>
              <w:rPr>
                <w:rFonts w:ascii="Arial" w:cs="Arial" w:eastAsia="Arial" w:hAnsi="Arial"/>
                <w:sz w:val="18"/>
                <w:szCs w:val="18"/>
                <w:color w:val="auto"/>
              </w:rPr>
              <w:t>Reclassification adjustment for loss on sale of</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54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available-for-sale securities</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9"/>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(loss) on available-for-sale</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30"/>
        </w:trPr>
        <w:tc>
          <w:tcPr>
            <w:tcW w:w="5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3,061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4,836</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w:t>
            </w:r>
          </w:p>
        </w:tc>
      </w:tr>
      <w:tr>
        <w:trPr>
          <w:trHeight w:val="230"/>
        </w:trPr>
        <w:tc>
          <w:tcPr>
            <w:tcW w:w="5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Tax expense (benefit)</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1,016</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r>
      <w:tr>
        <w:trPr>
          <w:trHeight w:val="223"/>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2,418</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3,820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(2,224)</w:t>
            </w:r>
          </w:p>
        </w:tc>
      </w:tr>
      <w:tr>
        <w:trPr>
          <w:trHeight w:val="223"/>
        </w:trPr>
        <w:tc>
          <w:tcPr>
            <w:tcW w:w="546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8,598</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3,842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13,224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5,657</w:t>
            </w: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660" w:right="3540" w:hanging="1350"/>
        <w:spacing w:after="0" w:line="778" w:lineRule="auto"/>
        <w:tabs>
          <w:tab w:leader="none" w:pos="4406"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Remainder of this page intentionally left blank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jc w:val="right"/>
        <w:ind w:left="4040"/>
        <w:spacing w:after="0" w:line="255" w:lineRule="auto"/>
        <w:rPr>
          <w:sz w:val="20"/>
          <w:szCs w:val="20"/>
          <w:color w:val="auto"/>
        </w:rPr>
      </w:pPr>
      <w:r>
        <w:rPr>
          <w:rFonts w:ascii="Arial" w:cs="Arial" w:eastAsia="Arial" w:hAnsi="Arial"/>
          <w:sz w:val="18"/>
          <w:szCs w:val="18"/>
          <w:color w:val="auto"/>
        </w:rPr>
        <w:t>CONDENSED CONSOLIDATED STATEMENTS OF CHANGES TO STOCKHOLDERS’ EQUITY FOR THE THREE AND SIX MONTHS ENDED JUNE 30, 2018 (000’S OMITTED, EXCEPT PER SHARE DATA) (Unaudited)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19"/>
                <w:szCs w:val="19"/>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Shares of</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19"/>
                <w:szCs w:val="19"/>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Common</w:t>
            </w:r>
          </w:p>
        </w:tc>
        <w:tc>
          <w:tcPr>
            <w:tcW w:w="80" w:type="dxa"/>
            <w:vAlign w:val="bottom"/>
          </w:tcPr>
          <w:p>
            <w:pPr>
              <w:spacing w:after="0"/>
              <w:rPr>
                <w:sz w:val="19"/>
                <w:szCs w:val="19"/>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w w:val="95"/>
              </w:rPr>
              <w:t>Common</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Treasury</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w w:val="94"/>
              </w:rPr>
              <w:t>Retained</w:t>
            </w:r>
          </w:p>
        </w:tc>
        <w:tc>
          <w:tcPr>
            <w:tcW w:w="136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1080" w:type="dxa"/>
            <w:vAlign w:val="bottom"/>
            <w:gridSpan w:val="3"/>
          </w:tcPr>
          <w:p>
            <w:pPr>
              <w:spacing w:after="0"/>
              <w:rPr>
                <w:sz w:val="20"/>
                <w:szCs w:val="20"/>
                <w:color w:val="auto"/>
              </w:rPr>
            </w:pPr>
            <w:r>
              <w:rPr>
                <w:rFonts w:ascii="Arial" w:cs="Arial" w:eastAsia="Arial" w:hAnsi="Arial"/>
                <w:sz w:val="18"/>
                <w:szCs w:val="18"/>
                <w:color w:val="auto"/>
                <w:w w:val="98"/>
              </w:rPr>
              <w:t>Stockholders'</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Stock</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w w:val="95"/>
              </w:rPr>
              <w:t>Earnings</w:t>
            </w: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Income (Loss)</w:t>
            </w: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b w:val="1"/>
                <w:bCs w:val="1"/>
                <w:color w:val="auto"/>
              </w:rPr>
              <w:t>Balance - January 1, 2018</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9,265,880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11,546</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(12,160)</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136,547</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Other comprehensive loss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(1,952)</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Adoption of ASU 2018-02</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Issuance of 100 shares of restricted stock</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Cash dividends declared - $0.13 per share</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(1,193)</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March 31, 2018</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9,265,980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(12,158</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139,483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26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4,114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Forfeiture of 600 shares of restricted stock</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Cash dividends declared - $0.14 per share</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(1,284)</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June 30, 2018</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9,265,380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(12,186</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142,330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jc w:val="right"/>
        <w:ind w:left="4040"/>
        <w:spacing w:after="0" w:line="255" w:lineRule="auto"/>
        <w:rPr>
          <w:sz w:val="20"/>
          <w:szCs w:val="20"/>
          <w:color w:val="auto"/>
        </w:rPr>
      </w:pPr>
      <w:r>
        <w:rPr>
          <w:rFonts w:ascii="Arial" w:cs="Arial" w:eastAsia="Arial" w:hAnsi="Arial"/>
          <w:sz w:val="18"/>
          <w:szCs w:val="18"/>
          <w:color w:val="auto"/>
        </w:rPr>
        <w:t>CONDENSED CONSOLIDATED STATEMENTS OF CHANGES TO STOCKHOLDERS’ EQUITY FOR THE THREE AND SIX MONTHS ENDED JUNE 30, 2019 (000’S OMITTED, EXCEPT PER SHARE DATA) (Unaudited)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8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Shares of</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30"/>
        </w:trPr>
        <w:tc>
          <w:tcPr>
            <w:tcW w:w="4780" w:type="dxa"/>
            <w:vAlign w:val="bottom"/>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9"/>
                <w:szCs w:val="19"/>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Common</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Treasury</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w w:val="94"/>
              </w:rPr>
              <w:t>Retained</w:t>
            </w:r>
          </w:p>
        </w:tc>
        <w:tc>
          <w:tcPr>
            <w:tcW w:w="136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1080" w:type="dxa"/>
            <w:vAlign w:val="bottom"/>
            <w:gridSpan w:val="3"/>
          </w:tcPr>
          <w:p>
            <w:pPr>
              <w:spacing w:after="0"/>
              <w:rPr>
                <w:sz w:val="20"/>
                <w:szCs w:val="20"/>
                <w:color w:val="auto"/>
              </w:rPr>
            </w:pPr>
            <w:r>
              <w:rPr>
                <w:rFonts w:ascii="Arial" w:cs="Arial" w:eastAsia="Arial" w:hAnsi="Arial"/>
                <w:sz w:val="18"/>
                <w:szCs w:val="18"/>
                <w:color w:val="auto"/>
                <w:w w:val="98"/>
              </w:rPr>
              <w:t>Stockholders'</w:t>
            </w:r>
          </w:p>
        </w:tc>
      </w:tr>
      <w:tr>
        <w:trPr>
          <w:trHeight w:val="230"/>
        </w:trPr>
        <w:tc>
          <w:tcPr>
            <w:tcW w:w="478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Stock</w:t>
            </w: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Stock</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w w:val="95"/>
              </w:rPr>
              <w:t>Earnings</w:t>
            </w: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Income (Loss)</w:t>
            </w: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Balance - January 1,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9,285,261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10,823</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(12,409)</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147,887</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143,287</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3,224</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19"/>
                <w:szCs w:val="19"/>
                <w:color w:val="auto"/>
              </w:rPr>
            </w:pP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1,830,000  shares  of  common  stock  in</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1,830,000</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70,437</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70,437</w:t>
            </w:r>
          </w:p>
        </w:tc>
        <w:tc>
          <w:tcPr>
            <w:tcW w:w="100" w:type="dxa"/>
            <w:vAlign w:val="bottom"/>
            <w:shd w:val="clear" w:color="auto" w:fill="CFF0FC"/>
          </w:tcPr>
          <w:p>
            <w:pPr>
              <w:spacing w:after="0"/>
              <w:rPr>
                <w:sz w:val="20"/>
                <w:szCs w:val="20"/>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400 shares of restricted stock</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Forfeitures - 2,040)</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(1,640)</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20"/>
                <w:szCs w:val="20"/>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dividends declared - $0.15 per share</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(1,654)</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(1,654)</w:t>
            </w:r>
          </w:p>
        </w:tc>
      </w:tr>
      <w:tr>
        <w:trPr>
          <w:trHeight w:val="263"/>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 - March 31, 2019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11,107,063</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81,760</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(12,680</w:t>
            </w:r>
          </w:p>
        </w:tc>
        <w:tc>
          <w:tcPr>
            <w:tcW w:w="220" w:type="dxa"/>
            <w:vAlign w:val="bottom"/>
            <w:tcBorders>
              <w:bottom w:val="single" w:sz="8" w:color="CFF0FC"/>
            </w:tcBorders>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149,466</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2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216,934</w:t>
            </w:r>
          </w:p>
        </w:tc>
        <w:tc>
          <w:tcPr>
            <w:tcW w:w="100" w:type="dxa"/>
            <w:vAlign w:val="bottom"/>
            <w:tcBorders>
              <w:bottom w:val="single" w:sz="8" w:color="CFF0FC"/>
            </w:tcBorders>
          </w:tcPr>
          <w:p>
            <w:pPr>
              <w:spacing w:after="0"/>
              <w:rPr>
                <w:sz w:val="22"/>
                <w:szCs w:val="22"/>
                <w:color w:val="auto"/>
              </w:rPr>
            </w:pPr>
          </w:p>
        </w:tc>
      </w:tr>
      <w:tr>
        <w:trPr>
          <w:trHeight w:val="21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6,180</w:t>
            </w:r>
          </w:p>
        </w:tc>
        <w:tc>
          <w:tcPr>
            <w:tcW w:w="100" w:type="dxa"/>
            <w:vAlign w:val="bottom"/>
            <w:shd w:val="clear" w:color="auto" w:fill="CFF0FC"/>
          </w:tcPr>
          <w:p>
            <w:pPr>
              <w:spacing w:after="0"/>
              <w:rPr>
                <w:sz w:val="18"/>
                <w:szCs w:val="18"/>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Forfeiture of 880 shares of restricted stock</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(880)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dividends declared - $0.15 per share</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(1,655)</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(1,655)</w:t>
            </w: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Balance - June 30, 2019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11,106,183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81,955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153,993</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224,047</w:t>
            </w:r>
          </w:p>
        </w:tc>
        <w:tc>
          <w:tcPr>
            <w:tcW w:w="1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ind w:right="5360"/>
        <w:spacing w:after="0" w:line="308" w:lineRule="auto"/>
        <w:rPr>
          <w:sz w:val="20"/>
          <w:szCs w:val="20"/>
          <w:color w:val="auto"/>
        </w:rPr>
      </w:pPr>
      <w:r>
        <w:rPr>
          <w:rFonts w:ascii="Arial" w:cs="Arial" w:eastAsia="Arial" w:hAnsi="Arial"/>
          <w:sz w:val="17"/>
          <w:szCs w:val="17"/>
          <w:color w:val="auto"/>
        </w:rPr>
        <w:t>FARMERS &amp; MERCHANTS BANCORP, INC. AND SUBSIDIARIES CONDENSED CONSOLIDATED STATEMENTS OF CASH FLOWS (Unaudited)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gridSpan w:val="6"/>
          </w:tcPr>
          <w:p>
            <w:pPr>
              <w:jc w:val="right"/>
              <w:ind w:right="1320"/>
              <w:spacing w:after="0"/>
              <w:rPr>
                <w:sz w:val="20"/>
                <w:szCs w:val="20"/>
                <w:color w:val="auto"/>
              </w:rPr>
            </w:pPr>
            <w:r>
              <w:rPr>
                <w:rFonts w:ascii="Arial" w:cs="Arial" w:eastAsia="Arial" w:hAnsi="Arial"/>
                <w:sz w:val="18"/>
                <w:szCs w:val="18"/>
                <w:color w:val="auto"/>
              </w:rPr>
              <w:t>(in thousands of dollars)</w:t>
            </w:r>
          </w:p>
        </w:tc>
      </w:tr>
      <w:tr>
        <w:trPr>
          <w:trHeight w:val="230"/>
        </w:trPr>
        <w:tc>
          <w:tcPr>
            <w:tcW w:w="6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gridSpan w:val="6"/>
          </w:tcPr>
          <w:p>
            <w:pPr>
              <w:jc w:val="right"/>
              <w:ind w:right="1520"/>
              <w:spacing w:after="0"/>
              <w:rPr>
                <w:sz w:val="20"/>
                <w:szCs w:val="20"/>
                <w:color w:val="auto"/>
              </w:rPr>
            </w:pPr>
            <w:r>
              <w:rPr>
                <w:rFonts w:ascii="Arial" w:cs="Arial" w:eastAsia="Arial" w:hAnsi="Arial"/>
                <w:sz w:val="18"/>
                <w:szCs w:val="18"/>
                <w:color w:val="auto"/>
              </w:rPr>
              <w:t>Six Months Ended</w:t>
            </w:r>
          </w:p>
        </w:tc>
      </w:tr>
      <w:tr>
        <w:trPr>
          <w:trHeight w:val="230"/>
        </w:trPr>
        <w:tc>
          <w:tcPr>
            <w:tcW w:w="6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gridSpan w:val="3"/>
          </w:tcPr>
          <w:p>
            <w:pPr>
              <w:ind w:left="180"/>
              <w:spacing w:after="0"/>
              <w:rPr>
                <w:sz w:val="20"/>
                <w:szCs w:val="20"/>
                <w:color w:val="auto"/>
              </w:rPr>
            </w:pPr>
            <w:r>
              <w:rPr>
                <w:rFonts w:ascii="Arial" w:cs="Arial" w:eastAsia="Arial" w:hAnsi="Arial"/>
                <w:sz w:val="18"/>
                <w:szCs w:val="18"/>
                <w:color w:val="auto"/>
              </w:rPr>
              <w:t>June 30, 2019</w:t>
            </w:r>
          </w:p>
        </w:tc>
        <w:tc>
          <w:tcPr>
            <w:tcW w:w="280" w:type="dxa"/>
            <w:vAlign w:val="bottom"/>
          </w:tcPr>
          <w:p>
            <w:pPr>
              <w:spacing w:after="0"/>
              <w:rPr>
                <w:sz w:val="20"/>
                <w:szCs w:val="20"/>
                <w:color w:val="auto"/>
              </w:rPr>
            </w:pPr>
          </w:p>
        </w:tc>
        <w:tc>
          <w:tcPr>
            <w:tcW w:w="1780" w:type="dxa"/>
            <w:vAlign w:val="bottom"/>
            <w:gridSpan w:val="2"/>
          </w:tcPr>
          <w:p>
            <w:pPr>
              <w:jc w:val="right"/>
              <w:ind w:right="600"/>
              <w:spacing w:after="0"/>
              <w:rPr>
                <w:sz w:val="20"/>
                <w:szCs w:val="20"/>
                <w:color w:val="auto"/>
              </w:rPr>
            </w:pPr>
            <w:r>
              <w:rPr>
                <w:rFonts w:ascii="Arial" w:cs="Arial" w:eastAsia="Arial" w:hAnsi="Arial"/>
                <w:sz w:val="18"/>
                <w:szCs w:val="18"/>
                <w:color w:val="auto"/>
              </w:rPr>
              <w:t>June 30, 2018</w:t>
            </w:r>
          </w:p>
        </w:tc>
      </w:tr>
      <w:tr>
        <w:trPr>
          <w:trHeight w:val="223"/>
        </w:trPr>
        <w:tc>
          <w:tcPr>
            <w:tcW w:w="6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9,404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7,881</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Depreciation</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available-for-sale securities, net</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core deposit intangible</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Net amortization (accretion) of fair value adjustments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(1,680)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Deferred income taxes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loan loss</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Gain on sale of loans held for sale</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(433)</w:t>
            </w: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Originations of loans held for sale</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(25,680)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(27,216)</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Proceeds from sale of loans held for sale</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23,710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27,618</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Loss on sale of other assets owned</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Loss on sales of securities available-for-sale</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Change in other assets and other liabilities, net</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(2,354)</w:t>
            </w:r>
          </w:p>
        </w:tc>
      </w:tr>
      <w:tr>
        <w:trPr>
          <w:trHeight w:val="223"/>
        </w:trPr>
        <w:tc>
          <w:tcPr>
            <w:tcW w:w="632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7,684</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Activity in available-for-sale securities: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prepayments and calls</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8,712</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ind w:left="260"/>
              <w:spacing w:after="0"/>
              <w:rPr>
                <w:sz w:val="20"/>
                <w:szCs w:val="20"/>
                <w:color w:val="auto"/>
              </w:rPr>
            </w:pPr>
            <w:r>
              <w:rPr>
                <w:rFonts w:ascii="Arial" w:cs="Arial" w:eastAsia="Arial" w:hAnsi="Arial"/>
                <w:sz w:val="18"/>
                <w:szCs w:val="18"/>
                <w:color w:val="auto"/>
              </w:rPr>
              <w:t>Sales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(30,063)</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(2,695)</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Activity in other securities, at cost:</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Change in interest-bearing time deposits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other assets owned</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Additions to premises and equipment</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(2,169)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(1,153)</w:t>
            </w: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Loan originations and principal collections, net</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(7,903)</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Acquisition of Limberlost, net of cash received</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(2,089)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3"/>
        </w:trPr>
        <w:tc>
          <w:tcPr>
            <w:tcW w:w="63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(3,176)</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deposits</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107,256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11,426</w:t>
            </w:r>
          </w:p>
        </w:tc>
        <w:tc>
          <w:tcPr>
            <w:tcW w:w="120" w:type="dxa"/>
            <w:vAlign w:val="bottom"/>
            <w:shd w:val="clear" w:color="auto" w:fill="CFF0FC"/>
          </w:tcPr>
          <w:p>
            <w:pPr>
              <w:spacing w:after="0"/>
              <w:rPr>
                <w:sz w:val="19"/>
                <w:szCs w:val="19"/>
                <w:color w:val="auto"/>
              </w:rPr>
            </w:pPr>
          </w:p>
        </w:tc>
      </w:tr>
      <w:tr>
        <w:trPr>
          <w:trHeight w:val="215"/>
        </w:trPr>
        <w:tc>
          <w:tcPr>
            <w:tcW w:w="6320" w:type="dxa"/>
            <w:vAlign w:val="bottom"/>
          </w:tcPr>
          <w:p>
            <w:pPr>
              <w:spacing w:after="0"/>
              <w:rPr>
                <w:sz w:val="20"/>
                <w:szCs w:val="20"/>
                <w:color w:val="auto"/>
              </w:rPr>
            </w:pPr>
            <w:r>
              <w:rPr>
                <w:rFonts w:ascii="Arial" w:cs="Arial" w:eastAsia="Arial" w:hAnsi="Arial"/>
                <w:sz w:val="18"/>
                <w:szCs w:val="18"/>
                <w:color w:val="auto"/>
              </w:rPr>
              <w:t>Net change in federal funds purchased and securities sold under agreements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to repurchase</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(5,079)</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(15,597)</w:t>
            </w: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Repayment of FHLB advances</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(23,938)</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paid on common stock</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(3,034)</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(2,385)</w:t>
            </w:r>
          </w:p>
        </w:tc>
      </w:tr>
      <w:tr>
        <w:trPr>
          <w:trHeight w:val="223"/>
        </w:trPr>
        <w:tc>
          <w:tcPr>
            <w:tcW w:w="6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8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74,992</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(6,556)</w:t>
            </w:r>
          </w:p>
        </w:tc>
        <w:tc>
          <w:tcPr>
            <w:tcW w:w="120" w:type="dxa"/>
            <w:vAlign w:val="bottom"/>
            <w:tcBorders>
              <w:bottom w:val="single" w:sz="8" w:color="CFF0FC"/>
            </w:tcBorders>
          </w:tcPr>
          <w:p>
            <w:pPr>
              <w:spacing w:after="0"/>
              <w:rPr>
                <w:sz w:val="19"/>
                <w:szCs w:val="19"/>
                <w:color w:val="auto"/>
              </w:rPr>
            </w:pPr>
          </w:p>
        </w:tc>
      </w:tr>
      <w:tr>
        <w:trPr>
          <w:trHeight w:val="223"/>
        </w:trPr>
        <w:tc>
          <w:tcPr>
            <w:tcW w:w="6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84,913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(1,903)</w:t>
            </w:r>
          </w:p>
        </w:tc>
        <w:tc>
          <w:tcPr>
            <w:tcW w:w="120" w:type="dxa"/>
            <w:vAlign w:val="bottom"/>
            <w:shd w:val="clear" w:color="auto" w:fill="CFF0FC"/>
          </w:tcPr>
          <w:p>
            <w:pPr>
              <w:spacing w:after="0"/>
              <w:rPr>
                <w:sz w:val="19"/>
                <w:szCs w:val="19"/>
                <w:color w:val="auto"/>
              </w:rPr>
            </w:pPr>
          </w:p>
        </w:tc>
      </w:tr>
      <w:tr>
        <w:trPr>
          <w:trHeight w:val="223"/>
        </w:trPr>
        <w:tc>
          <w:tcPr>
            <w:tcW w:w="63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8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38,365</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34,467</w:t>
            </w:r>
          </w:p>
        </w:tc>
        <w:tc>
          <w:tcPr>
            <w:tcW w:w="120" w:type="dxa"/>
            <w:vAlign w:val="bottom"/>
            <w:tcBorders>
              <w:bottom w:val="single" w:sz="8" w:color="CFF0FC"/>
            </w:tcBorders>
          </w:tcPr>
          <w:p>
            <w:pPr>
              <w:spacing w:after="0"/>
              <w:rPr>
                <w:sz w:val="19"/>
                <w:szCs w:val="19"/>
                <w:color w:val="auto"/>
              </w:rPr>
            </w:pPr>
          </w:p>
        </w:tc>
      </w:tr>
      <w:tr>
        <w:trPr>
          <w:trHeight w:val="223"/>
        </w:trPr>
        <w:tc>
          <w:tcPr>
            <w:tcW w:w="6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8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123,278</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32,564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 (Continued)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gridSpan w:val="5"/>
          </w:tcPr>
          <w:p>
            <w:pPr>
              <w:jc w:val="center"/>
              <w:ind w:right="420"/>
              <w:spacing w:after="0"/>
              <w:rPr>
                <w:sz w:val="20"/>
                <w:szCs w:val="20"/>
                <w:color w:val="auto"/>
              </w:rPr>
            </w:pPr>
            <w:r>
              <w:rPr>
                <w:rFonts w:ascii="Arial" w:cs="Arial" w:eastAsia="Arial" w:hAnsi="Arial"/>
                <w:sz w:val="18"/>
                <w:szCs w:val="18"/>
                <w:color w:val="auto"/>
                <w:w w:val="91"/>
              </w:rPr>
              <w:t>(in thousands of dollars)</w:t>
            </w:r>
          </w:p>
        </w:tc>
      </w:tr>
      <w:tr>
        <w:trPr>
          <w:trHeight w:val="230"/>
        </w:trPr>
        <w:tc>
          <w:tcPr>
            <w:tcW w:w="7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gridSpan w:val="5"/>
          </w:tcPr>
          <w:p>
            <w:pPr>
              <w:jc w:val="center"/>
              <w:ind w:right="400"/>
              <w:spacing w:after="0"/>
              <w:rPr>
                <w:sz w:val="20"/>
                <w:szCs w:val="20"/>
                <w:color w:val="auto"/>
              </w:rPr>
            </w:pPr>
            <w:r>
              <w:rPr>
                <w:rFonts w:ascii="Arial" w:cs="Arial" w:eastAsia="Arial" w:hAnsi="Arial"/>
                <w:sz w:val="18"/>
                <w:szCs w:val="18"/>
                <w:color w:val="auto"/>
                <w:w w:val="91"/>
              </w:rPr>
              <w:t>Six Months Ended</w:t>
            </w:r>
          </w:p>
        </w:tc>
      </w:tr>
      <w:tr>
        <w:trPr>
          <w:trHeight w:val="230"/>
        </w:trPr>
        <w:tc>
          <w:tcPr>
            <w:tcW w:w="7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color w:val="auto"/>
              </w:rPr>
              <w:t>June 30, 2019</w:t>
            </w:r>
          </w:p>
        </w:tc>
        <w:tc>
          <w:tcPr>
            <w:tcW w:w="44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June 30, 2018</w:t>
            </w:r>
          </w:p>
        </w:tc>
      </w:tr>
      <w:tr>
        <w:trPr>
          <w:trHeight w:val="223"/>
        </w:trPr>
        <w:tc>
          <w:tcPr>
            <w:tcW w:w="7080" w:type="dxa"/>
            <w:vAlign w:val="bottom"/>
          </w:tcPr>
          <w:p>
            <w:pPr>
              <w:spacing w:after="0"/>
              <w:rPr>
                <w:sz w:val="20"/>
                <w:szCs w:val="20"/>
                <w:color w:val="auto"/>
              </w:rPr>
            </w:pPr>
            <w:r>
              <w:rPr>
                <w:rFonts w:ascii="Arial" w:cs="Arial" w:eastAsia="Arial" w:hAnsi="Arial"/>
                <w:sz w:val="18"/>
                <w:szCs w:val="18"/>
                <w:b w:val="1"/>
                <w:bCs w:val="1"/>
                <w:color w:val="auto"/>
              </w:rPr>
              <w:t>Supplemental Information</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Cash paid during the year for:</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Interest</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6,060</w:t>
            </w:r>
          </w:p>
        </w:tc>
        <w:tc>
          <w:tcPr>
            <w:tcW w:w="120" w:type="dxa"/>
            <w:vAlign w:val="bottom"/>
          </w:tcPr>
          <w:p>
            <w:pPr>
              <w:spacing w:after="0"/>
              <w:rPr>
                <w:sz w:val="19"/>
                <w:szCs w:val="19"/>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2,993</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Noncash investing activities: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Transfer of loans to other real estate owned</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15"/>
        </w:trPr>
        <w:tc>
          <w:tcPr>
            <w:tcW w:w="7080" w:type="dxa"/>
            <w:vAlign w:val="bottom"/>
          </w:tcPr>
          <w:p>
            <w:pPr>
              <w:spacing w:after="0"/>
              <w:rPr>
                <w:sz w:val="20"/>
                <w:szCs w:val="20"/>
                <w:color w:val="auto"/>
              </w:rPr>
            </w:pPr>
            <w:r>
              <w:rPr>
                <w:rFonts w:ascii="Arial" w:cs="Arial" w:eastAsia="Arial" w:hAnsi="Arial"/>
                <w:sz w:val="18"/>
                <w:szCs w:val="18"/>
                <w:color w:val="auto"/>
              </w:rPr>
              <w:t>The Company purchased all of the capital stock of Limberlost for $78,902 on January 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2019. In conjunction with the acquisition, liabilities were assumed as follows: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Fair value of assets acquired</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336,380</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Less: common stock issued</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70,437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the capital stock</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8,465</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Liabilities assumed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257,478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660" w:right="3540" w:hanging="1350"/>
        <w:spacing w:after="0" w:line="810" w:lineRule="auto"/>
        <w:tabs>
          <w:tab w:leader="none" w:pos="4406" w:val="left"/>
        </w:tabs>
        <w:numPr>
          <w:ilvl w:val="0"/>
          <w:numId w:val="6"/>
        </w:numPr>
        <w:rPr>
          <w:rFonts w:ascii="Arial" w:cs="Arial" w:eastAsia="Arial" w:hAnsi="Arial"/>
          <w:sz w:val="18"/>
          <w:szCs w:val="18"/>
          <w:color w:val="auto"/>
        </w:rPr>
      </w:pPr>
      <w:r>
        <w:rPr>
          <w:rFonts w:ascii="Arial" w:cs="Arial" w:eastAsia="Arial" w:hAnsi="Arial"/>
          <w:sz w:val="18"/>
          <w:szCs w:val="18"/>
          <w:color w:val="auto"/>
        </w:rPr>
        <w:t>Remainder of this page intentionally left blank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ITEM 1 NOTES TO CONDENSED CONSOLIDATED UNAUDITED FINANCIAL STATEMENTS</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NOTE 1 BASIS OF PRESENTATION AND OTHER</w:t>
      </w:r>
    </w:p>
    <w:p>
      <w:pPr>
        <w:spacing w:after="0" w:line="198"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six months ended June 30, 2019 are not necessarily indicative of the results that are expected for the year ended December 31, 2019. The condensed consolidated balance sheet of the Company as of December 31, 2018, has been derived from the audited consolidated balance sheet of the Company as of that date. These condensed consolidated financial statements should be read in conjunction with the consolidated financial statements and footnotes thereto included in the Company's Annual Report on Form 10-K for the year ended December 31, 2018.</w:t>
      </w:r>
    </w:p>
    <w:p>
      <w:pPr>
        <w:spacing w:after="0" w:line="157"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Reclassification</w:t>
      </w:r>
    </w:p>
    <w:p>
      <w:pPr>
        <w:spacing w:after="0" w:line="198"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Certain amounts in the 2018 condensed consolidated financial statements have been reclassified to conform with the 2019 presentation. These reclassifications had no effect on income.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NOTE 2 BUSINESS COMBINATION AND ASSET PURCHASE</w:t>
      </w:r>
    </w:p>
    <w:p>
      <w:pPr>
        <w:spacing w:after="0" w:line="225"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 shares of FMAO common stock and $8,465.00 in cash for each share. Limberlost had 1,000 shares outstanding on January 1, 2019. The share price of Farmers &amp; Merchants Bancorp, Inc. (FMAO) stock on January 1, 2019 was $38.49. Total consideration for the acquisition was approximately $78.9 million consisting of $8.5 million in cash and $70.4 million in stock. As a result of the acquisition, the Company will have an opportunity to increase its deposit base and reduce transaction costs. The Company also expects to reduce costs through economies of scale.</w:t>
      </w:r>
    </w:p>
    <w:p>
      <w:pPr>
        <w:spacing w:after="0" w:line="205"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In 2018, the Company incurred $742.1 thousand of third-party acquisition-related costs. The largest portion of the expenses recognized in 2018 related to consulting fees of $340 thousand, other general and administration expenses of $331.5 thousand and data processing expenses of $58.6 thousand. These three categories of expense accounted for 98.4% of the total acquisition expenses impacting the 2018 financial statements of the Company.</w:t>
      </w:r>
    </w:p>
    <w:p>
      <w:pPr>
        <w:spacing w:after="0" w:line="214" w:lineRule="exact"/>
        <w:rPr>
          <w:sz w:val="20"/>
          <w:szCs w:val="20"/>
          <w:color w:val="auto"/>
        </w:rPr>
      </w:pPr>
    </w:p>
    <w:p>
      <w:pPr>
        <w:jc w:val="both"/>
        <w:ind w:left="760"/>
        <w:spacing w:after="0" w:line="312" w:lineRule="auto"/>
        <w:rPr>
          <w:sz w:val="20"/>
          <w:szCs w:val="20"/>
          <w:color w:val="auto"/>
        </w:rPr>
      </w:pPr>
      <w:r>
        <w:rPr>
          <w:rFonts w:ascii="Arial" w:cs="Arial" w:eastAsia="Arial" w:hAnsi="Arial"/>
          <w:sz w:val="16"/>
          <w:szCs w:val="16"/>
          <w:color w:val="auto"/>
        </w:rPr>
        <w:t>In 2019, the Company has incurred additional third-party acquisition-related costs of $1.246 million. These expenses are comprised of data processing of $867.6 thousand, employee benefits of $145.1 thousand, ATM expense of $31.4 thousand, consulting fees of $19.3 thousand and other general and administrative expense of $182.3 thousand in the Company’s consolidated statement of income for the year ended June 30, 2019.</w:t>
      </w:r>
    </w:p>
    <w:p>
      <w:pPr>
        <w:spacing w:after="0" w:line="93"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Under the acquisition method of accounting, the total purchase is allocated to net tangible and intangible assets based on their current estimated fair values on the date of acquisition. Of the total purchase price of $78.9 million, $3.9 million has been allocated to core deposit intangible included in other assets and will be amortized over seven years on a straight line basis. Goodwill of $43.3 million resulting from the acquisition consists largely of the synergies and economies of scale expected from combining the operations of the Company and Bank of Geneva. Of that total amount, none of the purchase price is deductible for tax purposes. The following table summarizes the consideration paid for Bank of Geneva and the amounts of the assets acquired and liabilities assumed recognized at the acquisition date.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NOTE 3 SECURITIES (Continued)</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80" w:type="dxa"/>
            <w:vAlign w:val="bottom"/>
          </w:tcPr>
          <w:p>
            <w:pPr>
              <w:spacing w:after="0"/>
              <w:rPr>
                <w:sz w:val="24"/>
                <w:szCs w:val="24"/>
                <w:color w:val="auto"/>
              </w:rPr>
            </w:pPr>
          </w:p>
        </w:tc>
        <w:tc>
          <w:tcPr>
            <w:tcW w:w="1940" w:type="dxa"/>
            <w:vAlign w:val="bottom"/>
            <w:gridSpan w:val="6"/>
            <w:vMerge w:val="restart"/>
          </w:tcPr>
          <w:p>
            <w:pPr>
              <w:ind w:left="32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8,465</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tcPr>
          <w:p>
            <w:pPr>
              <w:spacing w:after="0" w:line="189" w:lineRule="exact"/>
              <w:rPr>
                <w:sz w:val="20"/>
                <w:szCs w:val="20"/>
                <w:color w:val="auto"/>
              </w:rPr>
            </w:pPr>
            <w:r>
              <w:rPr>
                <w:rFonts w:ascii="Arial" w:cs="Arial" w:eastAsia="Arial" w:hAnsi="Arial"/>
                <w:sz w:val="18"/>
                <w:szCs w:val="18"/>
                <w:color w:val="auto"/>
              </w:rPr>
              <w:t>Common Shares (1,830,000 shares)</w:t>
            </w:r>
          </w:p>
        </w:tc>
        <w:tc>
          <w:tcPr>
            <w:tcW w:w="80" w:type="dxa"/>
            <w:vAlign w:val="bottom"/>
          </w:tcPr>
          <w:p>
            <w:pPr>
              <w:spacing w:after="0"/>
              <w:rPr>
                <w:sz w:val="16"/>
                <w:szCs w:val="16"/>
                <w:color w:val="auto"/>
              </w:rPr>
            </w:pPr>
          </w:p>
        </w:tc>
        <w:tc>
          <w:tcPr>
            <w:tcW w:w="184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auto"/>
              </w:rPr>
              <w:t>70,437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FF0FC"/>
            </w:tcBorders>
            <w:gridSpan w:val="2"/>
            <w:shd w:val="clear" w:color="auto" w:fill="CFF0FC"/>
          </w:tcPr>
          <w:p>
            <w:pPr>
              <w:spacing w:after="0"/>
              <w:rPr>
                <w:sz w:val="18"/>
                <w:szCs w:val="18"/>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7"/>
              </w:rPr>
              <w:t>78,902</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4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6,376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Securities - available-for-sale</w:t>
            </w:r>
          </w:p>
        </w:tc>
        <w:tc>
          <w:tcPr>
            <w:tcW w:w="80" w:type="dxa"/>
            <w:vAlign w:val="bottom"/>
            <w:shd w:val="clear" w:color="auto" w:fill="CFF0FC"/>
          </w:tcPr>
          <w:p>
            <w:pPr>
              <w:spacing w:after="0"/>
              <w:rPr>
                <w:sz w:val="19"/>
                <w:szCs w:val="19"/>
                <w:color w:val="auto"/>
              </w:rPr>
            </w:pPr>
          </w:p>
        </w:tc>
        <w:tc>
          <w:tcPr>
            <w:tcW w:w="184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17,494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ind w:left="240"/>
              <w:spacing w:after="0"/>
              <w:rPr>
                <w:sz w:val="20"/>
                <w:szCs w:val="20"/>
                <w:color w:val="auto"/>
              </w:rPr>
            </w:pPr>
            <w:r>
              <w:rPr>
                <w:rFonts w:ascii="Arial" w:cs="Arial" w:eastAsia="Arial" w:hAnsi="Arial"/>
                <w:sz w:val="18"/>
                <w:szCs w:val="18"/>
                <w:color w:val="auto"/>
              </w:rPr>
              <w:t>Other securities, at cost</w:t>
            </w:r>
          </w:p>
        </w:tc>
        <w:tc>
          <w:tcPr>
            <w:tcW w:w="80" w:type="dxa"/>
            <w:vAlign w:val="bottom"/>
          </w:tcPr>
          <w:p>
            <w:pPr>
              <w:spacing w:after="0"/>
              <w:rPr>
                <w:sz w:val="19"/>
                <w:szCs w:val="19"/>
                <w:color w:val="auto"/>
              </w:rPr>
            </w:pP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2,347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net</w:t>
            </w:r>
          </w:p>
        </w:tc>
        <w:tc>
          <w:tcPr>
            <w:tcW w:w="80" w:type="dxa"/>
            <w:vAlign w:val="bottom"/>
            <w:shd w:val="clear" w:color="auto" w:fill="CFF0FC"/>
          </w:tcPr>
          <w:p>
            <w:pPr>
              <w:spacing w:after="0"/>
              <w:rPr>
                <w:sz w:val="19"/>
                <w:szCs w:val="19"/>
                <w:color w:val="auto"/>
              </w:rPr>
            </w:pPr>
          </w:p>
        </w:tc>
        <w:tc>
          <w:tcPr>
            <w:tcW w:w="18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257,183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ind w:left="240"/>
              <w:spacing w:after="0"/>
              <w:rPr>
                <w:sz w:val="20"/>
                <w:szCs w:val="20"/>
                <w:color w:val="auto"/>
              </w:rPr>
            </w:pPr>
            <w:r>
              <w:rPr>
                <w:rFonts w:ascii="Arial" w:cs="Arial" w:eastAsia="Arial" w:hAnsi="Arial"/>
                <w:sz w:val="18"/>
                <w:szCs w:val="18"/>
                <w:color w:val="auto"/>
              </w:rPr>
              <w:t>Premises and equipment</w:t>
            </w:r>
          </w:p>
        </w:tc>
        <w:tc>
          <w:tcPr>
            <w:tcW w:w="80" w:type="dxa"/>
            <w:vAlign w:val="bottom"/>
          </w:tcPr>
          <w:p>
            <w:pPr>
              <w:spacing w:after="0"/>
              <w:rPr>
                <w:sz w:val="19"/>
                <w:szCs w:val="19"/>
                <w:color w:val="auto"/>
              </w:rPr>
            </w:pP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2,538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FF0FC"/>
          </w:tcPr>
          <w:p>
            <w:pPr>
              <w:spacing w:after="0"/>
              <w:rPr>
                <w:sz w:val="19"/>
                <w:szCs w:val="19"/>
                <w:color w:val="auto"/>
              </w:rPr>
            </w:pPr>
          </w:p>
        </w:tc>
        <w:tc>
          <w:tcPr>
            <w:tcW w:w="184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43,266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tcPr>
          <w:p>
            <w:pPr>
              <w:ind w:left="240"/>
              <w:spacing w:after="0" w:line="189" w:lineRule="exact"/>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6"/>
                <w:szCs w:val="16"/>
                <w:color w:val="auto"/>
              </w:rPr>
            </w:pPr>
          </w:p>
        </w:tc>
        <w:tc>
          <w:tcPr>
            <w:tcW w:w="1820" w:type="dxa"/>
            <w:vAlign w:val="bottom"/>
            <w:gridSpan w:val="4"/>
          </w:tcPr>
          <w:p>
            <w:pPr>
              <w:jc w:val="right"/>
              <w:spacing w:after="0" w:line="189" w:lineRule="exact"/>
              <w:rPr>
                <w:sz w:val="20"/>
                <w:szCs w:val="20"/>
                <w:color w:val="auto"/>
              </w:rPr>
            </w:pPr>
            <w:r>
              <w:rPr>
                <w:rFonts w:ascii="Arial" w:cs="Arial" w:eastAsia="Arial" w:hAnsi="Arial"/>
                <w:sz w:val="18"/>
                <w:szCs w:val="18"/>
                <w:color w:val="auto"/>
              </w:rPr>
              <w:t>7,176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 Purchased</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336,380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9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ind w:left="240"/>
              <w:spacing w:after="0"/>
              <w:rPr>
                <w:sz w:val="20"/>
                <w:szCs w:val="20"/>
                <w:color w:val="auto"/>
              </w:rPr>
            </w:pPr>
            <w:r>
              <w:rPr>
                <w:rFonts w:ascii="Arial" w:cs="Arial" w:eastAsia="Arial" w:hAnsi="Arial"/>
                <w:sz w:val="18"/>
                <w:szCs w:val="18"/>
                <w:color w:val="auto"/>
              </w:rPr>
              <w:t>Deposits</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Noninterest bearing</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37,822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tcPr>
          <w:p>
            <w:pPr>
              <w:ind w:left="480"/>
              <w:spacing w:after="0" w:line="189" w:lineRule="exact"/>
              <w:rPr>
                <w:sz w:val="20"/>
                <w:szCs w:val="20"/>
                <w:color w:val="auto"/>
              </w:rPr>
            </w:pPr>
            <w:r>
              <w:rPr>
                <w:rFonts w:ascii="Arial" w:cs="Arial" w:eastAsia="Arial" w:hAnsi="Arial"/>
                <w:sz w:val="18"/>
                <w:szCs w:val="18"/>
                <w:color w:val="auto"/>
              </w:rPr>
              <w:t>Interest bearing</w:t>
            </w:r>
          </w:p>
        </w:tc>
        <w:tc>
          <w:tcPr>
            <w:tcW w:w="80" w:type="dxa"/>
            <w:vAlign w:val="bottom"/>
          </w:tcPr>
          <w:p>
            <w:pPr>
              <w:spacing w:after="0"/>
              <w:rPr>
                <w:sz w:val="16"/>
                <w:szCs w:val="16"/>
                <w:color w:val="auto"/>
              </w:rPr>
            </w:pPr>
          </w:p>
        </w:tc>
        <w:tc>
          <w:tcPr>
            <w:tcW w:w="1820" w:type="dxa"/>
            <w:vAlign w:val="bottom"/>
            <w:gridSpan w:val="4"/>
          </w:tcPr>
          <w:p>
            <w:pPr>
              <w:jc w:val="right"/>
              <w:spacing w:after="0" w:line="189" w:lineRule="exact"/>
              <w:rPr>
                <w:sz w:val="20"/>
                <w:szCs w:val="20"/>
                <w:color w:val="auto"/>
              </w:rPr>
            </w:pPr>
            <w:r>
              <w:rPr>
                <w:rFonts w:ascii="Arial" w:cs="Arial" w:eastAsia="Arial" w:hAnsi="Arial"/>
                <w:sz w:val="18"/>
                <w:szCs w:val="18"/>
                <w:color w:val="auto"/>
              </w:rPr>
              <w:t>168,312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deposits</w:t>
            </w:r>
          </w:p>
        </w:tc>
        <w:tc>
          <w:tcPr>
            <w:tcW w:w="80" w:type="dxa"/>
            <w:vAlign w:val="bottom"/>
            <w:shd w:val="clear" w:color="auto" w:fill="CFF0FC"/>
          </w:tcPr>
          <w:p>
            <w:pPr>
              <w:spacing w:after="0"/>
              <w:rPr>
                <w:sz w:val="19"/>
                <w:szCs w:val="19"/>
                <w:color w:val="auto"/>
              </w:rPr>
            </w:pPr>
          </w:p>
        </w:tc>
        <w:tc>
          <w:tcPr>
            <w:tcW w:w="18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206,134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ind w:left="240"/>
              <w:spacing w:after="0"/>
              <w:rPr>
                <w:sz w:val="20"/>
                <w:szCs w:val="20"/>
                <w:color w:val="auto"/>
              </w:rPr>
            </w:pPr>
            <w:r>
              <w:rPr>
                <w:rFonts w:ascii="Arial" w:cs="Arial" w:eastAsia="Arial" w:hAnsi="Arial"/>
                <w:sz w:val="18"/>
                <w:szCs w:val="18"/>
                <w:color w:val="auto"/>
              </w:rPr>
              <w:t>Federal Home Loan Bank (FHLB) advances</w:t>
            </w:r>
          </w:p>
        </w:tc>
        <w:tc>
          <w:tcPr>
            <w:tcW w:w="80" w:type="dxa"/>
            <w:vAlign w:val="bottom"/>
          </w:tcPr>
          <w:p>
            <w:pPr>
              <w:spacing w:after="0"/>
              <w:rPr>
                <w:sz w:val="19"/>
                <w:szCs w:val="19"/>
                <w:color w:val="auto"/>
              </w:rPr>
            </w:pPr>
          </w:p>
        </w:tc>
        <w:tc>
          <w:tcPr>
            <w:tcW w:w="1840" w:type="dxa"/>
            <w:vAlign w:val="bottom"/>
            <w:gridSpan w:val="5"/>
          </w:tcPr>
          <w:p>
            <w:pPr>
              <w:jc w:val="right"/>
              <w:ind w:right="20"/>
              <w:spacing w:after="0"/>
              <w:rPr>
                <w:sz w:val="20"/>
                <w:szCs w:val="20"/>
                <w:color w:val="auto"/>
              </w:rPr>
            </w:pPr>
            <w:r>
              <w:rPr>
                <w:rFonts w:ascii="Arial" w:cs="Arial" w:eastAsia="Arial" w:hAnsi="Arial"/>
                <w:sz w:val="18"/>
                <w:szCs w:val="18"/>
                <w:color w:val="auto"/>
              </w:rPr>
              <w:t>48,196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3,148</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Assumed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257,478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left="760"/>
        <w:spacing w:after="0" w:line="308" w:lineRule="auto"/>
        <w:rPr>
          <w:sz w:val="20"/>
          <w:szCs w:val="20"/>
          <w:color w:val="auto"/>
        </w:rPr>
      </w:pPr>
      <w:r>
        <w:rPr>
          <w:rFonts w:ascii="Arial" w:cs="Arial" w:eastAsia="Arial" w:hAnsi="Arial"/>
          <w:sz w:val="17"/>
          <w:szCs w:val="17"/>
          <w:color w:val="auto"/>
        </w:rPr>
        <w:t>The fair value of the assets acquired includes loans with a fair value of $257.2 million. The gross principal and contractual interest due under the contracts is $359.2 million, of which $4.7 million is expected to be uncollectible. The loans have a weighted average life of 70 months.</w:t>
      </w:r>
    </w:p>
    <w:p>
      <w:pPr>
        <w:spacing w:after="0" w:line="9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fair value of building and land included in premises and equipment was written down by $1.2 million and will be amortized based on the remaining life of each building. The combined average remaining life is 16.75 years.</w:t>
      </w:r>
    </w:p>
    <w:p>
      <w:pPr>
        <w:spacing w:after="0" w:line="116" w:lineRule="exact"/>
        <w:rPr>
          <w:sz w:val="20"/>
          <w:szCs w:val="20"/>
          <w:color w:val="auto"/>
        </w:rPr>
      </w:pPr>
    </w:p>
    <w:p>
      <w:pPr>
        <w:jc w:val="both"/>
        <w:ind w:left="760"/>
        <w:spacing w:after="0" w:line="308" w:lineRule="auto"/>
        <w:rPr>
          <w:sz w:val="20"/>
          <w:szCs w:val="20"/>
          <w:color w:val="auto"/>
        </w:rPr>
      </w:pPr>
      <w:r>
        <w:rPr>
          <w:rFonts w:ascii="Arial" w:cs="Arial" w:eastAsia="Arial" w:hAnsi="Arial"/>
          <w:sz w:val="17"/>
          <w:szCs w:val="17"/>
          <w:color w:val="auto"/>
        </w:rPr>
        <w:t>The fair value for certificates of deposit incorporates a valuation amount of $0.5 million which will be amortized over 1.5 years. The fair value of Federal Home Loan Bank (FHLB) advances includes a valuation amount of $1.3 million which will be amortized over 2.3 years.</w:t>
      </w:r>
    </w:p>
    <w:p>
      <w:pPr>
        <w:spacing w:after="0" w:line="93"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Company acquired loans in the acquisition that had evidence of deterioration of credit quality since origination and it was probable, at acquisition, that all contractually required payments would not be collected.</w:t>
      </w:r>
    </w:p>
    <w:p>
      <w:pPr>
        <w:spacing w:after="0" w:line="116"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Loans purchased with evidence of credit deterioration since origination and for which it is probable that all contractually required payments will not be collected are considered to be credit impaired. Evidence of credit quality deterioration as of the purchase date may include information such as past-due and nonaccrual status, borrower credit scores and recent loan to value percentages. Purchased credit-impaired loans are accounted for under the accounting guidance for loans and debt securities acquired with deteriorated credit quality (ASC 310-30) and initially measured at fair value, which includes estimated future credit losses expected to be incurred over the life of the loan. Accordingly, an allowance for credit losses related to these loans is not carried over and recorded at the acquisition date. Management estimated the cash flows expected to be collected at acquisition using our internal risk models, which incorporate the estimate of current key assumptions, such as default rates, severity and prepayment speeds.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3 SECURITIES (Continued)</w:t>
      </w:r>
    </w:p>
    <w:p>
      <w:pPr>
        <w:spacing w:after="0" w:line="200" w:lineRule="exact"/>
        <w:rPr>
          <w:sz w:val="20"/>
          <w:szCs w:val="20"/>
          <w:color w:val="auto"/>
        </w:rPr>
      </w:pPr>
    </w:p>
    <w:p>
      <w:pPr>
        <w:spacing w:after="0" w:line="213" w:lineRule="exact"/>
        <w:rPr>
          <w:sz w:val="20"/>
          <w:szCs w:val="20"/>
          <w:color w:val="auto"/>
        </w:rPr>
      </w:pPr>
    </w:p>
    <w:p>
      <w:pPr>
        <w:jc w:val="both"/>
        <w:ind w:left="760"/>
        <w:spacing w:after="0" w:line="258" w:lineRule="auto"/>
        <w:rPr>
          <w:sz w:val="20"/>
          <w:szCs w:val="20"/>
          <w:color w:val="auto"/>
        </w:rPr>
      </w:pPr>
      <w:r>
        <w:rPr>
          <w:rFonts w:ascii="Arial" w:cs="Arial" w:eastAsia="Arial" w:hAnsi="Arial"/>
          <w:sz w:val="18"/>
          <w:szCs w:val="18"/>
          <w:color w:val="auto"/>
        </w:rPr>
        <w:t>The carrying amount of those loans is included in loans, net on the balance sheet at June 30, 2019. The amounts of loans at June 30, 2019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60" w:type="dxa"/>
            <w:vAlign w:val="bottom"/>
          </w:tcPr>
          <w:p>
            <w:pPr>
              <w:jc w:val="right"/>
              <w:ind w:right="10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January 1, 2019</w:t>
            </w:r>
          </w:p>
        </w:tc>
        <w:tc>
          <w:tcPr>
            <w:tcW w:w="420" w:type="dxa"/>
            <w:vAlign w:val="bottom"/>
            <w:tcBorders>
              <w:top w:val="single" w:sz="8" w:color="auto"/>
            </w:tcBorders>
            <w:shd w:val="clear" w:color="auto" w:fill="CFF0FC"/>
          </w:tcPr>
          <w:p>
            <w:pPr>
              <w:spacing w:after="0"/>
              <w:rPr>
                <w:sz w:val="19"/>
                <w:szCs w:val="19"/>
                <w:color w:val="auto"/>
              </w:rPr>
            </w:pPr>
          </w:p>
        </w:tc>
        <w:tc>
          <w:tcPr>
            <w:tcW w:w="2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4,094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w:t>
            </w:r>
          </w:p>
        </w:tc>
        <w:tc>
          <w:tcPr>
            <w:tcW w:w="420" w:type="dxa"/>
            <w:vAlign w:val="bottom"/>
            <w:shd w:val="clear" w:color="auto" w:fill="CFF0FC"/>
          </w:tcPr>
          <w:p>
            <w:pPr>
              <w:spacing w:after="0"/>
              <w:rPr>
                <w:sz w:val="19"/>
                <w:szCs w:val="19"/>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4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Carrying amount, net of allowance of $2,118</w:t>
            </w: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Balance - June 30, 2019</w:t>
            </w:r>
          </w:p>
        </w:tc>
        <w:tc>
          <w:tcPr>
            <w:tcW w:w="42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w:t>
            </w:r>
          </w:p>
        </w:tc>
        <w:tc>
          <w:tcPr>
            <w:tcW w:w="420" w:type="dxa"/>
            <w:vAlign w:val="bottom"/>
            <w:shd w:val="clear" w:color="auto" w:fill="CFF0FC"/>
          </w:tcPr>
          <w:p>
            <w:pPr>
              <w:spacing w:after="0"/>
              <w:rPr>
                <w:sz w:val="19"/>
                <w:szCs w:val="19"/>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4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Carrying amount, net of allowance of $96</w:t>
            </w: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Loans acquired during 2019 for which it was probable at acquisition that all contractually required payments would not be collected are as follows:</w:t>
      </w:r>
    </w:p>
    <w:p>
      <w:pPr>
        <w:spacing w:after="0" w:line="46" w:lineRule="exact"/>
        <w:rPr>
          <w:sz w:val="20"/>
          <w:szCs w:val="20"/>
          <w:color w:val="auto"/>
        </w:rPr>
      </w:pPr>
    </w:p>
    <w:p>
      <w:pPr>
        <w:ind w:left="968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9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Contractually required payments receivable at acquisition</w:t>
            </w:r>
          </w:p>
        </w:tc>
        <w:tc>
          <w:tcPr>
            <w:tcW w:w="9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2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w:t>
            </w:r>
          </w:p>
        </w:tc>
        <w:tc>
          <w:tcPr>
            <w:tcW w:w="9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9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required payments receivable</w:t>
            </w:r>
          </w:p>
        </w:tc>
        <w:tc>
          <w:tcPr>
            <w:tcW w:w="920" w:type="dxa"/>
            <w:vAlign w:val="bottom"/>
            <w:tcBorders>
              <w:bottom w:val="single" w:sz="8" w:color="auto"/>
            </w:tcBorders>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120" w:type="dxa"/>
            <w:vAlign w:val="bottom"/>
            <w:shd w:val="clear" w:color="auto" w:fill="CFF0FC"/>
          </w:tcPr>
          <w:p>
            <w:pPr>
              <w:spacing w:after="0"/>
              <w:rPr>
                <w:sz w:val="20"/>
                <w:szCs w:val="20"/>
                <w:color w:val="auto"/>
              </w:rPr>
            </w:pPr>
            <w:r>
              <w:rPr>
                <w:rFonts w:ascii="Arial" w:cs="Arial" w:eastAsia="Arial" w:hAnsi="Arial"/>
                <w:sz w:val="18"/>
                <w:szCs w:val="18"/>
                <w:color w:val="auto"/>
              </w:rPr>
              <w:t>Cash flows expected to be collected at acquisition</w:t>
            </w:r>
          </w:p>
        </w:tc>
        <w:tc>
          <w:tcPr>
            <w:tcW w:w="920" w:type="dxa"/>
            <w:vAlign w:val="bottom"/>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120" w:type="dxa"/>
            <w:vAlign w:val="bottom"/>
            <w:shd w:val="clear" w:color="auto" w:fill="CFF0FC"/>
          </w:tcPr>
          <w:p>
            <w:pPr>
              <w:spacing w:after="0"/>
              <w:rPr>
                <w:sz w:val="20"/>
                <w:szCs w:val="20"/>
                <w:color w:val="auto"/>
              </w:rPr>
            </w:pPr>
            <w:r>
              <w:rPr>
                <w:rFonts w:ascii="Arial" w:cs="Arial" w:eastAsia="Arial" w:hAnsi="Arial"/>
                <w:sz w:val="18"/>
                <w:szCs w:val="18"/>
                <w:color w:val="auto"/>
              </w:rPr>
              <w:t>Basis in acquired loans at acquisition</w:t>
            </w:r>
          </w:p>
        </w:tc>
        <w:tc>
          <w:tcPr>
            <w:tcW w:w="920" w:type="dxa"/>
            <w:vAlign w:val="bottom"/>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760"/>
        <w:spacing w:after="0" w:line="302" w:lineRule="auto"/>
        <w:rPr>
          <w:sz w:val="20"/>
          <w:szCs w:val="20"/>
          <w:color w:val="auto"/>
        </w:rPr>
      </w:pPr>
      <w:r>
        <w:rPr>
          <w:rFonts w:ascii="Arial" w:cs="Arial" w:eastAsia="Arial" w:hAnsi="Arial"/>
          <w:sz w:val="16"/>
          <w:szCs w:val="16"/>
          <w:color w:val="auto"/>
        </w:rPr>
        <w:t>During the quarter, two commercial purchased credit-impaired loans were paid off in full after the customer was able to secure financing at another financial institution. The associated credit loss of $1.985 million has been included in loan interest income in the Company’s consolidated statement of income for the quarter and year ended June 30, 2019. The balance of the allowance for loan losses for loans acquired and accounted for under this guidance (ASC 310-30) was $96 thousand at June 30, 2019 and $2.118 million on January 1, 2019, respectively.</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Changes in accretable yield, or income expected to be collected, are as follows: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1"/>
              </w:rPr>
              <w:t>Six Months Ended</w:t>
            </w:r>
          </w:p>
        </w:tc>
        <w:tc>
          <w:tcPr>
            <w:tcW w:w="100" w:type="dxa"/>
            <w:vAlign w:val="bottom"/>
          </w:tcPr>
          <w:p>
            <w:pPr>
              <w:spacing w:after="0"/>
              <w:rPr>
                <w:sz w:val="19"/>
                <w:szCs w:val="19"/>
                <w:color w:val="auto"/>
              </w:rPr>
            </w:pPr>
          </w:p>
        </w:tc>
      </w:tr>
      <w:tr>
        <w:trPr>
          <w:trHeight w:val="230"/>
        </w:trPr>
        <w:tc>
          <w:tcPr>
            <w:tcW w:w="6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June 30, 2019</w:t>
            </w: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June 30, 2019</w:t>
            </w:r>
          </w:p>
        </w:tc>
      </w:tr>
      <w:tr>
        <w:trPr>
          <w:trHeight w:val="223"/>
        </w:trPr>
        <w:tc>
          <w:tcPr>
            <w:tcW w:w="69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(In Thousands)</w:t>
            </w:r>
          </w:p>
        </w:tc>
        <w:tc>
          <w:tcPr>
            <w:tcW w:w="3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90"/>
              </w:rPr>
              <w:t>(In Thousands)</w:t>
            </w:r>
          </w:p>
        </w:tc>
        <w:tc>
          <w:tcPr>
            <w:tcW w:w="100" w:type="dxa"/>
            <w:vAlign w:val="bottom"/>
            <w:tcBorders>
              <w:bottom w:val="single" w:sz="8" w:color="CFF0FC"/>
            </w:tcBorders>
          </w:tcPr>
          <w:p>
            <w:pPr>
              <w:spacing w:after="0"/>
              <w:rPr>
                <w:sz w:val="19"/>
                <w:szCs w:val="19"/>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FF0FC"/>
          </w:tcPr>
          <w:p>
            <w:pPr>
              <w:spacing w:after="0"/>
              <w:rPr>
                <w:sz w:val="19"/>
                <w:szCs w:val="19"/>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w:t>
            </w:r>
          </w:p>
        </w:tc>
        <w:tc>
          <w:tcPr>
            <w:tcW w:w="200" w:type="dxa"/>
            <w:vAlign w:val="bottom"/>
            <w:shd w:val="clear" w:color="auto" w:fill="CFF0FC"/>
          </w:tcPr>
          <w:p>
            <w:pPr>
              <w:spacing w:after="0"/>
              <w:rPr>
                <w:sz w:val="19"/>
                <w:szCs w:val="19"/>
                <w:color w:val="auto"/>
              </w:rPr>
            </w:pPr>
          </w:p>
        </w:tc>
        <w:tc>
          <w:tcPr>
            <w:tcW w:w="2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(219)</w:t>
            </w: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Reclassification from nonaccretable difference</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Disposals</w:t>
            </w:r>
          </w:p>
        </w:tc>
        <w:tc>
          <w:tcPr>
            <w:tcW w:w="200" w:type="dxa"/>
            <w:vAlign w:val="bottom"/>
            <w:shd w:val="clear" w:color="auto" w:fill="CFF0FC"/>
          </w:tcPr>
          <w:p>
            <w:pPr>
              <w:spacing w:after="0"/>
              <w:rPr>
                <w:sz w:val="19"/>
                <w:szCs w:val="19"/>
                <w:color w:val="auto"/>
              </w:rPr>
            </w:pPr>
          </w:p>
        </w:tc>
        <w:tc>
          <w:tcPr>
            <w:tcW w:w="2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The results of operations of Bank of Geneva have been included in the Company’s consolidated financial statements since the acquisition date of January 1, 2019. The following schedule includes pro-forma results for the three and six months ended June 30, 2019 and 2018 as if the Bank of Geneva acquisitions had occurred as of the beginning of the comparable prior reporting period.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ind w:left="1300"/>
              <w:spacing w:after="0"/>
              <w:rPr>
                <w:sz w:val="20"/>
                <w:szCs w:val="20"/>
                <w:color w:val="auto"/>
              </w:rPr>
            </w:pPr>
            <w:r>
              <w:rPr>
                <w:rFonts w:ascii="Arial" w:cs="Arial" w:eastAsia="Arial" w:hAnsi="Arial"/>
                <w:sz w:val="18"/>
                <w:szCs w:val="18"/>
                <w:color w:val="auto"/>
              </w:rPr>
              <w:t>NOTE 3 SECURITIES (Continued)</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4"/>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6"/>
          </w:tcPr>
          <w:p>
            <w:pPr>
              <w:jc w:val="center"/>
              <w:ind w:right="440"/>
              <w:spacing w:after="0"/>
              <w:rPr>
                <w:sz w:val="20"/>
                <w:szCs w:val="20"/>
                <w:color w:val="auto"/>
              </w:rPr>
            </w:pPr>
            <w:r>
              <w:rPr>
                <w:rFonts w:ascii="Arial" w:cs="Arial" w:eastAsia="Arial" w:hAnsi="Arial"/>
                <w:sz w:val="18"/>
                <w:szCs w:val="18"/>
                <w:color w:val="auto"/>
                <w:w w:val="89"/>
              </w:rPr>
              <w:t>(in thousands of dollars, except per</w:t>
            </w:r>
          </w:p>
        </w:tc>
        <w:tc>
          <w:tcPr>
            <w:tcW w:w="120" w:type="dxa"/>
            <w:vAlign w:val="bottom"/>
          </w:tcPr>
          <w:p>
            <w:pPr>
              <w:spacing w:after="0"/>
              <w:rPr>
                <w:sz w:val="24"/>
                <w:szCs w:val="24"/>
                <w:color w:val="auto"/>
              </w:rPr>
            </w:pPr>
          </w:p>
        </w:tc>
        <w:tc>
          <w:tcPr>
            <w:tcW w:w="2880" w:type="dxa"/>
            <w:vAlign w:val="bottom"/>
            <w:gridSpan w:val="6"/>
          </w:tcPr>
          <w:p>
            <w:pPr>
              <w:jc w:val="center"/>
              <w:ind w:right="260"/>
              <w:spacing w:after="0"/>
              <w:rPr>
                <w:sz w:val="20"/>
                <w:szCs w:val="20"/>
                <w:color w:val="auto"/>
              </w:rPr>
            </w:pPr>
            <w:r>
              <w:rPr>
                <w:rFonts w:ascii="Arial" w:cs="Arial" w:eastAsia="Arial" w:hAnsi="Arial"/>
                <w:sz w:val="18"/>
                <w:szCs w:val="18"/>
                <w:color w:val="auto"/>
                <w:w w:val="90"/>
              </w:rPr>
              <w:t>(in thousands of dollars, except per</w:t>
            </w:r>
          </w:p>
        </w:tc>
      </w:tr>
      <w:tr>
        <w:trPr>
          <w:trHeight w:val="230"/>
        </w:trPr>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6"/>
          </w:tcPr>
          <w:p>
            <w:pPr>
              <w:jc w:val="center"/>
              <w:ind w:right="440"/>
              <w:spacing w:after="0"/>
              <w:rPr>
                <w:sz w:val="20"/>
                <w:szCs w:val="20"/>
                <w:color w:val="auto"/>
              </w:rPr>
            </w:pPr>
            <w:r>
              <w:rPr>
                <w:rFonts w:ascii="Arial" w:cs="Arial" w:eastAsia="Arial" w:hAnsi="Arial"/>
                <w:sz w:val="18"/>
                <w:szCs w:val="18"/>
                <w:color w:val="auto"/>
                <w:w w:val="87"/>
              </w:rPr>
              <w:t>share data)</w:t>
            </w:r>
          </w:p>
        </w:tc>
        <w:tc>
          <w:tcPr>
            <w:tcW w:w="120" w:type="dxa"/>
            <w:vAlign w:val="bottom"/>
          </w:tcPr>
          <w:p>
            <w:pPr>
              <w:spacing w:after="0"/>
              <w:rPr>
                <w:sz w:val="19"/>
                <w:szCs w:val="19"/>
                <w:color w:val="auto"/>
              </w:rPr>
            </w:pPr>
          </w:p>
        </w:tc>
        <w:tc>
          <w:tcPr>
            <w:tcW w:w="2880" w:type="dxa"/>
            <w:vAlign w:val="bottom"/>
            <w:gridSpan w:val="6"/>
          </w:tcPr>
          <w:p>
            <w:pPr>
              <w:jc w:val="center"/>
              <w:ind w:right="260"/>
              <w:spacing w:after="0"/>
              <w:rPr>
                <w:sz w:val="20"/>
                <w:szCs w:val="20"/>
                <w:color w:val="auto"/>
              </w:rPr>
            </w:pPr>
            <w:r>
              <w:rPr>
                <w:rFonts w:ascii="Arial" w:cs="Arial" w:eastAsia="Arial" w:hAnsi="Arial"/>
                <w:sz w:val="18"/>
                <w:szCs w:val="18"/>
                <w:color w:val="auto"/>
                <w:w w:val="85"/>
              </w:rPr>
              <w:t>share data)</w:t>
            </w:r>
          </w:p>
        </w:tc>
      </w:tr>
      <w:tr>
        <w:trPr>
          <w:trHeight w:val="230"/>
        </w:trPr>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6"/>
          </w:tcPr>
          <w:p>
            <w:pPr>
              <w:jc w:val="center"/>
              <w:ind w:right="44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9"/>
                <w:szCs w:val="19"/>
                <w:color w:val="auto"/>
              </w:rPr>
            </w:pPr>
          </w:p>
        </w:tc>
        <w:tc>
          <w:tcPr>
            <w:tcW w:w="2880" w:type="dxa"/>
            <w:vAlign w:val="bottom"/>
            <w:gridSpan w:val="6"/>
          </w:tcPr>
          <w:p>
            <w:pPr>
              <w:jc w:val="center"/>
              <w:ind w:right="260"/>
              <w:spacing w:after="0"/>
              <w:rPr>
                <w:sz w:val="20"/>
                <w:szCs w:val="20"/>
                <w:color w:val="auto"/>
              </w:rPr>
            </w:pPr>
            <w:r>
              <w:rPr>
                <w:rFonts w:ascii="Arial" w:cs="Arial" w:eastAsia="Arial" w:hAnsi="Arial"/>
                <w:sz w:val="18"/>
                <w:szCs w:val="18"/>
                <w:color w:val="auto"/>
                <w:w w:val="91"/>
              </w:rPr>
              <w:t>Six Months Ended</w:t>
            </w:r>
          </w:p>
        </w:tc>
      </w:tr>
      <w:tr>
        <w:trPr>
          <w:trHeight w:val="230"/>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June 30, 2019</w:t>
            </w: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June 30, 2018</w:t>
            </w:r>
          </w:p>
        </w:tc>
        <w:tc>
          <w:tcPr>
            <w:tcW w:w="12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w w:val="89"/>
              </w:rPr>
              <w:t>June 30, 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June 30, 2018</w:t>
            </w: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Summary of Operations</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Interest Income - Before Provision for Loan Losses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27,311</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27,718</w:t>
            </w:r>
          </w:p>
        </w:tc>
        <w:tc>
          <w:tcPr>
            <w:tcW w:w="120" w:type="dxa"/>
            <w:vAlign w:val="bottom"/>
            <w:shd w:val="clear" w:color="auto" w:fill="CFF0FC"/>
          </w:tcPr>
          <w:p>
            <w:pPr>
              <w:spacing w:after="0"/>
              <w:rPr>
                <w:sz w:val="19"/>
                <w:szCs w:val="19"/>
                <w:color w:val="auto"/>
              </w:rPr>
            </w:pPr>
          </w:p>
        </w:tc>
      </w:tr>
      <w:tr>
        <w:trPr>
          <w:trHeight w:val="230"/>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Loan Losses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FF0FC"/>
            </w:tcBorders>
          </w:tcPr>
          <w:p>
            <w:pPr>
              <w:spacing w:after="0"/>
              <w:rPr>
                <w:sz w:val="19"/>
                <w:szCs w:val="19"/>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Interest Income After Provision for Loan Losses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14,827</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27,148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27,321</w:t>
            </w:r>
          </w:p>
        </w:tc>
        <w:tc>
          <w:tcPr>
            <w:tcW w:w="12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Noninterest Income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5,727</w:t>
            </w: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Noninterest Expense</w:t>
            </w: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9,373</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19,977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18,719</w:t>
            </w:r>
          </w:p>
        </w:tc>
        <w:tc>
          <w:tcPr>
            <w:tcW w:w="120" w:type="dxa"/>
            <w:vAlign w:val="bottom"/>
            <w:shd w:val="clear" w:color="auto" w:fill="CFF0FC"/>
          </w:tcPr>
          <w:p>
            <w:pPr>
              <w:spacing w:after="0"/>
              <w:rPr>
                <w:sz w:val="19"/>
                <w:szCs w:val="19"/>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8,419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14,329</w:t>
            </w: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2,740</w:t>
            </w:r>
          </w:p>
        </w:tc>
        <w:tc>
          <w:tcPr>
            <w:tcW w:w="120" w:type="dxa"/>
            <w:vAlign w:val="bottom"/>
            <w:shd w:val="clear" w:color="auto" w:fill="CFF0FC"/>
          </w:tcPr>
          <w:p>
            <w:pPr>
              <w:spacing w:after="0"/>
              <w:rPr>
                <w:sz w:val="19"/>
                <w:szCs w:val="19"/>
                <w:color w:val="auto"/>
              </w:rPr>
            </w:pPr>
          </w:p>
        </w:tc>
      </w:tr>
      <w:tr>
        <w:trPr>
          <w:trHeight w:val="263"/>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6,149</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6,787</w:t>
            </w:r>
          </w:p>
        </w:tc>
        <w:tc>
          <w:tcPr>
            <w:tcW w:w="3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10,402</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11,589</w:t>
            </w:r>
          </w:p>
        </w:tc>
        <w:tc>
          <w:tcPr>
            <w:tcW w:w="120" w:type="dxa"/>
            <w:vAlign w:val="bottom"/>
            <w:tcBorders>
              <w:bottom w:val="single" w:sz="8" w:color="CFF0FC"/>
            </w:tcBorders>
          </w:tcPr>
          <w:p>
            <w:pPr>
              <w:spacing w:after="0"/>
              <w:rPr>
                <w:sz w:val="22"/>
                <w:szCs w:val="22"/>
                <w:color w:val="auto"/>
              </w:rPr>
            </w:pPr>
          </w:p>
        </w:tc>
      </w:tr>
      <w:tr>
        <w:trPr>
          <w:trHeight w:val="210"/>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Earnings Per Share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60" w:right="20"/>
        <w:spacing w:after="0" w:line="286" w:lineRule="auto"/>
        <w:rPr>
          <w:sz w:val="20"/>
          <w:szCs w:val="20"/>
          <w:color w:val="auto"/>
        </w:rPr>
      </w:pPr>
      <w:r>
        <w:rPr>
          <w:rFonts w:ascii="Arial" w:cs="Arial" w:eastAsia="Arial" w:hAnsi="Arial"/>
          <w:sz w:val="17"/>
          <w:szCs w:val="17"/>
          <w:color w:val="auto"/>
        </w:rPr>
        <w:t>The pro-forma information includes adjustments for interest income on loans, amortization of intangibles arising from the transaction, interest expense on deposits acquired, premises expense for the branches acquired and the related income tax effects. The pro-forma information for the quarter ended June 30, 2019 includes approximately $3.5 million, net of tax, of operating revenue from Bank of Geneva since acquisition.</w:t>
      </w:r>
    </w:p>
    <w:p>
      <w:pPr>
        <w:spacing w:after="0" w:line="193" w:lineRule="exact"/>
        <w:rPr>
          <w:sz w:val="20"/>
          <w:szCs w:val="20"/>
          <w:color w:val="auto"/>
        </w:rPr>
      </w:pPr>
    </w:p>
    <w:p>
      <w:pPr>
        <w:jc w:val="both"/>
        <w:ind w:left="760" w:right="40"/>
        <w:spacing w:after="0" w:line="308" w:lineRule="auto"/>
        <w:rPr>
          <w:sz w:val="20"/>
          <w:szCs w:val="20"/>
          <w:color w:val="auto"/>
        </w:rPr>
      </w:pPr>
      <w:r>
        <w:rPr>
          <w:rFonts w:ascii="Arial" w:cs="Arial" w:eastAsia="Arial" w:hAnsi="Arial"/>
          <w:sz w:val="17"/>
          <w:szCs w:val="17"/>
          <w:color w:val="auto"/>
        </w:rPr>
        <w:t>The pro-forma financial information is presented for informational purposes only and is not indicative of the results of operations that actually would have been achieved had the acquisition been consummated as of that time, nor is it intended to be a projection of future results.</w:t>
      </w:r>
    </w:p>
    <w:p>
      <w:pPr>
        <w:spacing w:after="0" w:line="174"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Company purchased an office on December 13, 2013 in Custar, Ohio. Core deposit intangible assets of $1.17 million were recognized and are being amortized over its remaining economic useful life of the deposits of 7 years on a straight line basis.</w:t>
      </w:r>
    </w:p>
    <w:p>
      <w:pPr>
        <w:spacing w:after="0" w:line="197"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As mentioned previously, the acquisition of Bank of Geneva resulted in the recognition of $3.9 million in core deposit intangible assets which are being amortized over its remaining life of 7 years on a straight line basis.</w:t>
      </w:r>
    </w:p>
    <w:p>
      <w:pPr>
        <w:spacing w:after="0" w:line="197"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amortization expense for the six months ended June 30, 2018 was $84 thousand. Of the $727 thousand to be expensed in 2019, $364 thousand has been expensed for the six months ended June 30,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w w:val="90"/>
              </w:rPr>
              <w:t>(In Thousands)</w:t>
            </w:r>
          </w:p>
        </w:tc>
        <w:tc>
          <w:tcPr>
            <w:tcW w:w="2300" w:type="dxa"/>
            <w:vAlign w:val="bottom"/>
          </w:tcPr>
          <w:p>
            <w:pPr>
              <w:spacing w:after="0"/>
              <w:rPr>
                <w:sz w:val="20"/>
                <w:szCs w:val="20"/>
                <w:color w:val="auto"/>
              </w:rPr>
            </w:pPr>
          </w:p>
        </w:tc>
      </w:tr>
      <w:tr>
        <w:trPr>
          <w:trHeight w:val="223"/>
        </w:trPr>
        <w:tc>
          <w:tcPr>
            <w:tcW w:w="2300" w:type="dxa"/>
            <w:vAlign w:val="bottom"/>
          </w:tcPr>
          <w:p>
            <w:pPr>
              <w:spacing w:after="0"/>
              <w:rPr>
                <w:sz w:val="19"/>
                <w:szCs w:val="19"/>
                <w:color w:val="auto"/>
              </w:rPr>
            </w:pPr>
          </w:p>
        </w:tc>
        <w:tc>
          <w:tcPr>
            <w:tcW w:w="20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Custar</w:t>
            </w:r>
          </w:p>
        </w:tc>
        <w:tc>
          <w:tcPr>
            <w:tcW w:w="1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Geneva</w:t>
            </w:r>
          </w:p>
        </w:tc>
        <w:tc>
          <w:tcPr>
            <w:tcW w:w="1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2020" w:type="dxa"/>
            <w:vAlign w:val="bottom"/>
            <w:shd w:val="clear" w:color="auto" w:fill="CFF0FC"/>
          </w:tcPr>
          <w:p>
            <w:pPr>
              <w:jc w:val="right"/>
              <w:ind w:right="1570"/>
              <w:spacing w:after="0"/>
              <w:rPr>
                <w:sz w:val="20"/>
                <w:szCs w:val="20"/>
                <w:color w:val="auto"/>
              </w:rPr>
            </w:pPr>
            <w:r>
              <w:rPr>
                <w:rFonts w:ascii="Arial" w:cs="Arial" w:eastAsia="Arial" w:hAnsi="Arial"/>
                <w:sz w:val="18"/>
                <w:szCs w:val="18"/>
                <w:color w:val="auto"/>
                <w:w w:val="84"/>
              </w:rPr>
              <w:t>2019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20" w:type="dxa"/>
            <w:vAlign w:val="bottom"/>
          </w:tcPr>
          <w:p>
            <w:pPr>
              <w:jc w:val="right"/>
              <w:ind w:right="1570"/>
              <w:spacing w:after="0"/>
              <w:rPr>
                <w:sz w:val="20"/>
                <w:szCs w:val="20"/>
                <w:color w:val="auto"/>
              </w:rPr>
            </w:pPr>
            <w:r>
              <w:rPr>
                <w:rFonts w:ascii="Arial" w:cs="Arial" w:eastAsia="Arial" w:hAnsi="Arial"/>
                <w:sz w:val="18"/>
                <w:szCs w:val="18"/>
                <w:color w:val="auto"/>
                <w:w w:val="84"/>
              </w:rPr>
              <w:t>2020</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721</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20" w:type="dxa"/>
            <w:vAlign w:val="bottom"/>
            <w:shd w:val="clear" w:color="auto" w:fill="CFF0FC"/>
          </w:tcPr>
          <w:p>
            <w:pPr>
              <w:jc w:val="right"/>
              <w:ind w:right="1570"/>
              <w:spacing w:after="0"/>
              <w:rPr>
                <w:sz w:val="20"/>
                <w:szCs w:val="20"/>
                <w:color w:val="auto"/>
              </w:rPr>
            </w:pPr>
            <w:r>
              <w:rPr>
                <w:rFonts w:ascii="Arial" w:cs="Arial" w:eastAsia="Arial" w:hAnsi="Arial"/>
                <w:sz w:val="18"/>
                <w:szCs w:val="18"/>
                <w:color w:val="auto"/>
                <w:w w:val="84"/>
              </w:rPr>
              <w:t>2021</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20" w:type="dxa"/>
            <w:vAlign w:val="bottom"/>
          </w:tcPr>
          <w:p>
            <w:pPr>
              <w:jc w:val="right"/>
              <w:ind w:right="1570"/>
              <w:spacing w:after="0"/>
              <w:rPr>
                <w:sz w:val="20"/>
                <w:szCs w:val="20"/>
                <w:color w:val="auto"/>
              </w:rPr>
            </w:pPr>
            <w:r>
              <w:rPr>
                <w:rFonts w:ascii="Arial" w:cs="Arial" w:eastAsia="Arial" w:hAnsi="Arial"/>
                <w:sz w:val="18"/>
                <w:szCs w:val="18"/>
                <w:color w:val="auto"/>
                <w:w w:val="84"/>
              </w:rPr>
              <w:t>2022</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20" w:type="dxa"/>
            <w:vAlign w:val="bottom"/>
            <w:shd w:val="clear" w:color="auto" w:fill="CFF0FC"/>
          </w:tcPr>
          <w:p>
            <w:pPr>
              <w:jc w:val="right"/>
              <w:ind w:right="1570"/>
              <w:spacing w:after="0"/>
              <w:rPr>
                <w:sz w:val="20"/>
                <w:szCs w:val="20"/>
                <w:color w:val="auto"/>
              </w:rPr>
            </w:pPr>
            <w:r>
              <w:rPr>
                <w:rFonts w:ascii="Arial" w:cs="Arial" w:eastAsia="Arial" w:hAnsi="Arial"/>
                <w:sz w:val="18"/>
                <w:szCs w:val="18"/>
                <w:color w:val="auto"/>
                <w:w w:val="84"/>
              </w:rPr>
              <w:t>2023</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20" w:type="dxa"/>
            <w:vAlign w:val="bottom"/>
          </w:tcPr>
          <w:p>
            <w:pPr>
              <w:jc w:val="right"/>
              <w:ind w:right="1570"/>
              <w:spacing w:after="0"/>
              <w:rPr>
                <w:sz w:val="20"/>
                <w:szCs w:val="20"/>
                <w:color w:val="auto"/>
              </w:rPr>
            </w:pPr>
            <w:r>
              <w:rPr>
                <w:rFonts w:ascii="Arial" w:cs="Arial" w:eastAsia="Arial" w:hAnsi="Arial"/>
                <w:sz w:val="18"/>
                <w:szCs w:val="18"/>
                <w:color w:val="auto"/>
                <w:w w:val="84"/>
              </w:rPr>
              <w:t>2024</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20" w:type="dxa"/>
            <w:vAlign w:val="bottom"/>
            <w:shd w:val="clear" w:color="auto" w:fill="CFF0FC"/>
          </w:tcPr>
          <w:p>
            <w:pPr>
              <w:jc w:val="right"/>
              <w:ind w:right="1570"/>
              <w:spacing w:after="0"/>
              <w:rPr>
                <w:sz w:val="20"/>
                <w:szCs w:val="20"/>
                <w:color w:val="auto"/>
              </w:rPr>
            </w:pPr>
            <w:r>
              <w:rPr>
                <w:rFonts w:ascii="Arial" w:cs="Arial" w:eastAsia="Arial" w:hAnsi="Arial"/>
                <w:sz w:val="18"/>
                <w:szCs w:val="18"/>
                <w:color w:val="auto"/>
                <w:w w:val="84"/>
              </w:rPr>
              <w:t>2025</w:t>
            </w: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30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230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750"/>
        </w:trPr>
        <w:tc>
          <w:tcPr>
            <w:tcW w:w="2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3 SECURITIES (Continued)</w:t>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3 SECURITIES</w:t>
      </w:r>
    </w:p>
    <w:p>
      <w:pPr>
        <w:spacing w:after="0" w:line="252"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Mortgage-backed securities, as shown in the following tables, are all government sponsored enterprises. The amortized cost and fair value of securities, with gross unrealized gains and losses at June 30, 2019 and December 31, 2018,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8"/>
                <w:szCs w:val="18"/>
                <w:color w:val="auto"/>
                <w:w w:val="90"/>
              </w:rPr>
              <w:t>(In Thousands)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3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8"/>
                <w:szCs w:val="18"/>
                <w:color w:val="auto"/>
                <w:w w:val="87"/>
              </w:rPr>
              <w:t>June 30, 2019</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09"/>
        </w:trPr>
        <w:tc>
          <w:tcPr>
            <w:tcW w:w="3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3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3"/>
              </w:rPr>
              <w:t>Amortized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center"/>
              <w:ind w:right="270"/>
              <w:spacing w:after="0"/>
              <w:rPr>
                <w:sz w:val="20"/>
                <w:szCs w:val="20"/>
                <w:color w:val="auto"/>
              </w:rPr>
            </w:pPr>
            <w:r>
              <w:rPr>
                <w:rFonts w:ascii="Arial" w:cs="Arial" w:eastAsia="Arial" w:hAnsi="Arial"/>
                <w:sz w:val="18"/>
                <w:szCs w:val="18"/>
                <w:color w:val="auto"/>
                <w:w w:val="90"/>
              </w:rPr>
              <w:t>Fair</w:t>
            </w:r>
          </w:p>
        </w:tc>
      </w:tr>
      <w:tr>
        <w:trPr>
          <w:trHeight w:val="230"/>
        </w:trPr>
        <w:tc>
          <w:tcPr>
            <w:tcW w:w="3860" w:type="dxa"/>
            <w:vAlign w:val="bottom"/>
            <w:tcBorders>
              <w:bottom w:val="single" w:sz="8" w:color="CFF0FC"/>
            </w:tcBorders>
          </w:tcPr>
          <w:p>
            <w:pPr>
              <w:spacing w:after="0"/>
              <w:rPr>
                <w:sz w:val="20"/>
                <w:szCs w:val="20"/>
                <w:color w:val="auto"/>
              </w:rPr>
            </w:pPr>
          </w:p>
        </w:tc>
        <w:tc>
          <w:tcPr>
            <w:tcW w:w="146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Cost</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Gains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Losses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6"/>
              </w:rPr>
              <w:t>Value</w:t>
            </w: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24,838</w:t>
            </w:r>
          </w:p>
        </w:tc>
        <w:tc>
          <w:tcPr>
            <w:tcW w:w="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24,795</w:t>
            </w: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95,437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95,944</w:t>
            </w: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44,763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44,826</w:t>
            </w: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4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38,357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38,850</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460" w:type="dxa"/>
            <w:vAlign w:val="bottom"/>
          </w:tcPr>
          <w:p>
            <w:pPr>
              <w:spacing w:after="0"/>
              <w:rPr>
                <w:sz w:val="19"/>
                <w:szCs w:val="19"/>
                <w:color w:val="auto"/>
              </w:rPr>
            </w:pP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203,395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204,415</w:t>
            </w:r>
          </w:p>
        </w:tc>
      </w:tr>
      <w:tr>
        <w:trPr>
          <w:trHeight w:val="20"/>
        </w:trPr>
        <w:tc>
          <w:tcPr>
            <w:tcW w:w="3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69"/>
        </w:trPr>
        <w:tc>
          <w:tcPr>
            <w:tcW w:w="3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8"/>
                <w:szCs w:val="18"/>
                <w:color w:val="auto"/>
                <w:w w:val="89"/>
              </w:rPr>
              <w:t>(In Thousands)</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3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8"/>
                <w:szCs w:val="18"/>
                <w:color w:val="auto"/>
                <w:w w:val="88"/>
              </w:rPr>
              <w:t>December 31, 2018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09"/>
        </w:trPr>
        <w:tc>
          <w:tcPr>
            <w:tcW w:w="3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3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color w:val="auto"/>
                <w:w w:val="93"/>
              </w:rPr>
              <w:t>Amortized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color w:val="auto"/>
                <w:w w:val="92"/>
              </w:rPr>
              <w:t>Unrealized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90"/>
              </w:rPr>
              <w:t>Fair</w:t>
            </w:r>
          </w:p>
        </w:tc>
      </w:tr>
      <w:tr>
        <w:trPr>
          <w:trHeight w:val="230"/>
        </w:trPr>
        <w:tc>
          <w:tcPr>
            <w:tcW w:w="3860" w:type="dxa"/>
            <w:vAlign w:val="bottom"/>
            <w:tcBorders>
              <w:bottom w:val="single" w:sz="8" w:color="CFF0FC"/>
            </w:tcBorders>
          </w:tcPr>
          <w:p>
            <w:pPr>
              <w:spacing w:after="0"/>
              <w:rPr>
                <w:sz w:val="20"/>
                <w:szCs w:val="20"/>
                <w:color w:val="auto"/>
              </w:rPr>
            </w:pPr>
          </w:p>
        </w:tc>
        <w:tc>
          <w:tcPr>
            <w:tcW w:w="14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6"/>
              </w:rPr>
              <w:t>Cost</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Gains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7"/>
              </w:rPr>
              <w:t>Losses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6"/>
              </w:rPr>
              <w:t>Value</w:t>
            </w: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560" w:type="dxa"/>
            <w:vAlign w:val="bottom"/>
            <w:gridSpan w:val="3"/>
          </w:tcPr>
          <w:p>
            <w:pPr>
              <w:ind w:left="146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23,078</w:t>
            </w:r>
          </w:p>
        </w:tc>
        <w:tc>
          <w:tcPr>
            <w:tcW w:w="220" w:type="dxa"/>
            <w:vAlign w:val="bottom"/>
            <w:gridSpan w:val="4"/>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(254)</w:t>
            </w:r>
          </w:p>
        </w:tc>
        <w:tc>
          <w:tcPr>
            <w:tcW w:w="340" w:type="dxa"/>
            <w:vAlign w:val="bottom"/>
            <w:gridSpan w:val="4"/>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22,830</w:t>
            </w: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71,235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69,327</w:t>
            </w: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37,342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36,262</w:t>
            </w: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40,608</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225</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40,028</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480" w:type="dxa"/>
            <w:vAlign w:val="bottom"/>
            <w:gridSpan w:val="2"/>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172,263</w:t>
            </w:r>
          </w:p>
        </w:tc>
        <w:tc>
          <w:tcPr>
            <w:tcW w:w="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(4,111)</w:t>
            </w:r>
          </w:p>
        </w:tc>
        <w:tc>
          <w:tcPr>
            <w:tcW w:w="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168,447</w:t>
            </w:r>
          </w:p>
        </w:tc>
      </w:tr>
      <w:tr>
        <w:trPr>
          <w:trHeight w:val="20"/>
        </w:trPr>
        <w:tc>
          <w:tcPr>
            <w:tcW w:w="3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Investment securities will at times depreciate to an unrealized loss position. The Company utilizes the following criteria to assess whether impairment is other than temporary. No one item by itself will necessarily signal that a security should be recognized as an other than temporary impairment.</w:t>
      </w:r>
    </w:p>
    <w:p>
      <w:pPr>
        <w:ind w:left="2280" w:hanging="759"/>
        <w:spacing w:after="0"/>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9" w:lineRule="exact"/>
        <w:rPr>
          <w:rFonts w:ascii="Arial" w:cs="Arial" w:eastAsia="Arial" w:hAnsi="Arial"/>
          <w:sz w:val="18"/>
          <w:szCs w:val="18"/>
          <w:color w:val="auto"/>
        </w:rPr>
      </w:pPr>
    </w:p>
    <w:p>
      <w:pPr>
        <w:ind w:left="2280" w:hanging="759"/>
        <w:spacing w:after="0" w:line="250" w:lineRule="auto"/>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downgrade has occurred that lowered the credit rating to below investment grade (below Baa3 by Moody and BBB – by Standard and Poors.)</w:t>
      </w:r>
    </w:p>
    <w:p>
      <w:pPr>
        <w:ind w:left="2280" w:hanging="759"/>
        <w:spacing w:after="0"/>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9" w:lineRule="exact"/>
        <w:rPr>
          <w:rFonts w:ascii="Arial" w:cs="Arial" w:eastAsia="Arial" w:hAnsi="Arial"/>
          <w:sz w:val="18"/>
          <w:szCs w:val="18"/>
          <w:color w:val="auto"/>
        </w:rPr>
      </w:pPr>
    </w:p>
    <w:p>
      <w:pPr>
        <w:ind w:left="2280" w:hanging="759"/>
        <w:spacing w:after="0"/>
        <w:tabs>
          <w:tab w:leader="none" w:pos="2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underwater security has longer than 10 years to maturity and the loss position had existed for more than 3 years.</w:t>
      </w:r>
    </w:p>
    <w:p>
      <w:pPr>
        <w:spacing w:after="0" w:line="20" w:lineRule="exact"/>
        <w:rPr>
          <w:rFonts w:ascii="Arial" w:cs="Arial" w:eastAsia="Arial" w:hAnsi="Arial"/>
          <w:sz w:val="17"/>
          <w:szCs w:val="17"/>
          <w:color w:val="auto"/>
        </w:rPr>
      </w:pPr>
    </w:p>
    <w:p>
      <w:pPr>
        <w:ind w:left="2280" w:hanging="759"/>
        <w:spacing w:after="0" w:line="261" w:lineRule="auto"/>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143"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Company currently does not hold any securities with other than temporary impairment.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3 SECURITIES (Continued)</w:t>
      </w:r>
    </w:p>
    <w:p>
      <w:pPr>
        <w:spacing w:after="0" w:line="200" w:lineRule="exact"/>
        <w:rPr>
          <w:sz w:val="20"/>
          <w:szCs w:val="20"/>
          <w:color w:val="auto"/>
        </w:rPr>
      </w:pPr>
    </w:p>
    <w:p>
      <w:pPr>
        <w:spacing w:after="0" w:line="21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Information pertaining to securities with gross unrealized losses at June 30, 2019 and December 31, 2018, aggregated by investment category and length of time that individual securities have been in a continuous loss position follows:</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color w:val="auto"/>
                <w:w w:val="89"/>
              </w:rPr>
              <w:t>(In Thousands)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3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color w:val="auto"/>
                <w:w w:val="87"/>
              </w:rPr>
              <w:t>June 30, 2019</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3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color w:val="auto"/>
                <w:w w:val="93"/>
              </w:rPr>
              <w:t>Less Than Twelve Months</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color w:val="auto"/>
                <w:w w:val="94"/>
              </w:rPr>
              <w:t>Twelve Months &amp; Over</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spacing w:after="0"/>
              <w:rPr>
                <w:sz w:val="19"/>
                <w:szCs w:val="19"/>
                <w:color w:val="auto"/>
              </w:rPr>
            </w:pPr>
          </w:p>
        </w:tc>
      </w:tr>
      <w:tr>
        <w:trPr>
          <w:trHeight w:val="209"/>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3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ind w:right="210"/>
              <w:spacing w:after="0"/>
              <w:rPr>
                <w:sz w:val="20"/>
                <w:szCs w:val="20"/>
                <w:color w:val="auto"/>
              </w:rPr>
            </w:pPr>
            <w:r>
              <w:rPr>
                <w:rFonts w:ascii="Arial" w:cs="Arial" w:eastAsia="Arial" w:hAnsi="Arial"/>
                <w:sz w:val="18"/>
                <w:szCs w:val="18"/>
                <w:color w:val="auto"/>
                <w:w w:val="90"/>
              </w:rPr>
              <w:t>Fair</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center"/>
              <w:ind w:right="21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90"/>
              </w:rPr>
              <w:t>Fair</w:t>
            </w:r>
          </w:p>
        </w:tc>
      </w:tr>
      <w:tr>
        <w:trPr>
          <w:trHeight w:val="230"/>
        </w:trPr>
        <w:tc>
          <w:tcPr>
            <w:tcW w:w="30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7"/>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6"/>
              </w:rPr>
              <w:t>Value</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1"/>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6"/>
              </w:rPr>
              <w:t>Value</w:t>
            </w:r>
          </w:p>
        </w:tc>
      </w:tr>
      <w:tr>
        <w:trPr>
          <w:trHeight w:val="223"/>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1,797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21,008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22,805</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38,489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43,493</w:t>
            </w:r>
          </w:p>
        </w:tc>
      </w:tr>
      <w:tr>
        <w:trPr>
          <w:trHeight w:val="230"/>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25,712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25,712</w:t>
            </w:r>
          </w:p>
        </w:tc>
      </w:tr>
      <w:tr>
        <w:trPr>
          <w:trHeight w:val="230"/>
        </w:trPr>
        <w:tc>
          <w:tcPr>
            <w:tcW w:w="3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local governments</w:t>
            </w: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8,553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8,553</w:t>
            </w:r>
          </w:p>
        </w:tc>
      </w:tr>
      <w:tr>
        <w:trPr>
          <w:trHeight w:val="223"/>
        </w:trPr>
        <w:tc>
          <w:tcPr>
            <w:tcW w:w="3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6,801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93,762</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100,563</w:t>
            </w:r>
          </w:p>
        </w:tc>
      </w:tr>
      <w:tr>
        <w:trPr>
          <w:trHeight w:val="20"/>
        </w:trPr>
        <w:tc>
          <w:tcPr>
            <w:tcW w:w="3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53"/>
        </w:trPr>
        <w:tc>
          <w:tcPr>
            <w:tcW w:w="30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color w:val="auto"/>
                <w:w w:val="89"/>
              </w:rPr>
              <w:t>(In Thousands)</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3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color w:val="auto"/>
                <w:w w:val="88"/>
              </w:rPr>
              <w:t>December 31, 2018</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3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color w:val="auto"/>
                <w:w w:val="93"/>
              </w:rPr>
              <w:t>Less Than Twelve Months</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color w:val="auto"/>
                <w:w w:val="94"/>
              </w:rPr>
              <w:t>Twelve Months &amp; Over</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spacing w:after="0"/>
              <w:rPr>
                <w:sz w:val="19"/>
                <w:szCs w:val="19"/>
                <w:color w:val="auto"/>
              </w:rPr>
            </w:pPr>
          </w:p>
        </w:tc>
      </w:tr>
      <w:tr>
        <w:trPr>
          <w:trHeight w:val="209"/>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3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ind w:right="210"/>
              <w:spacing w:after="0"/>
              <w:rPr>
                <w:sz w:val="20"/>
                <w:szCs w:val="20"/>
                <w:color w:val="auto"/>
              </w:rPr>
            </w:pPr>
            <w:r>
              <w:rPr>
                <w:rFonts w:ascii="Arial" w:cs="Arial" w:eastAsia="Arial" w:hAnsi="Arial"/>
                <w:sz w:val="18"/>
                <w:szCs w:val="18"/>
                <w:color w:val="auto"/>
                <w:w w:val="90"/>
              </w:rPr>
              <w:t>Fair</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center"/>
              <w:ind w:right="21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90"/>
              </w:rPr>
              <w:t>Fair</w:t>
            </w:r>
          </w:p>
        </w:tc>
      </w:tr>
      <w:tr>
        <w:trPr>
          <w:trHeight w:val="230"/>
        </w:trPr>
        <w:tc>
          <w:tcPr>
            <w:tcW w:w="30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7"/>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6"/>
              </w:rPr>
              <w:t>Value</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1"/>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6"/>
              </w:rPr>
              <w:t>Value</w:t>
            </w:r>
          </w:p>
        </w:tc>
      </w:tr>
      <w:tr>
        <w:trPr>
          <w:trHeight w:val="223"/>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20,861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20,861</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64,727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64,727</w:t>
            </w:r>
          </w:p>
        </w:tc>
      </w:tr>
      <w:tr>
        <w:trPr>
          <w:trHeight w:val="230"/>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30,347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31,044</w:t>
            </w:r>
          </w:p>
        </w:tc>
      </w:tr>
      <w:tr>
        <w:trPr>
          <w:trHeight w:val="230"/>
        </w:trPr>
        <w:tc>
          <w:tcPr>
            <w:tcW w:w="3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local governments</w:t>
            </w: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3,254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29,413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32,667</w:t>
            </w:r>
          </w:p>
        </w:tc>
      </w:tr>
      <w:tr>
        <w:trPr>
          <w:trHeight w:val="223"/>
        </w:trPr>
        <w:tc>
          <w:tcPr>
            <w:tcW w:w="3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3,951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145,348</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(4,111)</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149,299</w:t>
            </w:r>
          </w:p>
        </w:tc>
      </w:tr>
      <w:tr>
        <w:trPr>
          <w:trHeight w:val="20"/>
        </w:trPr>
        <w:tc>
          <w:tcPr>
            <w:tcW w:w="3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Additionally, the decline in value is primarily due to changes in interest rates since the securities were purchased. The fair value is expected to recover as the bonds approach the maturity date.</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are the gross realized gains and losses for the three and six months ended June 30, 2019 and June 30, 2018.</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80" w:type="dxa"/>
            <w:vAlign w:val="bottom"/>
            <w:gridSpan w:val="4"/>
          </w:tcPr>
          <w:p>
            <w:pPr>
              <w:jc w:val="right"/>
              <w:ind w:right="365"/>
              <w:spacing w:after="0"/>
              <w:rPr>
                <w:sz w:val="20"/>
                <w:szCs w:val="20"/>
                <w:color w:val="auto"/>
              </w:rPr>
            </w:pPr>
            <w:r>
              <w:rPr>
                <w:rFonts w:ascii="Arial" w:cs="Arial" w:eastAsia="Arial" w:hAnsi="Arial"/>
                <w:sz w:val="18"/>
                <w:szCs w:val="18"/>
                <w:color w:val="auto"/>
              </w:rPr>
              <w:t>Three Months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Six Months</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8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8"/>
                <w:szCs w:val="18"/>
                <w:color w:val="auto"/>
              </w:rPr>
              <w:t>(In Thousands)</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Gross realized gains</w:t>
            </w:r>
          </w:p>
        </w:tc>
        <w:tc>
          <w:tcPr>
            <w:tcW w:w="1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5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665"/>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Gross realized losses</w:t>
            </w:r>
          </w:p>
        </w:tc>
        <w:tc>
          <w:tcPr>
            <w:tcW w:w="1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realized losses</w:t>
            </w:r>
          </w:p>
        </w:tc>
        <w:tc>
          <w:tcPr>
            <w:tcW w:w="1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5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Tax expense related to net realized losses</w:t>
            </w:r>
          </w:p>
        </w:tc>
        <w:tc>
          <w:tcPr>
            <w:tcW w:w="20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The net realized losses on sales and related tax expense is a reclassification out of accumulated other comprehensive income (loss). The net realized loss is included in net loss on sale of available-for-sale securities and the related tax expense is included in income taxes in the condensed consolidated statements of income and comprehensive income.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3 SECURITIES (Continued)</w:t>
      </w:r>
    </w:p>
    <w:p>
      <w:pPr>
        <w:spacing w:after="0" w:line="200" w:lineRule="exact"/>
        <w:rPr>
          <w:sz w:val="20"/>
          <w:szCs w:val="20"/>
          <w:color w:val="auto"/>
        </w:rPr>
      </w:pPr>
    </w:p>
    <w:p>
      <w:pPr>
        <w:spacing w:after="0" w:line="213" w:lineRule="exact"/>
        <w:rPr>
          <w:sz w:val="20"/>
          <w:szCs w:val="20"/>
          <w:color w:val="auto"/>
        </w:rPr>
      </w:pPr>
    </w:p>
    <w:p>
      <w:pPr>
        <w:ind w:left="760" w:right="20"/>
        <w:spacing w:after="0" w:line="308" w:lineRule="auto"/>
        <w:rPr>
          <w:sz w:val="20"/>
          <w:szCs w:val="20"/>
          <w:color w:val="auto"/>
        </w:rPr>
      </w:pPr>
      <w:r>
        <w:rPr>
          <w:rFonts w:ascii="Arial" w:cs="Arial" w:eastAsia="Arial" w:hAnsi="Arial"/>
          <w:sz w:val="17"/>
          <w:szCs w:val="17"/>
          <w:color w:val="auto"/>
        </w:rPr>
        <w:t>The amortized cost and fair value of debt securities at June 30, 2019, by contractual maturity, are shown below. Expected maturities will differ from contractual maturities because borrowers may have the right to call or prepay obligations with or without call or prepayment penalties.</w:t>
      </w:r>
    </w:p>
    <w:p>
      <w:pPr>
        <w:spacing w:after="0" w:line="187"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(In Thousands)</w:t>
            </w:r>
          </w:p>
        </w:tc>
      </w:tr>
      <w:tr>
        <w:trPr>
          <w:trHeight w:val="222"/>
        </w:trPr>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8"/>
              </w:rPr>
              <w:t>Amortized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Cost</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Fair Value</w:t>
            </w: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One year or less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45,762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45,744</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57,593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57,516</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After five years through ten years</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54,003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55,077</w:t>
            </w: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After ten years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w:t>
            </w:r>
          </w:p>
        </w:tc>
      </w:tr>
      <w:tr>
        <w:trPr>
          <w:trHeight w:val="223"/>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158,632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159,589</w:t>
            </w: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44,763</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44,826</w:t>
            </w:r>
          </w:p>
        </w:tc>
      </w:tr>
      <w:tr>
        <w:trPr>
          <w:trHeight w:val="223"/>
        </w:trPr>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203,395</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204,415</w:t>
            </w: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Investments with a carrying value of $86.2 million and $81.8 million at June 30, 2019 and December 31, 2018, respectively, were pledged to secure public deposits and securities sold under repurchase agreements.</w:t>
      </w:r>
    </w:p>
    <w:p>
      <w:pPr>
        <w:spacing w:after="0" w:line="14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Other securities include Federal Home Loan Bank of Cincinnati and Indianapolis stock as of June 30, 2019. As of December 31, 2018, other securities only includes Federal Home Loan Bank of Cincinnati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620" w:right="3540" w:hanging="1310"/>
        <w:spacing w:after="0" w:line="669" w:lineRule="auto"/>
        <w:tabs>
          <w:tab w:leader="none" w:pos="4411" w:val="left"/>
        </w:tabs>
        <w:numPr>
          <w:ilvl w:val="0"/>
          <w:numId w:val="8"/>
        </w:numPr>
        <w:rPr>
          <w:rFonts w:ascii="Arial" w:cs="Arial" w:eastAsia="Arial" w:hAnsi="Arial"/>
          <w:sz w:val="18"/>
          <w:szCs w:val="18"/>
          <w:color w:val="auto"/>
        </w:rPr>
      </w:pPr>
      <w:r>
        <w:rPr>
          <w:rFonts w:ascii="Arial" w:cs="Arial" w:eastAsia="Arial" w:hAnsi="Arial"/>
          <w:sz w:val="18"/>
          <w:szCs w:val="18"/>
          <w:color w:val="auto"/>
        </w:rPr>
        <w:t>Remainder of this page intentionally left blank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-586105</wp:posOffset>
            </wp:positionV>
            <wp:extent cx="7246620" cy="774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-178435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66"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6780" w:type="dxa"/>
            <w:vAlign w:val="bottom"/>
            <w:gridSpan w:val="3"/>
          </w:tcPr>
          <w:p>
            <w:pPr>
              <w:spacing w:after="0"/>
              <w:rPr>
                <w:sz w:val="20"/>
                <w:szCs w:val="20"/>
                <w:color w:val="auto"/>
              </w:rPr>
            </w:pPr>
            <w:r>
              <w:rPr>
                <w:rFonts w:ascii="Arial" w:cs="Arial" w:eastAsia="Arial" w:hAnsi="Arial"/>
                <w:sz w:val="18"/>
                <w:szCs w:val="18"/>
                <w:color w:val="auto"/>
              </w:rPr>
              <w:t>NOTE 4 LOANS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780" w:type="dxa"/>
            <w:vAlign w:val="bottom"/>
            <w:gridSpan w:val="3"/>
          </w:tcPr>
          <w:p>
            <w:pPr>
              <w:ind w:left="380"/>
              <w:spacing w:after="0"/>
              <w:rPr>
                <w:sz w:val="20"/>
                <w:szCs w:val="20"/>
                <w:color w:val="auto"/>
              </w:rPr>
            </w:pPr>
            <w:r>
              <w:rPr>
                <w:rFonts w:ascii="Arial" w:cs="Arial" w:eastAsia="Arial" w:hAnsi="Arial"/>
                <w:sz w:val="18"/>
                <w:szCs w:val="18"/>
                <w:color w:val="auto"/>
              </w:rPr>
              <w:t>Loan balances as of June 30, 2019 and December 31, 2018:</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9"/>
        </w:trPr>
        <w:tc>
          <w:tcPr>
            <w:tcW w:w="6780" w:type="dxa"/>
            <w:vAlign w:val="bottom"/>
            <w:gridSpan w:val="3"/>
            <w:vMerge w:val="restart"/>
          </w:tcPr>
          <w:p>
            <w:pPr>
              <w:ind w:left="1340"/>
              <w:spacing w:after="0"/>
              <w:rPr>
                <w:sz w:val="20"/>
                <w:szCs w:val="20"/>
                <w:color w:val="auto"/>
              </w:rPr>
            </w:pPr>
            <w:r>
              <w:rPr>
                <w:rFonts w:ascii="Arial" w:cs="Arial" w:eastAsia="Arial" w:hAnsi="Arial"/>
                <w:sz w:val="18"/>
                <w:szCs w:val="18"/>
                <w:color w:val="auto"/>
              </w:rPr>
              <w:t>Loans: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82"/>
        </w:trPr>
        <w:tc>
          <w:tcPr>
            <w:tcW w:w="6780" w:type="dxa"/>
            <w:vAlign w:val="bottom"/>
            <w:gridSpan w:val="3"/>
            <w:vMerge w:val="continue"/>
          </w:tcPr>
          <w:p>
            <w:pPr>
              <w:spacing w:after="0"/>
              <w:rPr>
                <w:sz w:val="7"/>
                <w:szCs w:val="7"/>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8"/>
                <w:szCs w:val="18"/>
                <w:color w:val="auto"/>
              </w:rPr>
              <w:t>June 30, 2019</w:t>
            </w:r>
          </w:p>
        </w:tc>
        <w:tc>
          <w:tcPr>
            <w:tcW w:w="240" w:type="dxa"/>
            <w:vAlign w:val="bottom"/>
          </w:tcPr>
          <w:p>
            <w:pPr>
              <w:spacing w:after="0"/>
              <w:rPr>
                <w:sz w:val="7"/>
                <w:szCs w:val="7"/>
                <w:color w:val="auto"/>
              </w:rPr>
            </w:pPr>
          </w:p>
        </w:tc>
        <w:tc>
          <w:tcPr>
            <w:tcW w:w="980" w:type="dxa"/>
            <w:vAlign w:val="bottom"/>
            <w:vMerge w:val="restart"/>
          </w:tcPr>
          <w:p>
            <w:pPr>
              <w:jc w:val="right"/>
              <w:ind w:right="3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500" w:type="dxa"/>
            <w:vAlign w:val="bottom"/>
            <w:tcBorders>
              <w:top w:val="single" w:sz="8" w:color="auto"/>
              <w:bottom w:val="single" w:sz="8" w:color="CFF0FC"/>
            </w:tcBorders>
          </w:tcPr>
          <w:p>
            <w:pPr>
              <w:spacing w:after="0"/>
              <w:rPr>
                <w:sz w:val="11"/>
                <w:szCs w:val="11"/>
                <w:color w:val="auto"/>
              </w:rPr>
            </w:pPr>
          </w:p>
        </w:tc>
        <w:tc>
          <w:tcPr>
            <w:tcW w:w="4940" w:type="dxa"/>
            <w:vAlign w:val="bottom"/>
            <w:tcBorders>
              <w:bottom w:val="single" w:sz="8" w:color="CFF0FC"/>
            </w:tcBorders>
          </w:tcPr>
          <w:p>
            <w:pPr>
              <w:spacing w:after="0"/>
              <w:rPr>
                <w:sz w:val="11"/>
                <w:szCs w:val="11"/>
                <w:color w:val="auto"/>
              </w:rPr>
            </w:pPr>
          </w:p>
        </w:tc>
        <w:tc>
          <w:tcPr>
            <w:tcW w:w="132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240" w:type="dxa"/>
            <w:vAlign w:val="bottom"/>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159,540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80,766</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Agricultural Real Estate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193,768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68,609</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113,755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108,495</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443,257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419,784</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125,609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121,793</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48,952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41,953</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7,341</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1,092,222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847,289</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Net deferred loan fees and costs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1,091,131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846,374</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Allowance for loan losses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(6,683)</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Loans - Net</w:t>
            </w:r>
          </w:p>
        </w:tc>
        <w:tc>
          <w:tcPr>
            <w:tcW w:w="24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1,084,448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839,599</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loans primarily fund public improvement in the Bank’s service area.</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distribution of fixed rate loans and variable rate loans by major loan category is as follows as of June 30, 2019:</w:t>
      </w:r>
    </w:p>
    <w:p>
      <w:pPr>
        <w:spacing w:after="0" w:line="266"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(In Thousands)</w:t>
            </w:r>
          </w:p>
        </w:tc>
      </w:tr>
      <w:tr>
        <w:trPr>
          <w:trHeight w:val="222"/>
        </w:trPr>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Fixed</w:t>
            </w:r>
          </w:p>
        </w:tc>
        <w:tc>
          <w:tcPr>
            <w:tcW w:w="28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w w:val="99"/>
              </w:rPr>
              <w:t>Variable</w:t>
            </w:r>
          </w:p>
        </w:tc>
      </w:tr>
      <w:tr>
        <w:trPr>
          <w:trHeight w:val="230"/>
        </w:trPr>
        <w:tc>
          <w:tcPr>
            <w:tcW w:w="54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Rate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Rate</w:t>
            </w: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66,403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93,137</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89,487</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104,281</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60,789</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52,966</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270,572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172,685</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63,473</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62,136</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44,346</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4,606</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7,242</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r>
    </w:tbl>
    <w:p>
      <w:pPr>
        <w:spacing w:after="0" w:line="229"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color w:val="auto"/>
        </w:rPr>
        <w:t>As of June 30, 2019 and December 31, 2018 one to four family residential mortgage loans amounting to $93.4 and $14.9 million, respectively, have been pledged as security for future loans and existing loans the Bank has received from the Federal Home Loan Bank.</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Unless listed separately, Other loans are included in the Commercial and Industrial category for the remainder of the tables in this Note 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The following table represents the contractual aging of the recorded investment (in thousands) in past due loans by portfolio classification of loans as of June 30, 2019 and December 31, 2018, net of deferred loan fees and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91"/>
              </w:rPr>
              <w:t>30-59</w:t>
            </w:r>
          </w:p>
        </w:tc>
        <w:tc>
          <w:tcPr>
            <w:tcW w:w="200" w:type="dxa"/>
            <w:vAlign w:val="bottom"/>
          </w:tcPr>
          <w:p>
            <w:pPr>
              <w:spacing w:after="0"/>
              <w:rPr>
                <w:sz w:val="18"/>
                <w:szCs w:val="18"/>
                <w:color w:val="auto"/>
              </w:rPr>
            </w:pPr>
          </w:p>
        </w:tc>
        <w:tc>
          <w:tcPr>
            <w:tcW w:w="82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w w:val="91"/>
              </w:rPr>
              <w:t>60-89</w:t>
            </w:r>
          </w:p>
        </w:tc>
        <w:tc>
          <w:tcPr>
            <w:tcW w:w="1000" w:type="dxa"/>
            <w:vAlign w:val="bottom"/>
            <w:tcBorders>
              <w:right w:val="single" w:sz="8" w:color="auto"/>
            </w:tcBorders>
            <w:gridSpan w:val="2"/>
          </w:tcPr>
          <w:p>
            <w:pPr>
              <w:jc w:val="center"/>
              <w:ind w:right="90"/>
              <w:spacing w:after="0"/>
              <w:rPr>
                <w:sz w:val="20"/>
                <w:szCs w:val="20"/>
                <w:color w:val="auto"/>
              </w:rPr>
            </w:pPr>
            <w:r>
              <w:rPr>
                <w:rFonts w:ascii="Arial" w:cs="Arial" w:eastAsia="Arial" w:hAnsi="Arial"/>
                <w:sz w:val="18"/>
                <w:szCs w:val="18"/>
                <w:color w:val="auto"/>
                <w:w w:val="88"/>
              </w:rPr>
              <w:t>Greater</w:t>
            </w:r>
          </w:p>
        </w:tc>
        <w:tc>
          <w:tcPr>
            <w:tcW w:w="2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4"/>
              </w:rPr>
              <w:t>Total</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w w:val="96"/>
              </w:rPr>
              <w:t>Investment &gt;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980" w:type="dxa"/>
            <w:vAlign w:val="bottom"/>
            <w:tcBorders>
              <w:right w:val="single" w:sz="8" w:color="auto"/>
            </w:tcBorders>
            <w:gridSpan w:val="3"/>
          </w:tcPr>
          <w:p>
            <w:pPr>
              <w:jc w:val="center"/>
              <w:ind w:right="90"/>
              <w:spacing w:after="0"/>
              <w:rPr>
                <w:sz w:val="20"/>
                <w:szCs w:val="20"/>
                <w:color w:val="auto"/>
              </w:rPr>
            </w:pPr>
            <w:r>
              <w:rPr>
                <w:rFonts w:ascii="Arial" w:cs="Arial" w:eastAsia="Arial" w:hAnsi="Arial"/>
                <w:sz w:val="18"/>
                <w:szCs w:val="18"/>
                <w:color w:val="auto"/>
                <w:w w:val="87"/>
              </w:rPr>
              <w:t>Days Past</w:t>
            </w:r>
          </w:p>
        </w:tc>
        <w:tc>
          <w:tcPr>
            <w:tcW w:w="10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Days Past</w:t>
            </w:r>
          </w:p>
        </w:tc>
        <w:tc>
          <w:tcPr>
            <w:tcW w:w="1000" w:type="dxa"/>
            <w:vAlign w:val="bottom"/>
            <w:tcBorders>
              <w:right w:val="single" w:sz="8" w:color="auto"/>
            </w:tcBorders>
            <w:gridSpan w:val="2"/>
          </w:tcPr>
          <w:p>
            <w:pPr>
              <w:jc w:val="center"/>
              <w:ind w:right="70"/>
              <w:spacing w:after="0"/>
              <w:rPr>
                <w:sz w:val="20"/>
                <w:szCs w:val="20"/>
                <w:color w:val="auto"/>
              </w:rPr>
            </w:pPr>
            <w:r>
              <w:rPr>
                <w:rFonts w:ascii="Arial" w:cs="Arial" w:eastAsia="Arial" w:hAnsi="Arial"/>
                <w:sz w:val="18"/>
                <w:szCs w:val="18"/>
                <w:color w:val="auto"/>
                <w:w w:val="90"/>
              </w:rPr>
              <w:t>Than 90</w:t>
            </w:r>
          </w:p>
        </w:tc>
        <w:tc>
          <w:tcPr>
            <w:tcW w:w="10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Total Past</w:t>
            </w: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Financing</w:t>
            </w: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w w:val="96"/>
              </w:rPr>
              <w:t>90 Days and</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June 30, 2019</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ind w:right="270"/>
              <w:spacing w:after="0"/>
              <w:rPr>
                <w:sz w:val="20"/>
                <w:szCs w:val="20"/>
                <w:color w:val="auto"/>
              </w:rPr>
            </w:pPr>
            <w:r>
              <w:rPr>
                <w:rFonts w:ascii="Arial" w:cs="Arial" w:eastAsia="Arial" w:hAnsi="Arial"/>
                <w:sz w:val="18"/>
                <w:szCs w:val="18"/>
                <w:color w:val="auto"/>
                <w:w w:val="90"/>
              </w:rPr>
              <w:t>Due</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Due</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ind w:right="250"/>
              <w:spacing w:after="0"/>
              <w:rPr>
                <w:sz w:val="20"/>
                <w:szCs w:val="20"/>
                <w:color w:val="auto"/>
              </w:rPr>
            </w:pPr>
            <w:r>
              <w:rPr>
                <w:rFonts w:ascii="Arial" w:cs="Arial" w:eastAsia="Arial" w:hAnsi="Arial"/>
                <w:sz w:val="18"/>
                <w:szCs w:val="18"/>
                <w:color w:val="auto"/>
                <w:w w:val="87"/>
              </w:rPr>
              <w:t>Days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w w:val="96"/>
              </w:rPr>
              <w:t>Due</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w w:val="86"/>
              </w:rPr>
              <w:t>Current</w:t>
            </w:r>
          </w:p>
        </w:tc>
        <w:tc>
          <w:tcPr>
            <w:tcW w:w="10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Receivables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Accruing</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1,124</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524</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1,695</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157,262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158,957</w:t>
            </w:r>
          </w:p>
        </w:tc>
        <w:tc>
          <w:tcPr>
            <w:tcW w:w="2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771</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969</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192,647</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193,616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1,473</w:t>
            </w:r>
          </w:p>
        </w:tc>
        <w:tc>
          <w:tcPr>
            <w:tcW w:w="2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1,547</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112,359</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113,906</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442,538</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442,538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133,000</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133,014</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Consumer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48,954</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49,100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right w:val="single" w:sz="8" w:color="auto"/>
            </w:tcBorders>
            <w:shd w:val="clear" w:color="auto" w:fill="CFF0FC"/>
          </w:tcPr>
          <w:p>
            <w:pPr>
              <w:spacing w:after="0"/>
              <w:rPr>
                <w:sz w:val="19"/>
                <w:szCs w:val="19"/>
                <w:color w:val="auto"/>
              </w:rPr>
            </w:pPr>
          </w:p>
        </w:tc>
        <w:tc>
          <w:tcPr>
            <w:tcW w:w="1020" w:type="dxa"/>
            <w:vAlign w:val="bottom"/>
            <w:tcBorders>
              <w:bottom w:val="single" w:sz="8" w:color="auto"/>
              <w:right w:val="single" w:sz="8" w:color="auto"/>
            </w:tcBorders>
            <w:gridSpan w:val="2"/>
            <w:shd w:val="clear" w:color="auto" w:fill="CFF0FC"/>
          </w:tcPr>
          <w:p>
            <w:pPr>
              <w:spacing w:after="0"/>
              <w:rPr>
                <w:sz w:val="19"/>
                <w:szCs w:val="19"/>
                <w:color w:val="auto"/>
              </w:rPr>
            </w:pPr>
          </w:p>
        </w:tc>
        <w:tc>
          <w:tcPr>
            <w:tcW w:w="1080" w:type="dxa"/>
            <w:vAlign w:val="bottom"/>
            <w:tcBorders>
              <w:bottom w:val="single" w:sz="8" w:color="auto"/>
              <w:right w:val="single" w:sz="8" w:color="auto"/>
            </w:tcBorders>
            <w:gridSpan w:val="2"/>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18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3,492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70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809</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4,371</w:t>
            </w:r>
          </w:p>
        </w:tc>
        <w:tc>
          <w:tcPr>
            <w:tcW w:w="102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0"/>
              </w:rPr>
              <w:t>$ 1,086,760</w:t>
            </w:r>
          </w:p>
        </w:tc>
        <w:tc>
          <w:tcPr>
            <w:tcW w:w="108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6"/>
              </w:rPr>
              <w:t>$ 1,091,131</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1"/>
              </w:rPr>
              <w:t>30-59</w:t>
            </w:r>
          </w:p>
        </w:tc>
        <w:tc>
          <w:tcPr>
            <w:tcW w:w="200" w:type="dxa"/>
            <w:vAlign w:val="bottom"/>
          </w:tcPr>
          <w:p>
            <w:pPr>
              <w:spacing w:after="0"/>
              <w:rPr>
                <w:sz w:val="18"/>
                <w:szCs w:val="18"/>
                <w:color w:val="auto"/>
              </w:rPr>
            </w:pPr>
          </w:p>
        </w:tc>
        <w:tc>
          <w:tcPr>
            <w:tcW w:w="82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1"/>
              </w:rPr>
              <w:t>60-89</w:t>
            </w:r>
          </w:p>
        </w:tc>
        <w:tc>
          <w:tcPr>
            <w:tcW w:w="180" w:type="dxa"/>
            <w:vAlign w:val="bottom"/>
          </w:tcPr>
          <w:p>
            <w:pPr>
              <w:spacing w:after="0"/>
              <w:rPr>
                <w:sz w:val="18"/>
                <w:szCs w:val="18"/>
                <w:color w:val="auto"/>
              </w:rPr>
            </w:pPr>
          </w:p>
        </w:tc>
        <w:tc>
          <w:tcPr>
            <w:tcW w:w="8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8"/>
              </w:rPr>
              <w:t>Greater</w:t>
            </w:r>
          </w:p>
        </w:tc>
        <w:tc>
          <w:tcPr>
            <w:tcW w:w="2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4"/>
              </w:rPr>
              <w:t>Total</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w w:val="96"/>
              </w:rPr>
              <w:t>Investment &gt;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70"/>
              <w:spacing w:after="0"/>
              <w:rPr>
                <w:sz w:val="20"/>
                <w:szCs w:val="20"/>
                <w:color w:val="auto"/>
              </w:rPr>
            </w:pPr>
            <w:r>
              <w:rPr>
                <w:rFonts w:ascii="Arial" w:cs="Arial" w:eastAsia="Arial" w:hAnsi="Arial"/>
                <w:sz w:val="18"/>
                <w:szCs w:val="18"/>
                <w:color w:val="auto"/>
                <w:w w:val="87"/>
              </w:rPr>
              <w:t>Days Past</w:t>
            </w:r>
          </w:p>
        </w:tc>
        <w:tc>
          <w:tcPr>
            <w:tcW w:w="10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Days Past</w:t>
            </w:r>
          </w:p>
        </w:tc>
        <w:tc>
          <w:tcPr>
            <w:tcW w:w="180" w:type="dxa"/>
            <w:vAlign w:val="bottom"/>
          </w:tcPr>
          <w:p>
            <w:pPr>
              <w:spacing w:after="0"/>
              <w:rPr>
                <w:sz w:val="18"/>
                <w:szCs w:val="18"/>
                <w:color w:val="auto"/>
              </w:rPr>
            </w:pPr>
          </w:p>
        </w:tc>
        <w:tc>
          <w:tcPr>
            <w:tcW w:w="8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Than 90</w:t>
            </w:r>
          </w:p>
        </w:tc>
        <w:tc>
          <w:tcPr>
            <w:tcW w:w="102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Total Past</w:t>
            </w: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Financing</w:t>
            </w: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w w:val="96"/>
              </w:rPr>
              <w:t>90 Days and</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Due</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2"/>
              </w:rPr>
              <w:t>Days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Due</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3"/>
              </w:rPr>
              <w:t>Current</w:t>
            </w:r>
          </w:p>
        </w:tc>
        <w:tc>
          <w:tcPr>
            <w:tcW w:w="10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Receivables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Accruing</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342</w:t>
            </w:r>
          </w:p>
        </w:tc>
        <w:tc>
          <w:tcPr>
            <w:tcW w:w="20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620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79,612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80,232</w:t>
            </w:r>
          </w:p>
        </w:tc>
        <w:tc>
          <w:tcPr>
            <w:tcW w:w="2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68,588</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68,588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108,616</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108,616</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419,131</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419,131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127,752</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127,752</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Consumer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41,938</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42,055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186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427</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262</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845,637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846,374</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D9D9D9"/>
          </w:tcPr>
          <w:p>
            <w:pPr>
              <w:spacing w:after="0"/>
              <w:rPr>
                <w:sz w:val="21"/>
                <w:szCs w:val="21"/>
                <w:color w:val="auto"/>
              </w:rPr>
            </w:pPr>
          </w:p>
        </w:tc>
        <w:tc>
          <w:tcPr>
            <w:tcW w:w="60" w:type="dxa"/>
            <w:vAlign w:val="bottom"/>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820" w:type="dxa"/>
            <w:vAlign w:val="bottom"/>
            <w:tcBorders>
              <w:right w:val="single" w:sz="8" w:color="D9D9D9"/>
            </w:tcBorders>
            <w:shd w:val="clear" w:color="auto" w:fill="D9D9D9"/>
          </w:tcPr>
          <w:p>
            <w:pPr>
              <w:spacing w:after="0"/>
              <w:rPr>
                <w:sz w:val="21"/>
                <w:szCs w:val="21"/>
                <w:color w:val="auto"/>
              </w:rPr>
            </w:pPr>
          </w:p>
        </w:tc>
        <w:tc>
          <w:tcPr>
            <w:tcW w:w="200" w:type="dxa"/>
            <w:vAlign w:val="bottom"/>
            <w:shd w:val="clear" w:color="auto" w:fill="D9D9D9"/>
          </w:tcPr>
          <w:p>
            <w:pPr>
              <w:spacing w:after="0"/>
              <w:rPr>
                <w:sz w:val="21"/>
                <w:szCs w:val="21"/>
                <w:color w:val="auto"/>
              </w:rPr>
            </w:pPr>
          </w:p>
        </w:tc>
        <w:tc>
          <w:tcPr>
            <w:tcW w:w="820" w:type="dxa"/>
            <w:vAlign w:val="bottom"/>
            <w:tcBorders>
              <w:right w:val="single" w:sz="8" w:color="D9D9D9"/>
            </w:tcBorders>
            <w:shd w:val="clear" w:color="auto" w:fill="D9D9D9"/>
          </w:tcPr>
          <w:p>
            <w:pPr>
              <w:spacing w:after="0"/>
              <w:rPr>
                <w:sz w:val="21"/>
                <w:szCs w:val="21"/>
                <w:color w:val="auto"/>
              </w:rPr>
            </w:pPr>
          </w:p>
        </w:tc>
        <w:tc>
          <w:tcPr>
            <w:tcW w:w="180" w:type="dxa"/>
            <w:vAlign w:val="bottom"/>
            <w:shd w:val="clear" w:color="auto" w:fill="D9D9D9"/>
          </w:tcPr>
          <w:p>
            <w:pPr>
              <w:spacing w:after="0"/>
              <w:rPr>
                <w:sz w:val="21"/>
                <w:szCs w:val="21"/>
                <w:color w:val="auto"/>
              </w:rPr>
            </w:pPr>
          </w:p>
        </w:tc>
        <w:tc>
          <w:tcPr>
            <w:tcW w:w="820" w:type="dxa"/>
            <w:vAlign w:val="bottom"/>
            <w:tcBorders>
              <w:right w:val="single" w:sz="8" w:color="D9D9D9"/>
            </w:tcBorders>
            <w:shd w:val="clear" w:color="auto" w:fill="D9D9D9"/>
          </w:tcPr>
          <w:p>
            <w:pPr>
              <w:spacing w:after="0"/>
              <w:rPr>
                <w:sz w:val="21"/>
                <w:szCs w:val="21"/>
                <w:color w:val="auto"/>
              </w:rPr>
            </w:pPr>
          </w:p>
        </w:tc>
        <w:tc>
          <w:tcPr>
            <w:tcW w:w="240" w:type="dxa"/>
            <w:vAlign w:val="bottom"/>
            <w:shd w:val="clear" w:color="auto" w:fill="D9D9D9"/>
          </w:tcPr>
          <w:p>
            <w:pPr>
              <w:spacing w:after="0"/>
              <w:rPr>
                <w:sz w:val="21"/>
                <w:szCs w:val="21"/>
                <w:color w:val="auto"/>
              </w:rPr>
            </w:pPr>
          </w:p>
        </w:tc>
        <w:tc>
          <w:tcPr>
            <w:tcW w:w="780" w:type="dxa"/>
            <w:vAlign w:val="bottom"/>
            <w:tcBorders>
              <w:right w:val="single" w:sz="8" w:color="D9D9D9"/>
            </w:tcBorders>
            <w:shd w:val="clear" w:color="auto" w:fill="D9D9D9"/>
          </w:tcPr>
          <w:p>
            <w:pPr>
              <w:spacing w:after="0"/>
              <w:rPr>
                <w:sz w:val="21"/>
                <w:szCs w:val="21"/>
                <w:color w:val="auto"/>
              </w:rPr>
            </w:pPr>
          </w:p>
        </w:tc>
        <w:tc>
          <w:tcPr>
            <w:tcW w:w="180" w:type="dxa"/>
            <w:vAlign w:val="bottom"/>
            <w:shd w:val="clear" w:color="auto" w:fill="D9D9D9"/>
          </w:tcPr>
          <w:p>
            <w:pPr>
              <w:spacing w:after="0"/>
              <w:rPr>
                <w:sz w:val="21"/>
                <w:szCs w:val="21"/>
                <w:color w:val="auto"/>
              </w:rPr>
            </w:pPr>
          </w:p>
        </w:tc>
        <w:tc>
          <w:tcPr>
            <w:tcW w:w="840" w:type="dxa"/>
            <w:vAlign w:val="bottom"/>
            <w:tcBorders>
              <w:right w:val="single" w:sz="8" w:color="D9D9D9"/>
            </w:tcBorders>
            <w:shd w:val="clear" w:color="auto" w:fill="D9D9D9"/>
          </w:tcPr>
          <w:p>
            <w:pPr>
              <w:spacing w:after="0"/>
              <w:rPr>
                <w:sz w:val="21"/>
                <w:szCs w:val="21"/>
                <w:color w:val="auto"/>
              </w:rPr>
            </w:pPr>
          </w:p>
        </w:tc>
        <w:tc>
          <w:tcPr>
            <w:tcW w:w="240" w:type="dxa"/>
            <w:vAlign w:val="bottom"/>
            <w:shd w:val="clear" w:color="auto" w:fill="D9D9D9"/>
          </w:tcPr>
          <w:p>
            <w:pPr>
              <w:spacing w:after="0"/>
              <w:rPr>
                <w:sz w:val="21"/>
                <w:szCs w:val="21"/>
                <w:color w:val="auto"/>
              </w:rPr>
            </w:pPr>
          </w:p>
        </w:tc>
        <w:tc>
          <w:tcPr>
            <w:tcW w:w="840" w:type="dxa"/>
            <w:vAlign w:val="bottom"/>
            <w:tcBorders>
              <w:right w:val="single" w:sz="8" w:color="D9D9D9"/>
            </w:tcBorders>
            <w:shd w:val="clear" w:color="auto" w:fill="D9D9D9"/>
          </w:tcPr>
          <w:p>
            <w:pPr>
              <w:spacing w:after="0"/>
              <w:rPr>
                <w:sz w:val="21"/>
                <w:szCs w:val="21"/>
                <w:color w:val="auto"/>
              </w:rPr>
            </w:pPr>
          </w:p>
        </w:tc>
        <w:tc>
          <w:tcPr>
            <w:tcW w:w="200" w:type="dxa"/>
            <w:vAlign w:val="bottom"/>
            <w:shd w:val="clear" w:color="auto" w:fill="D9D9D9"/>
          </w:tcPr>
          <w:p>
            <w:pPr>
              <w:spacing w:after="0"/>
              <w:rPr>
                <w:sz w:val="21"/>
                <w:szCs w:val="21"/>
                <w:color w:val="auto"/>
              </w:rPr>
            </w:pPr>
          </w:p>
        </w:tc>
        <w:tc>
          <w:tcPr>
            <w:tcW w:w="920" w:type="dxa"/>
            <w:vAlign w:val="bottom"/>
            <w:shd w:val="clear" w:color="auto" w:fill="D9D9D9"/>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presents the recorded investment in nonaccrual loans by class of loans as of June 30, 2019 and December 31, 2018:</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rPr>
              <w:t>(In Thousands)</w:t>
            </w: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w w:val="95"/>
              </w:rPr>
              <w:t>June 30,</w:t>
            </w:r>
          </w:p>
        </w:tc>
        <w:tc>
          <w:tcPr>
            <w:tcW w:w="14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94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Commercial &amp; Industrial</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1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FF0FC"/>
            </w:tcBorders>
            <w:shd w:val="clear" w:color="auto" w:fill="CFF0FC"/>
          </w:tcPr>
          <w:p>
            <w:pPr>
              <w:ind w:left="244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1,328</w:t>
            </w:r>
          </w:p>
        </w:tc>
        <w:tc>
          <w:tcPr>
            <w:tcW w:w="1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43"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30"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future contracts. The risk related to weather is often mitigated by requiring crop insurance.</w:t>
      </w:r>
    </w:p>
    <w:p>
      <w:pPr>
        <w:spacing w:after="0" w:line="146"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60" w:lineRule="exact"/>
        <w:rPr>
          <w:sz w:val="20"/>
          <w:szCs w:val="20"/>
          <w:color w:val="auto"/>
        </w:rPr>
      </w:pPr>
    </w:p>
    <w:p>
      <w:pPr>
        <w:jc w:val="both"/>
        <w:ind w:left="760"/>
        <w:spacing w:after="0" w:line="302" w:lineRule="auto"/>
        <w:rPr>
          <w:sz w:val="20"/>
          <w:szCs w:val="20"/>
          <w:color w:val="auto"/>
        </w:rPr>
      </w:pPr>
      <w:r>
        <w:rPr>
          <w:rFonts w:ascii="Arial" w:cs="Arial" w:eastAsia="Arial" w:hAnsi="Arial"/>
          <w:sz w:val="16"/>
          <w:szCs w:val="16"/>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pacing w:after="0" w:line="114"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Other: Primarily funds public improvements in the Bank’s service area. Repayment ability is based on the continuance of the taxation revenue as the source of repayment.</w:t>
      </w:r>
    </w:p>
    <w:p>
      <w:pPr>
        <w:spacing w:after="0" w:line="130"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Consumer: Funding for individual and family purposes. Success in repayment is subject to borrower’s income, debt level, character in fulfilling payment obligations, employment, and others.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risk ratings are described as follows.</w:t>
      </w:r>
    </w:p>
    <w:p>
      <w:pPr>
        <w:spacing w:after="0" w:line="23" w:lineRule="exact"/>
        <w:rPr>
          <w:sz w:val="20"/>
          <w:szCs w:val="20"/>
          <w:color w:val="auto"/>
        </w:rPr>
      </w:pPr>
    </w:p>
    <w:p>
      <w:pPr>
        <w:ind w:left="2280" w:hanging="759"/>
        <w:spacing w:after="0"/>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9" w:lineRule="exact"/>
        <w:rPr>
          <w:rFonts w:ascii="Arial" w:cs="Arial" w:eastAsia="Arial" w:hAnsi="Arial"/>
          <w:sz w:val="18"/>
          <w:szCs w:val="18"/>
          <w:color w:val="auto"/>
        </w:rPr>
      </w:pPr>
    </w:p>
    <w:p>
      <w:pPr>
        <w:jc w:val="both"/>
        <w:ind w:left="2280" w:hanging="759"/>
        <w:spacing w:after="0" w:line="288" w:lineRule="auto"/>
        <w:tabs>
          <w:tab w:leader="none" w:pos="2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One (1) Excellent. Credit to premier customers having the highest credit rating based on an extremely strong financial condition, which compares favorably with industry standards (upper quartile of Risk Management Association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grade is summarized by high liquidity, minimum risk, strong ratios, and low handling costs.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jc w:val="both"/>
        <w:ind w:left="2280" w:hanging="759"/>
        <w:spacing w:after="0" w:line="253"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Two (2) Good. Desirable loans of somewhat less stature than Grade 1, but with strong financial statements. Loan supported by financial statements containing strong balance sheets, generally with a leverage position less than 1.50,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3" w:lineRule="exact"/>
        <w:rPr>
          <w:rFonts w:ascii="Arial" w:cs="Arial" w:eastAsia="Arial" w:hAnsi="Arial"/>
          <w:sz w:val="18"/>
          <w:szCs w:val="18"/>
          <w:color w:val="auto"/>
        </w:rPr>
      </w:pPr>
    </w:p>
    <w:p>
      <w:pPr>
        <w:jc w:val="both"/>
        <w:ind w:left="2280" w:hanging="759"/>
        <w:spacing w:after="0" w:line="265" w:lineRule="auto"/>
        <w:tabs>
          <w:tab w:leader="none" w:pos="2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Three (3) Satisfactory. Satisfactory loans of average or slightly above average risk – having some deficiency or vulnerability to changing economic conditions, but still fully collectible. Projects should normally demonstrate acceptable debt service coverage. Generally, customers should have a leverage position less than 2.00. May be some weakness but with offsetting features of other support readily available. Loans that are meeting the terms of repayment.</w:t>
      </w:r>
    </w:p>
    <w:p>
      <w:pPr>
        <w:ind w:left="2300"/>
        <w:spacing w:after="0" w:line="250" w:lineRule="auto"/>
        <w:rPr>
          <w:rFonts w:ascii="Arial" w:cs="Arial" w:eastAsia="Arial" w:hAnsi="Arial"/>
          <w:sz w:val="17"/>
          <w:szCs w:val="17"/>
          <w:color w:val="auto"/>
        </w:rPr>
      </w:pPr>
      <w:r>
        <w:rPr>
          <w:rFonts w:ascii="Arial" w:cs="Arial" w:eastAsia="Arial" w:hAnsi="Arial"/>
          <w:sz w:val="18"/>
          <w:szCs w:val="18"/>
          <w:color w:val="auto"/>
        </w:rPr>
        <w:t>Loans may be graded 3 when there is no recent information on which to base a current risk evaluation and the following conditions apply:</w:t>
      </w:r>
    </w:p>
    <w:p>
      <w:pPr>
        <w:ind w:left="2300"/>
        <w:spacing w:after="0"/>
        <w:rPr>
          <w:rFonts w:ascii="Arial" w:cs="Arial" w:eastAsia="Arial" w:hAnsi="Arial"/>
          <w:sz w:val="17"/>
          <w:szCs w:val="17"/>
          <w:color w:val="auto"/>
        </w:rPr>
      </w:pPr>
      <w:r>
        <w:rPr>
          <w:rFonts w:ascii="Arial" w:cs="Arial" w:eastAsia="Arial" w:hAnsi="Arial"/>
          <w:sz w:val="18"/>
          <w:szCs w:val="18"/>
          <w:color w:val="auto"/>
        </w:rPr>
        <w:t>At inception, the loan was properly underwritten and did not possess an unwarranted level of credit risk:</w:t>
      </w:r>
    </w:p>
    <w:p>
      <w:pPr>
        <w:spacing w:after="0" w:line="9" w:lineRule="exact"/>
        <w:rPr>
          <w:rFonts w:ascii="Arial" w:cs="Arial" w:eastAsia="Arial" w:hAnsi="Arial"/>
          <w:sz w:val="17"/>
          <w:szCs w:val="17"/>
          <w:color w:val="auto"/>
        </w:rPr>
      </w:pPr>
    </w:p>
    <w:p>
      <w:pPr>
        <w:ind w:left="2660" w:hanging="370"/>
        <w:spacing w:after="0"/>
        <w:tabs>
          <w:tab w:leader="none" w:pos="2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At inception, the loan was secured with collateral possessing a loan-to-value adequate to protect the Bank from loss;</w:t>
      </w:r>
    </w:p>
    <w:p>
      <w:pPr>
        <w:spacing w:after="0" w:line="20" w:lineRule="exact"/>
        <w:rPr>
          <w:rFonts w:ascii="Arial" w:cs="Arial" w:eastAsia="Arial" w:hAnsi="Arial"/>
          <w:sz w:val="17"/>
          <w:szCs w:val="17"/>
          <w:color w:val="auto"/>
        </w:rPr>
      </w:pPr>
    </w:p>
    <w:p>
      <w:pPr>
        <w:ind w:left="2660" w:hanging="370"/>
        <w:spacing w:after="0"/>
        <w:tabs>
          <w:tab w:leader="none" w:pos="2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loan exhibited two or more years of satisfactory repayment with a reasonable reduction of the principal balance;</w:t>
      </w:r>
    </w:p>
    <w:p>
      <w:pPr>
        <w:spacing w:after="0" w:line="20" w:lineRule="exact"/>
        <w:rPr>
          <w:rFonts w:ascii="Arial" w:cs="Arial" w:eastAsia="Arial" w:hAnsi="Arial"/>
          <w:sz w:val="17"/>
          <w:szCs w:val="17"/>
          <w:color w:val="auto"/>
        </w:rPr>
      </w:pPr>
    </w:p>
    <w:p>
      <w:pPr>
        <w:jc w:val="both"/>
        <w:ind w:left="2660" w:hanging="370"/>
        <w:spacing w:after="0" w:line="250" w:lineRule="auto"/>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are observed, a lower risk grade is warranted.</w:t>
      </w:r>
    </w:p>
    <w:p>
      <w:pPr>
        <w:spacing w:after="0" w:line="1" w:lineRule="exact"/>
        <w:rPr>
          <w:rFonts w:ascii="Arial" w:cs="Arial" w:eastAsia="Arial" w:hAnsi="Arial"/>
          <w:sz w:val="18"/>
          <w:szCs w:val="18"/>
          <w:color w:val="auto"/>
        </w:rPr>
      </w:pPr>
    </w:p>
    <w:p>
      <w:pPr>
        <w:jc w:val="both"/>
        <w:ind w:left="2280" w:hanging="759"/>
        <w:spacing w:after="0" w:line="250"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Four (4) Satisfactory / Monitored. A “4” (Satisfactory/Monitored) risk grade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2" w:lineRule="exact"/>
        <w:rPr>
          <w:rFonts w:ascii="Arial" w:cs="Arial" w:eastAsia="Arial" w:hAnsi="Arial"/>
          <w:sz w:val="18"/>
          <w:szCs w:val="18"/>
          <w:color w:val="auto"/>
        </w:rPr>
      </w:pPr>
    </w:p>
    <w:p>
      <w:pPr>
        <w:jc w:val="both"/>
        <w:ind w:left="2280" w:hanging="759"/>
        <w:spacing w:after="0" w:line="250"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Five (5) Special Mention. Loans that possess some credit deficiency or potential weakness which deserve close attention but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2" w:lineRule="exact"/>
        <w:rPr>
          <w:rFonts w:ascii="Arial" w:cs="Arial" w:eastAsia="Arial" w:hAnsi="Arial"/>
          <w:sz w:val="18"/>
          <w:szCs w:val="18"/>
          <w:color w:val="auto"/>
        </w:rPr>
      </w:pPr>
    </w:p>
    <w:p>
      <w:pPr>
        <w:ind w:left="2280" w:hanging="759"/>
        <w:spacing w:after="0"/>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Six (6) Substandard. One or more of the following characteristics may be exhibited in loans classified substandard:</w:t>
      </w:r>
    </w:p>
    <w:p>
      <w:pPr>
        <w:spacing w:after="0" w:line="9" w:lineRule="exact"/>
        <w:rPr>
          <w:rFonts w:ascii="Arial" w:cs="Arial" w:eastAsia="Arial" w:hAnsi="Arial"/>
          <w:sz w:val="18"/>
          <w:szCs w:val="18"/>
          <w:color w:val="auto"/>
        </w:rPr>
      </w:pPr>
    </w:p>
    <w:p>
      <w:pPr>
        <w:jc w:val="both"/>
        <w:ind w:left="2660" w:hanging="370"/>
        <w:spacing w:after="0" w:line="250" w:lineRule="auto"/>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Loans which possess a defined credit weakness and the likelihood that a loan will be paid from the primary source and are uncertain. Financial deterioration is underway and very close attention is warranted to ensure that the loan is collected without loss.</w:t>
      </w:r>
    </w:p>
    <w:p>
      <w:pPr>
        <w:spacing w:after="0" w:line="1" w:lineRule="exact"/>
        <w:rPr>
          <w:rFonts w:ascii="Arial" w:cs="Arial" w:eastAsia="Arial" w:hAnsi="Arial"/>
          <w:sz w:val="18"/>
          <w:szCs w:val="18"/>
          <w:color w:val="auto"/>
        </w:rPr>
      </w:pPr>
    </w:p>
    <w:p>
      <w:pPr>
        <w:ind w:left="2660" w:hanging="370"/>
        <w:spacing w:after="0"/>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9" w:lineRule="exact"/>
        <w:rPr>
          <w:rFonts w:ascii="Arial" w:cs="Arial" w:eastAsia="Arial" w:hAnsi="Arial"/>
          <w:sz w:val="18"/>
          <w:szCs w:val="18"/>
          <w:color w:val="auto"/>
        </w:rPr>
      </w:pPr>
    </w:p>
    <w:p>
      <w:pPr>
        <w:ind w:left="2660" w:hanging="370"/>
        <w:spacing w:after="0" w:line="250" w:lineRule="auto"/>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ind w:left="2660" w:hanging="370"/>
        <w:spacing w:after="0"/>
        <w:tabs>
          <w:tab w:leader="none" w:pos="26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Loans are characterized by the distinct possibility that the Bank will sustain some loss if deficiencies are not corrected.</w:t>
      </w:r>
    </w:p>
    <w:p>
      <w:pPr>
        <w:spacing w:after="0" w:line="32" w:lineRule="exact"/>
        <w:rPr>
          <w:rFonts w:ascii="Arial" w:cs="Arial" w:eastAsia="Arial" w:hAnsi="Arial"/>
          <w:sz w:val="16"/>
          <w:szCs w:val="16"/>
          <w:color w:val="auto"/>
        </w:rPr>
      </w:pPr>
    </w:p>
    <w:p>
      <w:pPr>
        <w:ind w:left="2660" w:hanging="370"/>
        <w:spacing w:after="0"/>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9" w:lineRule="exact"/>
        <w:rPr>
          <w:rFonts w:ascii="Arial" w:cs="Arial" w:eastAsia="Arial" w:hAnsi="Arial"/>
          <w:sz w:val="18"/>
          <w:szCs w:val="18"/>
          <w:color w:val="auto"/>
        </w:rPr>
      </w:pPr>
    </w:p>
    <w:p>
      <w:pPr>
        <w:ind w:left="2660" w:hanging="370"/>
        <w:spacing w:after="0"/>
        <w:tabs>
          <w:tab w:leader="none" w:pos="2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borrower is not generating enough cash flow to repay loan principal but continues to make interest payments.</w:t>
      </w:r>
    </w:p>
    <w:p>
      <w:pPr>
        <w:spacing w:after="0" w:line="20" w:lineRule="exact"/>
        <w:rPr>
          <w:rFonts w:ascii="Arial" w:cs="Arial" w:eastAsia="Arial" w:hAnsi="Arial"/>
          <w:sz w:val="17"/>
          <w:szCs w:val="17"/>
          <w:color w:val="auto"/>
        </w:rPr>
      </w:pPr>
    </w:p>
    <w:p>
      <w:pPr>
        <w:ind w:left="2660" w:hanging="370"/>
        <w:spacing w:after="0"/>
        <w:tabs>
          <w:tab w:leader="none" w:pos="2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lender is forced into a subordinate position or unsecured collateral position due to flaws in documentation.</w:t>
      </w:r>
    </w:p>
    <w:p>
      <w:pPr>
        <w:spacing w:after="0" w:line="20" w:lineRule="exact"/>
        <w:rPr>
          <w:rFonts w:ascii="Arial" w:cs="Arial" w:eastAsia="Arial" w:hAnsi="Arial"/>
          <w:sz w:val="17"/>
          <w:szCs w:val="17"/>
          <w:color w:val="auto"/>
        </w:rPr>
      </w:pPr>
    </w:p>
    <w:p>
      <w:pPr>
        <w:ind w:left="2660" w:hanging="370"/>
        <w:spacing w:after="0" w:line="250" w:lineRule="auto"/>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ind w:left="2660" w:hanging="370"/>
        <w:spacing w:after="0"/>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lender is seriously contemplating foreclosure or legal action due to the apparent deterioration in the loan.</w:t>
      </w:r>
    </w:p>
    <w:p>
      <w:pPr>
        <w:spacing w:after="0" w:line="9" w:lineRule="exact"/>
        <w:rPr>
          <w:rFonts w:ascii="Arial" w:cs="Arial" w:eastAsia="Arial" w:hAnsi="Arial"/>
          <w:sz w:val="18"/>
          <w:szCs w:val="18"/>
          <w:color w:val="auto"/>
        </w:rPr>
      </w:pPr>
    </w:p>
    <w:p>
      <w:pPr>
        <w:ind w:left="2660" w:hanging="370"/>
        <w:spacing w:after="0"/>
        <w:tabs>
          <w:tab w:leader="none" w:pos="2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There is significant deterioration in the market conditions and the borrower is highly vulnerable to these conditions.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2280" w:hanging="759"/>
        <w:spacing w:after="0"/>
        <w:tabs>
          <w:tab w:leader="none" w:pos="2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23" w:lineRule="exact"/>
        <w:rPr>
          <w:rFonts w:ascii="Arial" w:cs="Arial" w:eastAsia="Arial" w:hAnsi="Arial"/>
          <w:sz w:val="18"/>
          <w:szCs w:val="18"/>
          <w:color w:val="auto"/>
        </w:rPr>
      </w:pPr>
    </w:p>
    <w:p>
      <w:pPr>
        <w:ind w:left="2660" w:hanging="370"/>
        <w:spacing w:after="0" w:line="250" w:lineRule="auto"/>
        <w:tabs>
          <w:tab w:leader="none" w:pos="2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these weaknesses make collection or liquidation in full based on existing conditions improbable.</w:t>
      </w:r>
    </w:p>
    <w:p>
      <w:pPr>
        <w:ind w:left="2660" w:hanging="370"/>
        <w:spacing w:after="0" w:line="250" w:lineRule="auto"/>
        <w:tabs>
          <w:tab w:leader="none" w:pos="2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primary source of repayment is gone, and there is considerable doubt as to the quality of the secondary source of repayment.</w:t>
      </w:r>
    </w:p>
    <w:p>
      <w:pPr>
        <w:jc w:val="both"/>
        <w:ind w:left="2660" w:hanging="370"/>
        <w:spacing w:after="0" w:line="250" w:lineRule="auto"/>
        <w:tabs>
          <w:tab w:leader="none" w:pos="2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1" w:lineRule="exact"/>
        <w:rPr>
          <w:rFonts w:ascii="Arial" w:cs="Arial" w:eastAsia="Arial" w:hAnsi="Arial"/>
          <w:sz w:val="18"/>
          <w:szCs w:val="18"/>
          <w:color w:val="auto"/>
        </w:rPr>
      </w:pPr>
    </w:p>
    <w:p>
      <w:pPr>
        <w:jc w:val="both"/>
        <w:ind w:left="2280" w:hanging="759"/>
        <w:spacing w:after="0" w:line="254" w:lineRule="auto"/>
        <w:tabs>
          <w:tab w:leader="none" w:pos="2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20" w:right="3540" w:hanging="1310"/>
        <w:spacing w:after="0" w:line="810" w:lineRule="auto"/>
        <w:tabs>
          <w:tab w:leader="none" w:pos="44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Remainder of this page intentionally left blank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-740410</wp:posOffset>
            </wp:positionV>
            <wp:extent cx="676656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6656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-255270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51"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color w:val="auto"/>
        </w:rPr>
        <w:t>The following table represents the risk category of loans by portfolio class, net of deferred fees and costs, based on the most recent analysis performed as of June 30, 2019 and December 31,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4"/>
              </w:rPr>
              <w:t>(In Thousands)</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4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Agricultural</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0"/>
              <w:spacing w:after="0"/>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9"/>
                <w:szCs w:val="19"/>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20" w:type="dxa"/>
            <w:vAlign w:val="bottom"/>
            <w:tcBorders>
              <w:bottom w:val="single" w:sz="8" w:color="CFF0FC"/>
            </w:tcBorders>
          </w:tcPr>
          <w:p>
            <w:pPr>
              <w:spacing w:after="0"/>
              <w:rPr>
                <w:sz w:val="20"/>
                <w:szCs w:val="20"/>
                <w:color w:val="auto"/>
              </w:rPr>
            </w:pPr>
          </w:p>
        </w:tc>
        <w:tc>
          <w:tcPr>
            <w:tcW w:w="12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8"/>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Real Estate</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June 30, 2019</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20" w:type="dxa"/>
            <w:vAlign w:val="bottom"/>
          </w:tcPr>
          <w:p>
            <w:pPr>
              <w:jc w:val="center"/>
              <w:ind w:left="1050"/>
              <w:spacing w:after="0"/>
              <w:rPr>
                <w:sz w:val="20"/>
                <w:szCs w:val="20"/>
                <w:color w:val="auto"/>
              </w:rPr>
            </w:pPr>
            <w:r>
              <w:rPr>
                <w:rFonts w:ascii="Arial" w:cs="Arial" w:eastAsia="Arial" w:hAnsi="Arial"/>
                <w:sz w:val="18"/>
                <w:szCs w:val="18"/>
                <w:color w:val="auto"/>
                <w:w w:val="92"/>
              </w:rPr>
              <w:t>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33,993</w:t>
            </w:r>
          </w:p>
        </w:tc>
        <w:tc>
          <w:tcPr>
            <w:tcW w:w="120" w:type="dxa"/>
            <w:vAlign w:val="bottom"/>
          </w:tcPr>
          <w:p>
            <w:pPr>
              <w:spacing w:after="0"/>
              <w:rPr>
                <w:sz w:val="19"/>
                <w:szCs w:val="19"/>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7,892</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7,724</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4,394</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3</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53,521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40,275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83,706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19,312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2,463</w:t>
            </w:r>
          </w:p>
        </w:tc>
        <w:tc>
          <w:tcPr>
            <w:tcW w:w="20" w:type="dxa"/>
            <w:vAlign w:val="bottom"/>
          </w:tcPr>
          <w:p>
            <w:pPr>
              <w:spacing w:after="0"/>
              <w:rPr>
                <w:sz w:val="19"/>
                <w:szCs w:val="19"/>
                <w:color w:val="auto"/>
              </w:rPr>
            </w:pPr>
          </w:p>
        </w:tc>
      </w:tr>
      <w:tr>
        <w:trPr>
          <w:trHeight w:val="230"/>
        </w:trPr>
        <w:tc>
          <w:tcPr>
            <w:tcW w:w="4020" w:type="dxa"/>
            <w:vAlign w:val="bottom"/>
          </w:tcPr>
          <w:p>
            <w:pPr>
              <w:jc w:val="center"/>
              <w:ind w:left="1030"/>
              <w:spacing w:after="0"/>
              <w:rPr>
                <w:sz w:val="20"/>
                <w:szCs w:val="20"/>
                <w:color w:val="auto"/>
              </w:rPr>
            </w:pPr>
            <w:r>
              <w:rPr>
                <w:rFonts w:ascii="Arial" w:cs="Arial" w:eastAsia="Arial" w:hAnsi="Arial"/>
                <w:sz w:val="18"/>
                <w:szCs w:val="18"/>
                <w:color w:val="auto"/>
                <w:w w:val="99"/>
              </w:rPr>
              <w:t>4</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84,260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60,437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341,424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95,720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4,878</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5</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17,548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5,055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8,046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4,753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tcPr>
          <w:p>
            <w:pPr>
              <w:jc w:val="center"/>
              <w:ind w:left="1030"/>
              <w:spacing w:after="0"/>
              <w:rPr>
                <w:sz w:val="20"/>
                <w:szCs w:val="20"/>
                <w:color w:val="auto"/>
              </w:rPr>
            </w:pPr>
            <w:r>
              <w:rPr>
                <w:rFonts w:ascii="Arial" w:cs="Arial" w:eastAsia="Arial" w:hAnsi="Arial"/>
                <w:sz w:val="18"/>
                <w:szCs w:val="18"/>
                <w:color w:val="auto"/>
                <w:w w:val="99"/>
              </w:rPr>
              <w:t>6</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7</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879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tcBorders>
              <w:bottom w:val="single" w:sz="8" w:color="CFF0FC"/>
            </w:tcBorders>
          </w:tcPr>
          <w:p>
            <w:pPr>
              <w:jc w:val="center"/>
              <w:ind w:left="1030"/>
              <w:spacing w:after="0"/>
              <w:rPr>
                <w:sz w:val="20"/>
                <w:szCs w:val="20"/>
                <w:color w:val="auto"/>
              </w:rPr>
            </w:pPr>
            <w:r>
              <w:rPr>
                <w:rFonts w:ascii="Arial" w:cs="Arial" w:eastAsia="Arial" w:hAnsi="Arial"/>
                <w:sz w:val="18"/>
                <w:szCs w:val="18"/>
                <w:color w:val="auto"/>
                <w:w w:val="99"/>
              </w:rPr>
              <w:t>8</w:t>
            </w:r>
          </w:p>
        </w:tc>
        <w:tc>
          <w:tcPr>
            <w:tcW w:w="12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020" w:type="dxa"/>
            <w:vAlign w:val="bottom"/>
            <w:tcBorders>
              <w:bottom w:val="single" w:sz="8" w:color="CFF0FC"/>
            </w:tcBorders>
            <w:shd w:val="clear" w:color="auto" w:fill="CFF0FC"/>
          </w:tcPr>
          <w:p>
            <w:pPr>
              <w:ind w:left="240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193,616</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113,906</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442,538</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125,673</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7,341</w:t>
            </w:r>
          </w:p>
        </w:tc>
        <w:tc>
          <w:tcPr>
            <w:tcW w:w="2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2"/>
        </w:trPr>
        <w:tc>
          <w:tcPr>
            <w:tcW w:w="4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Agricultural</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30"/>
              <w:spacing w:after="0"/>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24"/>
                <w:szCs w:val="24"/>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20" w:type="dxa"/>
            <w:vAlign w:val="bottom"/>
            <w:tcBorders>
              <w:bottom w:val="single" w:sz="8" w:color="CFF0FC"/>
            </w:tcBorders>
          </w:tcPr>
          <w:p>
            <w:pPr>
              <w:spacing w:after="0"/>
              <w:rPr>
                <w:sz w:val="20"/>
                <w:szCs w:val="20"/>
                <w:color w:val="auto"/>
              </w:rPr>
            </w:pPr>
          </w:p>
        </w:tc>
        <w:tc>
          <w:tcPr>
            <w:tcW w:w="12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8"/>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Real Estate</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20" w:type="dxa"/>
            <w:vAlign w:val="bottom"/>
          </w:tcPr>
          <w:p>
            <w:pPr>
              <w:jc w:val="center"/>
              <w:ind w:left="1050"/>
              <w:spacing w:after="0"/>
              <w:rPr>
                <w:sz w:val="20"/>
                <w:szCs w:val="20"/>
                <w:color w:val="auto"/>
              </w:rPr>
            </w:pPr>
            <w:r>
              <w:rPr>
                <w:rFonts w:ascii="Arial" w:cs="Arial" w:eastAsia="Arial" w:hAnsi="Arial"/>
                <w:sz w:val="18"/>
                <w:szCs w:val="18"/>
                <w:color w:val="auto"/>
                <w:w w:val="92"/>
              </w:rPr>
              <w:t>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4,442</w:t>
            </w:r>
          </w:p>
        </w:tc>
        <w:tc>
          <w:tcPr>
            <w:tcW w:w="120" w:type="dxa"/>
            <w:vAlign w:val="bottom"/>
          </w:tcPr>
          <w:p>
            <w:pPr>
              <w:spacing w:after="0"/>
              <w:rPr>
                <w:sz w:val="19"/>
                <w:szCs w:val="19"/>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5,753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4,698</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3,199</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3</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14,118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38,852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64,341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16,284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3,135</w:t>
            </w:r>
          </w:p>
        </w:tc>
        <w:tc>
          <w:tcPr>
            <w:tcW w:w="20" w:type="dxa"/>
            <w:vAlign w:val="bottom"/>
          </w:tcPr>
          <w:p>
            <w:pPr>
              <w:spacing w:after="0"/>
              <w:rPr>
                <w:sz w:val="19"/>
                <w:szCs w:val="19"/>
                <w:color w:val="auto"/>
              </w:rPr>
            </w:pPr>
          </w:p>
        </w:tc>
      </w:tr>
      <w:tr>
        <w:trPr>
          <w:trHeight w:val="230"/>
        </w:trPr>
        <w:tc>
          <w:tcPr>
            <w:tcW w:w="4020" w:type="dxa"/>
            <w:vAlign w:val="bottom"/>
          </w:tcPr>
          <w:p>
            <w:pPr>
              <w:jc w:val="center"/>
              <w:ind w:left="1030"/>
              <w:spacing w:after="0"/>
              <w:rPr>
                <w:sz w:val="20"/>
                <w:szCs w:val="20"/>
                <w:color w:val="auto"/>
              </w:rPr>
            </w:pPr>
            <w:r>
              <w:rPr>
                <w:rFonts w:ascii="Arial" w:cs="Arial" w:eastAsia="Arial" w:hAnsi="Arial"/>
                <w:sz w:val="18"/>
                <w:szCs w:val="18"/>
                <w:color w:val="auto"/>
                <w:w w:val="99"/>
              </w:rPr>
              <w:t>4</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49,596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63,380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346,072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100,644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2,754</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5</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2,171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tcPr>
          <w:p>
            <w:pPr>
              <w:jc w:val="center"/>
              <w:ind w:left="1030"/>
              <w:spacing w:after="0"/>
              <w:rPr>
                <w:sz w:val="20"/>
                <w:szCs w:val="20"/>
                <w:color w:val="auto"/>
              </w:rPr>
            </w:pPr>
            <w:r>
              <w:rPr>
                <w:rFonts w:ascii="Arial" w:cs="Arial" w:eastAsia="Arial" w:hAnsi="Arial"/>
                <w:sz w:val="18"/>
                <w:szCs w:val="18"/>
                <w:color w:val="auto"/>
                <w:w w:val="99"/>
              </w:rPr>
              <w:t>6</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7</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886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tcBorders>
              <w:bottom w:val="single" w:sz="8" w:color="CFF0FC"/>
            </w:tcBorders>
          </w:tcPr>
          <w:p>
            <w:pPr>
              <w:jc w:val="center"/>
              <w:ind w:left="1030"/>
              <w:spacing w:after="0"/>
              <w:rPr>
                <w:sz w:val="20"/>
                <w:szCs w:val="20"/>
                <w:color w:val="auto"/>
              </w:rPr>
            </w:pPr>
            <w:r>
              <w:rPr>
                <w:rFonts w:ascii="Arial" w:cs="Arial" w:eastAsia="Arial" w:hAnsi="Arial"/>
                <w:sz w:val="18"/>
                <w:szCs w:val="18"/>
                <w:color w:val="auto"/>
                <w:w w:val="99"/>
              </w:rPr>
              <w:t>8</w:t>
            </w:r>
          </w:p>
        </w:tc>
        <w:tc>
          <w:tcPr>
            <w:tcW w:w="12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020" w:type="dxa"/>
            <w:vAlign w:val="bottom"/>
            <w:tcBorders>
              <w:bottom w:val="single" w:sz="8" w:color="CFF0FC"/>
            </w:tcBorders>
            <w:shd w:val="clear" w:color="auto" w:fill="CFF0FC"/>
          </w:tcPr>
          <w:p>
            <w:pPr>
              <w:ind w:left="240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68,588</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108,616</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419,131</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121,863</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5,889</w:t>
            </w:r>
          </w:p>
        </w:tc>
        <w:tc>
          <w:tcPr>
            <w:tcW w:w="2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4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4020" w:type="dxa"/>
            <w:vAlign w:val="bottom"/>
            <w:shd w:val="clear" w:color="auto" w:fill="D9D9D9"/>
          </w:tcPr>
          <w:p>
            <w:pPr>
              <w:spacing w:after="0"/>
              <w:rPr>
                <w:sz w:val="21"/>
                <w:szCs w:val="21"/>
                <w:color w:val="auto"/>
              </w:rPr>
            </w:pPr>
          </w:p>
        </w:tc>
        <w:tc>
          <w:tcPr>
            <w:tcW w:w="1260" w:type="dxa"/>
            <w:vAlign w:val="bottom"/>
            <w:shd w:val="clear" w:color="auto" w:fill="D9D9D9"/>
          </w:tcPr>
          <w:p>
            <w:pPr>
              <w:spacing w:after="0"/>
              <w:rPr>
                <w:sz w:val="21"/>
                <w:szCs w:val="21"/>
                <w:color w:val="auto"/>
              </w:rPr>
            </w:pPr>
          </w:p>
        </w:tc>
        <w:tc>
          <w:tcPr>
            <w:tcW w:w="80" w:type="dxa"/>
            <w:vAlign w:val="bottom"/>
            <w:shd w:val="clear" w:color="auto" w:fill="D9D9D9"/>
          </w:tcPr>
          <w:p>
            <w:pPr>
              <w:spacing w:after="0"/>
              <w:rPr>
                <w:sz w:val="21"/>
                <w:szCs w:val="21"/>
                <w:color w:val="auto"/>
              </w:rPr>
            </w:pPr>
          </w:p>
        </w:tc>
        <w:tc>
          <w:tcPr>
            <w:tcW w:w="1040" w:type="dxa"/>
            <w:vAlign w:val="bottom"/>
            <w:shd w:val="clear" w:color="auto" w:fill="D9D9D9"/>
          </w:tcPr>
          <w:p>
            <w:pPr>
              <w:spacing w:after="0"/>
              <w:rPr>
                <w:sz w:val="21"/>
                <w:szCs w:val="21"/>
                <w:color w:val="auto"/>
              </w:rPr>
            </w:pPr>
          </w:p>
        </w:tc>
        <w:tc>
          <w:tcPr>
            <w:tcW w:w="120" w:type="dxa"/>
            <w:vAlign w:val="bottom"/>
            <w:shd w:val="clear" w:color="auto" w:fill="D9D9D9"/>
          </w:tcPr>
          <w:p>
            <w:pPr>
              <w:spacing w:after="0"/>
              <w:rPr>
                <w:sz w:val="21"/>
                <w:szCs w:val="21"/>
                <w:color w:val="auto"/>
              </w:rPr>
            </w:pPr>
          </w:p>
        </w:tc>
        <w:tc>
          <w:tcPr>
            <w:tcW w:w="240" w:type="dxa"/>
            <w:vAlign w:val="bottom"/>
            <w:shd w:val="clear" w:color="auto" w:fill="D9D9D9"/>
          </w:tcPr>
          <w:p>
            <w:pPr>
              <w:spacing w:after="0"/>
              <w:rPr>
                <w:sz w:val="21"/>
                <w:szCs w:val="21"/>
                <w:color w:val="auto"/>
              </w:rPr>
            </w:pPr>
          </w:p>
        </w:tc>
        <w:tc>
          <w:tcPr>
            <w:tcW w:w="880" w:type="dxa"/>
            <w:vAlign w:val="bottom"/>
            <w:shd w:val="clear" w:color="auto" w:fill="D9D9D9"/>
          </w:tcPr>
          <w:p>
            <w:pPr>
              <w:spacing w:after="0"/>
              <w:rPr>
                <w:sz w:val="21"/>
                <w:szCs w:val="21"/>
                <w:color w:val="auto"/>
              </w:rPr>
            </w:pPr>
          </w:p>
        </w:tc>
        <w:tc>
          <w:tcPr>
            <w:tcW w:w="120" w:type="dxa"/>
            <w:vAlign w:val="bottom"/>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040" w:type="dxa"/>
            <w:vAlign w:val="bottom"/>
            <w:shd w:val="clear" w:color="auto" w:fill="D9D9D9"/>
          </w:tcPr>
          <w:p>
            <w:pPr>
              <w:spacing w:after="0"/>
              <w:rPr>
                <w:sz w:val="21"/>
                <w:szCs w:val="21"/>
                <w:color w:val="auto"/>
              </w:rPr>
            </w:pPr>
          </w:p>
        </w:tc>
        <w:tc>
          <w:tcPr>
            <w:tcW w:w="120" w:type="dxa"/>
            <w:vAlign w:val="bottom"/>
            <w:shd w:val="clear" w:color="auto" w:fill="D9D9D9"/>
          </w:tcPr>
          <w:p>
            <w:pPr>
              <w:spacing w:after="0"/>
              <w:rPr>
                <w:sz w:val="21"/>
                <w:szCs w:val="21"/>
                <w:color w:val="auto"/>
              </w:rPr>
            </w:pPr>
          </w:p>
        </w:tc>
        <w:tc>
          <w:tcPr>
            <w:tcW w:w="260" w:type="dxa"/>
            <w:vAlign w:val="bottom"/>
            <w:shd w:val="clear" w:color="auto" w:fill="D9D9D9"/>
          </w:tcPr>
          <w:p>
            <w:pPr>
              <w:spacing w:after="0"/>
              <w:rPr>
                <w:sz w:val="21"/>
                <w:szCs w:val="21"/>
                <w:color w:val="auto"/>
              </w:rPr>
            </w:pPr>
          </w:p>
        </w:tc>
        <w:tc>
          <w:tcPr>
            <w:tcW w:w="880" w:type="dxa"/>
            <w:vAlign w:val="bottom"/>
            <w:shd w:val="clear" w:color="auto" w:fill="D9D9D9"/>
          </w:tcPr>
          <w:p>
            <w:pPr>
              <w:spacing w:after="0"/>
              <w:rPr>
                <w:sz w:val="21"/>
                <w:szCs w:val="21"/>
                <w:color w:val="auto"/>
              </w:rPr>
            </w:pPr>
          </w:p>
        </w:tc>
        <w:tc>
          <w:tcPr>
            <w:tcW w:w="120" w:type="dxa"/>
            <w:vAlign w:val="bottom"/>
            <w:shd w:val="clear" w:color="auto" w:fill="D9D9D9"/>
          </w:tcPr>
          <w:p>
            <w:pPr>
              <w:spacing w:after="0"/>
              <w:rPr>
                <w:sz w:val="21"/>
                <w:szCs w:val="21"/>
                <w:color w:val="auto"/>
              </w:rPr>
            </w:pPr>
          </w:p>
        </w:tc>
        <w:tc>
          <w:tcPr>
            <w:tcW w:w="200" w:type="dxa"/>
            <w:vAlign w:val="bottom"/>
            <w:shd w:val="clear" w:color="auto" w:fill="D9D9D9"/>
          </w:tcPr>
          <w:p>
            <w:pPr>
              <w:spacing w:after="0"/>
              <w:rPr>
                <w:sz w:val="21"/>
                <w:szCs w:val="21"/>
                <w:color w:val="auto"/>
              </w:rPr>
            </w:pPr>
          </w:p>
        </w:tc>
        <w:tc>
          <w:tcPr>
            <w:tcW w:w="940" w:type="dxa"/>
            <w:vAlign w:val="bottom"/>
            <w:shd w:val="clear" w:color="auto" w:fill="D9D9D9"/>
          </w:tcPr>
          <w:p>
            <w:pPr>
              <w:spacing w:after="0"/>
              <w:rPr>
                <w:sz w:val="21"/>
                <w:szCs w:val="21"/>
                <w:color w:val="auto"/>
              </w:rPr>
            </w:pPr>
          </w:p>
        </w:tc>
        <w:tc>
          <w:tcPr>
            <w:tcW w:w="20" w:type="dxa"/>
            <w:vAlign w:val="bottom"/>
          </w:tcPr>
          <w:p>
            <w:pPr>
              <w:spacing w:after="0"/>
              <w:rPr>
                <w:sz w:val="21"/>
                <w:szCs w:val="21"/>
                <w:color w:val="auto"/>
              </w:rPr>
            </w:pPr>
          </w:p>
        </w:tc>
      </w:tr>
      <w:tr>
        <w:trPr>
          <w:trHeight w:val="432"/>
        </w:trPr>
        <w:tc>
          <w:tcPr>
            <w:tcW w:w="4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For consumer residential real estate, and other, the Company also evaluates credit quality based on the aging status of the loan, as was previously stated, and by payment activity. The following tables present the recorded investment in those classes based on payment activity and assigned risk grading as of June 30, 2019 and December 31, 2018.</w:t>
      </w: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8"/>
                <w:szCs w:val="18"/>
                <w:color w:val="auto"/>
              </w:rPr>
              <w:t>(In Thousands)</w:t>
            </w:r>
          </w:p>
        </w:tc>
      </w:tr>
      <w:tr>
        <w:trPr>
          <w:trHeight w:val="222"/>
        </w:trPr>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Consumer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89"/>
              </w:rPr>
              <w:t>Consumer</w:t>
            </w:r>
          </w:p>
        </w:tc>
      </w:tr>
      <w:tr>
        <w:trPr>
          <w:trHeight w:val="230"/>
        </w:trPr>
        <w:tc>
          <w:tcPr>
            <w:tcW w:w="5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5"/>
              </w:rPr>
              <w:t>Real Estate</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Real Estate</w:t>
            </w:r>
          </w:p>
        </w:tc>
      </w:tr>
      <w:tr>
        <w:trPr>
          <w:trHeight w:val="209"/>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88"/>
              </w:rPr>
              <w:t>December 31,</w:t>
            </w:r>
          </w:p>
        </w:tc>
      </w:tr>
      <w:tr>
        <w:trPr>
          <w:trHeight w:val="230"/>
        </w:trPr>
        <w:tc>
          <w:tcPr>
            <w:tcW w:w="54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2018</w:t>
            </w: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Grade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Pass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156,743</w:t>
            </w:r>
          </w:p>
        </w:tc>
        <w:tc>
          <w:tcPr>
            <w:tcW w:w="1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79,121</w:t>
            </w: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Special Mention (5)</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Substandard (6)</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879</w:t>
            </w: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Doubtful (7)</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tcPr>
          <w:p>
            <w:pPr>
              <w:ind w:left="24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158,957</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80,232</w:t>
            </w: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rPr>
              <w:t>Consumer - Credit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color w:val="auto"/>
              </w:rPr>
              <w:t>Consumer - Other</w:t>
            </w:r>
          </w:p>
        </w:tc>
      </w:tr>
      <w:tr>
        <w:trPr>
          <w:trHeight w:val="209"/>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w w:val="92"/>
              </w:rPr>
              <w:t>June 30,</w:t>
            </w:r>
          </w:p>
        </w:tc>
        <w:tc>
          <w:tcPr>
            <w:tcW w:w="12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w w:val="99"/>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w w:val="92"/>
              </w:rPr>
              <w:t>June 30,</w:t>
            </w:r>
          </w:p>
        </w:tc>
        <w:tc>
          <w:tcPr>
            <w:tcW w:w="12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w w:val="99"/>
              </w:rPr>
              <w:t>December 31,</w:t>
            </w:r>
          </w:p>
        </w:tc>
      </w:tr>
      <w:tr>
        <w:trPr>
          <w:trHeight w:val="230"/>
        </w:trPr>
        <w:tc>
          <w:tcPr>
            <w:tcW w:w="53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3,858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3,909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45,144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38,073</w:t>
            </w: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Nonperforming</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r>
      <w:tr>
        <w:trPr>
          <w:trHeight w:val="223"/>
        </w:trPr>
        <w:tc>
          <w:tcPr>
            <w:tcW w:w="5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3,891</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3,928</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45,209</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38,127</w:t>
            </w: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impaired loans as of June 30, 2019, December 31, 2018 and June 30, 2018 are as follows: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color w:val="auto"/>
                <w:w w:val="90"/>
              </w:rPr>
              <w:t>(In Thousands)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June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Impaired loans without a valuation allowance</w:t>
            </w:r>
          </w:p>
        </w:tc>
        <w:tc>
          <w:tcPr>
            <w:tcW w:w="9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1,071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1,808</w:t>
            </w:r>
          </w:p>
        </w:tc>
        <w:tc>
          <w:tcPr>
            <w:tcW w:w="3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Impaired loans with a valuation allowance</w:t>
            </w:r>
          </w:p>
        </w:tc>
        <w:tc>
          <w:tcPr>
            <w:tcW w:w="7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impaired loans</w:t>
            </w:r>
          </w:p>
        </w:tc>
        <w:tc>
          <w:tcPr>
            <w:tcW w:w="7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2,176</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2,054</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Valuation allowance related to impaired loans</w:t>
            </w:r>
          </w:p>
        </w:tc>
        <w:tc>
          <w:tcPr>
            <w:tcW w:w="9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gridSpan w:val="2"/>
            <w:vMerge w:val="continue"/>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non-accrual loans</w:t>
            </w:r>
          </w:p>
        </w:tc>
        <w:tc>
          <w:tcPr>
            <w:tcW w:w="7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1,328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Total loans past-due ninety days or more and</w:t>
            </w: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still accruing</w:t>
            </w:r>
          </w:p>
        </w:tc>
        <w:tc>
          <w:tcPr>
            <w:tcW w:w="9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Quarter ended average investment in impaired</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loans</w:t>
            </w:r>
          </w:p>
        </w:tc>
        <w:tc>
          <w:tcPr>
            <w:tcW w:w="9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2,201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2,533</w:t>
            </w:r>
          </w:p>
        </w:tc>
        <w:tc>
          <w:tcPr>
            <w:tcW w:w="3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Year to date average investment in impaired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loans</w:t>
            </w:r>
          </w:p>
        </w:tc>
        <w:tc>
          <w:tcPr>
            <w:tcW w:w="9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1,958</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no additional funds available to be advanced in connection with impaired loans.</w:t>
      </w:r>
    </w:p>
    <w:p>
      <w:pPr>
        <w:spacing w:after="0" w:line="185"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The Bank had approximately $981 thousand of its impaired loans classified as troubled debt restructured (TDR) as of June 30, 2019, $178 thousand as of December 31, 2018 and $218 thousand as of June 30, 2018. During the year to date 2019, there were 4 new loans considered TDR. There were no new loans considered TDR year to date 2018.</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represents three and six months ended June 30, 2019:</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Pre-</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Post-</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Pre-</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Post-</w:t>
            </w:r>
          </w:p>
        </w:tc>
        <w:tc>
          <w:tcPr>
            <w:tcW w:w="0" w:type="dxa"/>
            <w:vAlign w:val="bottom"/>
          </w:tcPr>
          <w:p>
            <w:pPr>
              <w:spacing w:after="0"/>
              <w:rPr>
                <w:sz w:val="1"/>
                <w:szCs w:val="1"/>
                <w:color w:val="auto"/>
              </w:rPr>
            </w:pPr>
          </w:p>
        </w:tc>
      </w:tr>
      <w:tr>
        <w:trPr>
          <w:trHeight w:val="230"/>
        </w:trPr>
        <w:tc>
          <w:tcPr>
            <w:tcW w:w="1660" w:type="dxa"/>
            <w:vAlign w:val="bottom"/>
            <w:gridSpan w:val="3"/>
          </w:tcPr>
          <w:p>
            <w:pPr>
              <w:spacing w:after="0"/>
              <w:rPr>
                <w:sz w:val="20"/>
                <w:szCs w:val="20"/>
                <w:color w:val="auto"/>
              </w:rPr>
            </w:pPr>
            <w:r>
              <w:rPr>
                <w:rFonts w:ascii="Arial" w:cs="Arial" w:eastAsia="Arial" w:hAnsi="Arial"/>
                <w:sz w:val="18"/>
                <w:szCs w:val="18"/>
                <w:color w:val="auto"/>
              </w:rPr>
              <w:t>Three Months</w:t>
            </w:r>
          </w:p>
        </w:tc>
        <w:tc>
          <w:tcPr>
            <w:tcW w:w="440" w:type="dxa"/>
            <w:vAlign w:val="bottom"/>
          </w:tcPr>
          <w:p>
            <w:pPr>
              <w:spacing w:after="0"/>
              <w:rPr>
                <w:sz w:val="19"/>
                <w:szCs w:val="19"/>
                <w:color w:val="auto"/>
              </w:rPr>
            </w:pPr>
          </w:p>
        </w:tc>
        <w:tc>
          <w:tcPr>
            <w:tcW w:w="1240" w:type="dxa"/>
            <w:vAlign w:val="bottom"/>
            <w:gridSpan w:val="5"/>
          </w:tcPr>
          <w:p>
            <w:pPr>
              <w:jc w:val="center"/>
              <w:ind w:right="60"/>
              <w:spacing w:after="0"/>
              <w:rPr>
                <w:sz w:val="20"/>
                <w:szCs w:val="20"/>
                <w:color w:val="auto"/>
              </w:rPr>
            </w:pPr>
            <w:r>
              <w:rPr>
                <w:rFonts w:ascii="Arial" w:cs="Arial" w:eastAsia="Arial" w:hAnsi="Arial"/>
                <w:sz w:val="18"/>
                <w:szCs w:val="18"/>
                <w:color w:val="auto"/>
                <w:w w:val="92"/>
              </w:rPr>
              <w:t>Number of</w:t>
            </w:r>
          </w:p>
        </w:tc>
        <w:tc>
          <w:tcPr>
            <w:tcW w:w="1060" w:type="dxa"/>
            <w:vAlign w:val="bottom"/>
            <w:gridSpan w:val="4"/>
          </w:tcPr>
          <w:p>
            <w:pPr>
              <w:jc w:val="center"/>
              <w:spacing w:after="0"/>
              <w:rPr>
                <w:sz w:val="20"/>
                <w:szCs w:val="20"/>
                <w:color w:val="auto"/>
              </w:rPr>
            </w:pPr>
            <w:r>
              <w:rPr>
                <w:rFonts w:ascii="Arial" w:cs="Arial" w:eastAsia="Arial" w:hAnsi="Arial"/>
                <w:sz w:val="18"/>
                <w:szCs w:val="18"/>
                <w:color w:val="auto"/>
                <w:w w:val="97"/>
              </w:rPr>
              <w:t>Modification</w:t>
            </w:r>
          </w:p>
        </w:tc>
        <w:tc>
          <w:tcPr>
            <w:tcW w:w="1240" w:type="dxa"/>
            <w:vAlign w:val="bottom"/>
            <w:gridSpan w:val="4"/>
          </w:tcPr>
          <w:p>
            <w:pPr>
              <w:jc w:val="center"/>
              <w:ind w:right="180"/>
              <w:spacing w:after="0"/>
              <w:rPr>
                <w:sz w:val="20"/>
                <w:szCs w:val="20"/>
                <w:color w:val="auto"/>
              </w:rPr>
            </w:pPr>
            <w:r>
              <w:rPr>
                <w:rFonts w:ascii="Arial" w:cs="Arial" w:eastAsia="Arial" w:hAnsi="Arial"/>
                <w:sz w:val="18"/>
                <w:szCs w:val="18"/>
                <w:color w:val="auto"/>
                <w:w w:val="97"/>
              </w:rPr>
              <w:t>Modification</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Six Months</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5"/>
          </w:tcPr>
          <w:p>
            <w:pPr>
              <w:jc w:val="center"/>
              <w:ind w:right="80"/>
              <w:spacing w:after="0"/>
              <w:rPr>
                <w:sz w:val="20"/>
                <w:szCs w:val="20"/>
                <w:color w:val="auto"/>
              </w:rPr>
            </w:pPr>
            <w:r>
              <w:rPr>
                <w:rFonts w:ascii="Arial" w:cs="Arial" w:eastAsia="Arial" w:hAnsi="Arial"/>
                <w:sz w:val="18"/>
                <w:szCs w:val="18"/>
                <w:color w:val="auto"/>
                <w:w w:val="92"/>
              </w:rPr>
              <w:t>Number of</w:t>
            </w:r>
          </w:p>
        </w:tc>
        <w:tc>
          <w:tcPr>
            <w:tcW w:w="1060" w:type="dxa"/>
            <w:vAlign w:val="bottom"/>
            <w:gridSpan w:val="4"/>
          </w:tcPr>
          <w:p>
            <w:pPr>
              <w:jc w:val="center"/>
              <w:spacing w:after="0"/>
              <w:rPr>
                <w:sz w:val="20"/>
                <w:szCs w:val="20"/>
                <w:color w:val="auto"/>
              </w:rPr>
            </w:pPr>
            <w:r>
              <w:rPr>
                <w:rFonts w:ascii="Arial" w:cs="Arial" w:eastAsia="Arial" w:hAnsi="Arial"/>
                <w:sz w:val="18"/>
                <w:szCs w:val="18"/>
                <w:color w:val="auto"/>
                <w:w w:val="97"/>
              </w:rPr>
              <w:t>Modification</w:t>
            </w:r>
          </w:p>
        </w:tc>
        <w:tc>
          <w:tcPr>
            <w:tcW w:w="1120" w:type="dxa"/>
            <w:vAlign w:val="bottom"/>
            <w:gridSpan w:val="4"/>
          </w:tcPr>
          <w:p>
            <w:pPr>
              <w:jc w:val="center"/>
              <w:ind w:right="60"/>
              <w:spacing w:after="0"/>
              <w:rPr>
                <w:sz w:val="20"/>
                <w:szCs w:val="20"/>
                <w:color w:val="auto"/>
              </w:rPr>
            </w:pPr>
            <w:r>
              <w:rPr>
                <w:rFonts w:ascii="Arial" w:cs="Arial" w:eastAsia="Arial" w:hAnsi="Arial"/>
                <w:sz w:val="18"/>
                <w:szCs w:val="18"/>
                <w:color w:val="auto"/>
                <w:w w:val="97"/>
              </w:rPr>
              <w:t>Modification</w:t>
            </w:r>
          </w:p>
        </w:tc>
        <w:tc>
          <w:tcPr>
            <w:tcW w:w="0" w:type="dxa"/>
            <w:vAlign w:val="bottom"/>
          </w:tcPr>
          <w:p>
            <w:pPr>
              <w:spacing w:after="0"/>
              <w:rPr>
                <w:sz w:val="1"/>
                <w:szCs w:val="1"/>
                <w:color w:val="auto"/>
              </w:rPr>
            </w:pPr>
          </w:p>
        </w:tc>
      </w:tr>
      <w:tr>
        <w:trPr>
          <w:trHeight w:val="230"/>
        </w:trPr>
        <w:tc>
          <w:tcPr>
            <w:tcW w:w="1660" w:type="dxa"/>
            <w:vAlign w:val="bottom"/>
            <w:gridSpan w:val="3"/>
          </w:tcPr>
          <w:p>
            <w:pPr>
              <w:spacing w:after="0"/>
              <w:rPr>
                <w:sz w:val="20"/>
                <w:szCs w:val="20"/>
                <w:color w:val="auto"/>
              </w:rPr>
            </w:pPr>
            <w:r>
              <w:rPr>
                <w:rFonts w:ascii="Arial" w:cs="Arial" w:eastAsia="Arial" w:hAnsi="Arial"/>
                <w:sz w:val="18"/>
                <w:szCs w:val="18"/>
                <w:color w:val="auto"/>
              </w:rPr>
              <w:t>June 30, 2019</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8"/>
                <w:szCs w:val="18"/>
                <w:color w:val="auto"/>
                <w:w w:val="88"/>
              </w:rPr>
              <w:t>Contracts</w:t>
            </w:r>
          </w:p>
        </w:tc>
        <w:tc>
          <w:tcPr>
            <w:tcW w:w="1060" w:type="dxa"/>
            <w:vAlign w:val="bottom"/>
            <w:gridSpan w:val="4"/>
          </w:tcPr>
          <w:p>
            <w:pPr>
              <w:jc w:val="center"/>
              <w:spacing w:after="0"/>
              <w:rPr>
                <w:sz w:val="20"/>
                <w:szCs w:val="20"/>
                <w:color w:val="auto"/>
              </w:rPr>
            </w:pPr>
            <w:r>
              <w:rPr>
                <w:rFonts w:ascii="Arial" w:cs="Arial" w:eastAsia="Arial" w:hAnsi="Arial"/>
                <w:sz w:val="18"/>
                <w:szCs w:val="18"/>
                <w:color w:val="auto"/>
                <w:w w:val="90"/>
              </w:rPr>
              <w:t>Outstanding</w:t>
            </w:r>
          </w:p>
        </w:tc>
        <w:tc>
          <w:tcPr>
            <w:tcW w:w="1240" w:type="dxa"/>
            <w:vAlign w:val="bottom"/>
            <w:gridSpan w:val="4"/>
          </w:tcPr>
          <w:p>
            <w:pPr>
              <w:jc w:val="center"/>
              <w:ind w:right="160"/>
              <w:spacing w:after="0"/>
              <w:rPr>
                <w:sz w:val="20"/>
                <w:szCs w:val="20"/>
                <w:color w:val="auto"/>
              </w:rPr>
            </w:pPr>
            <w:r>
              <w:rPr>
                <w:rFonts w:ascii="Arial" w:cs="Arial" w:eastAsia="Arial" w:hAnsi="Arial"/>
                <w:sz w:val="18"/>
                <w:szCs w:val="18"/>
                <w:color w:val="auto"/>
                <w:w w:val="90"/>
              </w:rPr>
              <w:t>Outstanding</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June 30, 2019</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5"/>
          </w:tcPr>
          <w:p>
            <w:pPr>
              <w:jc w:val="center"/>
              <w:ind w:right="60"/>
              <w:spacing w:after="0"/>
              <w:rPr>
                <w:sz w:val="20"/>
                <w:szCs w:val="20"/>
                <w:color w:val="auto"/>
              </w:rPr>
            </w:pPr>
            <w:r>
              <w:rPr>
                <w:rFonts w:ascii="Arial" w:cs="Arial" w:eastAsia="Arial" w:hAnsi="Arial"/>
                <w:sz w:val="18"/>
                <w:szCs w:val="18"/>
                <w:color w:val="auto"/>
                <w:w w:val="88"/>
              </w:rPr>
              <w:t>Contracts</w:t>
            </w:r>
          </w:p>
        </w:tc>
        <w:tc>
          <w:tcPr>
            <w:tcW w:w="1060" w:type="dxa"/>
            <w:vAlign w:val="bottom"/>
            <w:gridSpan w:val="4"/>
          </w:tcPr>
          <w:p>
            <w:pPr>
              <w:jc w:val="center"/>
              <w:spacing w:after="0"/>
              <w:rPr>
                <w:sz w:val="20"/>
                <w:szCs w:val="20"/>
                <w:color w:val="auto"/>
              </w:rPr>
            </w:pPr>
            <w:r>
              <w:rPr>
                <w:rFonts w:ascii="Arial" w:cs="Arial" w:eastAsia="Arial" w:hAnsi="Arial"/>
                <w:sz w:val="18"/>
                <w:szCs w:val="18"/>
                <w:color w:val="auto"/>
                <w:w w:val="90"/>
              </w:rPr>
              <w:t>Outstanding</w:t>
            </w:r>
          </w:p>
        </w:tc>
        <w:tc>
          <w:tcPr>
            <w:tcW w:w="1120" w:type="dxa"/>
            <w:vAlign w:val="bottom"/>
            <w:gridSpan w:val="4"/>
          </w:tcPr>
          <w:p>
            <w:pPr>
              <w:jc w:val="center"/>
              <w:ind w:right="40"/>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gridSpan w:val="2"/>
          </w:tcPr>
          <w:p>
            <w:pPr>
              <w:ind w:left="520"/>
              <w:spacing w:after="0"/>
              <w:rPr>
                <w:sz w:val="20"/>
                <w:szCs w:val="20"/>
                <w:color w:val="auto"/>
              </w:rPr>
            </w:pPr>
            <w:r>
              <w:rPr>
                <w:rFonts w:ascii="Arial" w:cs="Arial" w:eastAsia="Arial" w:hAnsi="Arial"/>
                <w:sz w:val="18"/>
                <w:szCs w:val="18"/>
                <w:color w:val="auto"/>
                <w:w w:val="96"/>
              </w:rPr>
              <w:t>(in thousands)</w:t>
            </w:r>
          </w:p>
        </w:tc>
        <w:tc>
          <w:tcPr>
            <w:tcW w:w="440" w:type="dxa"/>
            <w:vAlign w:val="bottom"/>
          </w:tcPr>
          <w:p>
            <w:pPr>
              <w:spacing w:after="0"/>
              <w:rPr>
                <w:sz w:val="19"/>
                <w:szCs w:val="19"/>
                <w:color w:val="auto"/>
              </w:rPr>
            </w:pPr>
          </w:p>
        </w:tc>
        <w:tc>
          <w:tcPr>
            <w:tcW w:w="1240" w:type="dxa"/>
            <w:vAlign w:val="bottom"/>
            <w:gridSpan w:val="5"/>
          </w:tcPr>
          <w:p>
            <w:pPr>
              <w:jc w:val="center"/>
              <w:ind w:right="40"/>
              <w:spacing w:after="0"/>
              <w:rPr>
                <w:sz w:val="20"/>
                <w:szCs w:val="20"/>
                <w:color w:val="auto"/>
              </w:rPr>
            </w:pPr>
            <w:r>
              <w:rPr>
                <w:rFonts w:ascii="Arial" w:cs="Arial" w:eastAsia="Arial" w:hAnsi="Arial"/>
                <w:sz w:val="18"/>
                <w:szCs w:val="18"/>
                <w:color w:val="auto"/>
                <w:w w:val="95"/>
              </w:rPr>
              <w:t>Modified in the</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Recorded</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Recorded</w:t>
            </w:r>
          </w:p>
        </w:tc>
        <w:tc>
          <w:tcPr>
            <w:tcW w:w="240" w:type="dxa"/>
            <w:vAlign w:val="bottom"/>
          </w:tcPr>
          <w:p>
            <w:pPr>
              <w:spacing w:after="0"/>
              <w:rPr>
                <w:sz w:val="19"/>
                <w:szCs w:val="19"/>
                <w:color w:val="auto"/>
              </w:rPr>
            </w:pPr>
          </w:p>
        </w:tc>
        <w:tc>
          <w:tcPr>
            <w:tcW w:w="1680" w:type="dxa"/>
            <w:vAlign w:val="bottom"/>
            <w:gridSpan w:val="2"/>
          </w:tcPr>
          <w:p>
            <w:pPr>
              <w:ind w:left="560"/>
              <w:spacing w:after="0"/>
              <w:rPr>
                <w:sz w:val="20"/>
                <w:szCs w:val="20"/>
                <w:color w:val="auto"/>
              </w:rPr>
            </w:pPr>
            <w:r>
              <w:rPr>
                <w:rFonts w:ascii="Arial" w:cs="Arial" w:eastAsia="Arial" w:hAnsi="Arial"/>
                <w:sz w:val="18"/>
                <w:szCs w:val="18"/>
                <w:color w:val="auto"/>
                <w:w w:val="96"/>
              </w:rPr>
              <w:t>(in thousands)</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5"/>
          </w:tcPr>
          <w:p>
            <w:pPr>
              <w:jc w:val="center"/>
              <w:ind w:right="60"/>
              <w:spacing w:after="0"/>
              <w:rPr>
                <w:sz w:val="20"/>
                <w:szCs w:val="20"/>
                <w:color w:val="auto"/>
              </w:rPr>
            </w:pPr>
            <w:r>
              <w:rPr>
                <w:rFonts w:ascii="Arial" w:cs="Arial" w:eastAsia="Arial" w:hAnsi="Arial"/>
                <w:sz w:val="18"/>
                <w:szCs w:val="18"/>
                <w:color w:val="auto"/>
                <w:w w:val="95"/>
              </w:rPr>
              <w:t>Modified in the</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Recorded</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Recorded</w:t>
            </w:r>
          </w:p>
        </w:tc>
        <w:tc>
          <w:tcPr>
            <w:tcW w:w="0" w:type="dxa"/>
            <w:vAlign w:val="bottom"/>
          </w:tcPr>
          <w:p>
            <w:pPr>
              <w:spacing w:after="0"/>
              <w:rPr>
                <w:sz w:val="1"/>
                <w:szCs w:val="1"/>
                <w:color w:val="auto"/>
              </w:rPr>
            </w:pPr>
          </w:p>
        </w:tc>
      </w:tr>
      <w:tr>
        <w:trPr>
          <w:trHeight w:val="190"/>
        </w:trPr>
        <w:tc>
          <w:tcPr>
            <w:tcW w:w="1660" w:type="dxa"/>
            <w:vAlign w:val="bottom"/>
            <w:gridSpan w:val="3"/>
          </w:tcPr>
          <w:p>
            <w:pPr>
              <w:spacing w:after="0" w:line="190" w:lineRule="exact"/>
              <w:rPr>
                <w:sz w:val="20"/>
                <w:szCs w:val="20"/>
                <w:color w:val="auto"/>
              </w:rPr>
            </w:pPr>
            <w:r>
              <w:rPr>
                <w:rFonts w:ascii="Arial" w:cs="Arial" w:eastAsia="Arial" w:hAnsi="Arial"/>
                <w:sz w:val="18"/>
                <w:szCs w:val="18"/>
                <w:color w:val="auto"/>
              </w:rPr>
              <w:t>Troubled</w:t>
            </w:r>
          </w:p>
        </w:tc>
        <w:tc>
          <w:tcPr>
            <w:tcW w:w="1680" w:type="dxa"/>
            <w:vAlign w:val="bottom"/>
            <w:gridSpan w:val="6"/>
          </w:tcPr>
          <w:p>
            <w:pPr>
              <w:jc w:val="right"/>
              <w:ind w:right="260"/>
              <w:spacing w:after="0" w:line="190" w:lineRule="exact"/>
              <w:rPr>
                <w:sz w:val="20"/>
                <w:szCs w:val="20"/>
                <w:color w:val="auto"/>
              </w:rPr>
            </w:pPr>
            <w:r>
              <w:rPr>
                <w:rFonts w:ascii="Arial" w:cs="Arial" w:eastAsia="Arial" w:hAnsi="Arial"/>
                <w:sz w:val="18"/>
                <w:szCs w:val="18"/>
                <w:color w:val="auto"/>
              </w:rPr>
              <w:t>Debt   Last Three</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gridSpan w:val="3"/>
          </w:tcPr>
          <w:p>
            <w:pPr>
              <w:ind w:left="240"/>
              <w:spacing w:after="0" w:line="190" w:lineRule="exact"/>
              <w:rPr>
                <w:sz w:val="20"/>
                <w:szCs w:val="20"/>
                <w:color w:val="auto"/>
              </w:rPr>
            </w:pPr>
            <w:r>
              <w:rPr>
                <w:rFonts w:ascii="Arial" w:cs="Arial" w:eastAsia="Arial" w:hAnsi="Arial"/>
                <w:sz w:val="18"/>
                <w:szCs w:val="18"/>
                <w:color w:val="auto"/>
              </w:rPr>
              <w:t>Troubled</w:t>
            </w:r>
          </w:p>
        </w:tc>
        <w:tc>
          <w:tcPr>
            <w:tcW w:w="460" w:type="dxa"/>
            <w:vAlign w:val="bottom"/>
            <w:gridSpan w:val="2"/>
          </w:tcPr>
          <w:p>
            <w:pPr>
              <w:ind w:left="80"/>
              <w:spacing w:after="0" w:line="190" w:lineRule="exact"/>
              <w:rPr>
                <w:sz w:val="20"/>
                <w:szCs w:val="20"/>
                <w:color w:val="auto"/>
              </w:rPr>
            </w:pPr>
            <w:r>
              <w:rPr>
                <w:rFonts w:ascii="Arial" w:cs="Arial" w:eastAsia="Arial" w:hAnsi="Arial"/>
                <w:sz w:val="18"/>
                <w:szCs w:val="18"/>
                <w:color w:val="auto"/>
                <w:w w:val="94"/>
              </w:rPr>
              <w:t>Debt</w:t>
            </w:r>
          </w:p>
        </w:tc>
        <w:tc>
          <w:tcPr>
            <w:tcW w:w="1220" w:type="dxa"/>
            <w:vAlign w:val="bottom"/>
            <w:gridSpan w:val="5"/>
          </w:tcPr>
          <w:p>
            <w:pPr>
              <w:jc w:val="center"/>
              <w:ind w:right="60"/>
              <w:spacing w:after="0" w:line="190" w:lineRule="exact"/>
              <w:rPr>
                <w:sz w:val="20"/>
                <w:szCs w:val="20"/>
                <w:color w:val="auto"/>
              </w:rPr>
            </w:pPr>
            <w:r>
              <w:rPr>
                <w:rFonts w:ascii="Arial" w:cs="Arial" w:eastAsia="Arial" w:hAnsi="Arial"/>
                <w:sz w:val="18"/>
                <w:szCs w:val="18"/>
                <w:color w:val="auto"/>
                <w:w w:val="93"/>
              </w:rPr>
              <w:t>Last Six</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6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rPr>
              <w:t>Restructurings</w:t>
            </w:r>
          </w:p>
        </w:tc>
        <w:tc>
          <w:tcPr>
            <w:tcW w:w="4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4"/>
              </w:rPr>
              <w:t>Months</w:t>
            </w:r>
          </w:p>
        </w:tc>
        <w:tc>
          <w:tcPr>
            <w:tcW w:w="260" w:type="dxa"/>
            <w:vAlign w:val="bottom"/>
          </w:tcPr>
          <w:p>
            <w:pPr>
              <w:spacing w:after="0"/>
              <w:rPr>
                <w:sz w:val="17"/>
                <w:szCs w:val="17"/>
                <w:color w:val="auto"/>
              </w:rPr>
            </w:pPr>
          </w:p>
        </w:tc>
        <w:tc>
          <w:tcPr>
            <w:tcW w:w="106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90"/>
              </w:rPr>
              <w:t>Investment</w:t>
            </w:r>
          </w:p>
        </w:tc>
        <w:tc>
          <w:tcPr>
            <w:tcW w:w="1240" w:type="dxa"/>
            <w:vAlign w:val="bottom"/>
            <w:gridSpan w:val="4"/>
          </w:tcPr>
          <w:p>
            <w:pPr>
              <w:jc w:val="center"/>
              <w:ind w:right="160"/>
              <w:spacing w:after="0" w:line="196" w:lineRule="exact"/>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17"/>
                <w:szCs w:val="17"/>
                <w:color w:val="auto"/>
              </w:rPr>
            </w:pPr>
          </w:p>
        </w:tc>
        <w:tc>
          <w:tcPr>
            <w:tcW w:w="16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Restructurings</w:t>
            </w:r>
          </w:p>
        </w:tc>
        <w:tc>
          <w:tcPr>
            <w:tcW w:w="4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4"/>
              </w:rPr>
              <w:t>Months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center"/>
              <w:ind w:right="120"/>
              <w:spacing w:after="0" w:line="196" w:lineRule="exact"/>
              <w:rPr>
                <w:sz w:val="20"/>
                <w:szCs w:val="20"/>
                <w:color w:val="auto"/>
              </w:rPr>
            </w:pPr>
            <w:r>
              <w:rPr>
                <w:rFonts w:ascii="Arial" w:cs="Arial" w:eastAsia="Arial" w:hAnsi="Arial"/>
                <w:sz w:val="18"/>
                <w:szCs w:val="18"/>
                <w:color w:val="auto"/>
                <w:w w:val="90"/>
              </w:rPr>
              <w:t>Investment</w:t>
            </w:r>
          </w:p>
        </w:tc>
        <w:tc>
          <w:tcPr>
            <w:tcW w:w="140" w:type="dxa"/>
            <w:vAlign w:val="bottom"/>
          </w:tcPr>
          <w:p>
            <w:pPr>
              <w:spacing w:after="0"/>
              <w:rPr>
                <w:sz w:val="17"/>
                <w:szCs w:val="17"/>
                <w:color w:val="auto"/>
              </w:rPr>
            </w:pPr>
          </w:p>
        </w:tc>
        <w:tc>
          <w:tcPr>
            <w:tcW w:w="980" w:type="dxa"/>
            <w:vAlign w:val="bottom"/>
            <w:gridSpan w:val="3"/>
          </w:tcPr>
          <w:p>
            <w:pPr>
              <w:jc w:val="center"/>
              <w:ind w:right="180"/>
              <w:spacing w:after="0" w:line="196" w:lineRule="exact"/>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1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and</w:t>
            </w: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Commercial and</w:t>
            </w:r>
          </w:p>
        </w:tc>
        <w:tc>
          <w:tcPr>
            <w:tcW w:w="4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Industrial</w:t>
            </w:r>
          </w:p>
        </w:tc>
        <w:tc>
          <w:tcPr>
            <w:tcW w:w="1680" w:type="dxa"/>
            <w:vAlign w:val="bottom"/>
            <w:gridSpan w:val="6"/>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812</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812</w:t>
            </w:r>
          </w:p>
        </w:tc>
        <w:tc>
          <w:tcPr>
            <w:tcW w:w="19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Industrial</w:t>
            </w:r>
          </w:p>
        </w:tc>
        <w:tc>
          <w:tcPr>
            <w:tcW w:w="4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20" w:type="dxa"/>
            <w:vAlign w:val="bottom"/>
            <w:gridSpan w:val="5"/>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For the three and six month period ended June 30, 2019 and 2018, there were no TDRs that subsequently defaulted after modification.</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 three and six month period ended June 30, 2019, there were no impaired loans classified as TDR paid off.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13" w:lineRule="exact"/>
        <w:rPr>
          <w:sz w:val="20"/>
          <w:szCs w:val="20"/>
          <w:color w:val="auto"/>
        </w:rPr>
      </w:pPr>
    </w:p>
    <w:p>
      <w:pPr>
        <w:jc w:val="both"/>
        <w:ind w:left="760" w:right="20"/>
        <w:spacing w:after="0" w:line="257" w:lineRule="auto"/>
        <w:rPr>
          <w:sz w:val="20"/>
          <w:szCs w:val="20"/>
          <w:color w:val="auto"/>
        </w:rPr>
      </w:pPr>
      <w:r>
        <w:rPr>
          <w:rFonts w:ascii="Arial" w:cs="Arial" w:eastAsia="Arial" w:hAnsi="Arial"/>
          <w:sz w:val="18"/>
          <w:szCs w:val="18"/>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61" w:lineRule="exact"/>
        <w:rPr>
          <w:sz w:val="20"/>
          <w:szCs w:val="20"/>
          <w:color w:val="auto"/>
        </w:rPr>
      </w:pPr>
    </w:p>
    <w:p>
      <w:pPr>
        <w:jc w:val="both"/>
        <w:ind w:left="760" w:right="20"/>
        <w:spacing w:after="0" w:line="272" w:lineRule="auto"/>
        <w:rPr>
          <w:sz w:val="20"/>
          <w:szCs w:val="20"/>
          <w:color w:val="auto"/>
        </w:rPr>
      </w:pPr>
      <w:r>
        <w:rPr>
          <w:rFonts w:ascii="Arial" w:cs="Arial" w:eastAsia="Arial" w:hAnsi="Arial"/>
          <w:sz w:val="17"/>
          <w:szCs w:val="17"/>
          <w:color w:val="auto"/>
        </w:rPr>
        <w:t>The Bank uses the following guidelines as stated in policy to determine when to realize a charge-off, whether a partial or full loan balance. A charge-off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137" w:lineRule="exact"/>
        <w:rPr>
          <w:sz w:val="20"/>
          <w:szCs w:val="20"/>
          <w:color w:val="auto"/>
        </w:rPr>
      </w:pPr>
    </w:p>
    <w:p>
      <w:pPr>
        <w:jc w:val="both"/>
        <w:ind w:left="760" w:right="40"/>
        <w:spacing w:after="0" w:line="277" w:lineRule="auto"/>
        <w:rPr>
          <w:sz w:val="20"/>
          <w:szCs w:val="20"/>
          <w:color w:val="auto"/>
        </w:rPr>
      </w:pPr>
      <w:r>
        <w:rPr>
          <w:rFonts w:ascii="Arial" w:cs="Arial" w:eastAsia="Arial" w:hAnsi="Arial"/>
          <w:sz w:val="18"/>
          <w:szCs w:val="18"/>
          <w:color w:val="auto"/>
        </w:rPr>
        <w:t>The following tables present loans individually evaluated for impairment by class of loans for three months ended June 30, 2019 and June 30,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color w:val="auto"/>
              </w:rPr>
              <w:t>(In Thousands)</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auto"/>
                <w:w w:val="94"/>
              </w:rPr>
              <w:t>QTD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4"/>
              </w:rPr>
              <w:t>QTD</w:t>
            </w:r>
          </w:p>
        </w:tc>
        <w:tc>
          <w:tcPr>
            <w:tcW w:w="20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4"/>
              </w:rPr>
              <w:t>QTD</w:t>
            </w:r>
          </w:p>
        </w:tc>
        <w:tc>
          <w:tcPr>
            <w:tcW w:w="220" w:type="dxa"/>
            <w:vAlign w:val="bottom"/>
          </w:tcPr>
          <w:p>
            <w:pPr>
              <w:spacing w:after="0"/>
              <w:rPr>
                <w:sz w:val="19"/>
                <w:szCs w:val="19"/>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Three Months Ended June 30, 2019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1"/>
              </w:rPr>
              <w:t>Unpaid</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2"/>
              </w:rPr>
              <w:t>Principal</w:t>
            </w:r>
          </w:p>
        </w:tc>
        <w:tc>
          <w:tcPr>
            <w:tcW w:w="20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0"/>
              </w:rPr>
              <w:t>Related</w:t>
            </w: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Recognized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90"/>
              </w:rPr>
              <w:t>Investment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Balance</w:t>
            </w:r>
          </w:p>
        </w:tc>
        <w:tc>
          <w:tcPr>
            <w:tcW w:w="114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95"/>
              </w:rPr>
              <w:t>Allowance</w:t>
            </w:r>
          </w:p>
        </w:tc>
        <w:tc>
          <w:tcPr>
            <w:tcW w:w="112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0"/>
              </w:rPr>
              <w:t>Investment</w:t>
            </w:r>
          </w:p>
        </w:tc>
        <w:tc>
          <w:tcPr>
            <w:tcW w:w="11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Recognized</w:t>
            </w: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87"/>
              </w:rPr>
              <w:t>Cash Basis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right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right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643</w:t>
            </w:r>
          </w:p>
        </w:tc>
        <w:tc>
          <w:tcPr>
            <w:tcW w:w="140" w:type="dxa"/>
            <w:vAlign w:val="bottom"/>
            <w:tcBorders>
              <w:right w:val="single" w:sz="8" w:color="auto"/>
            </w:tcBorders>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644</w:t>
            </w:r>
          </w:p>
        </w:tc>
        <w:tc>
          <w:tcPr>
            <w:tcW w:w="160" w:type="dxa"/>
            <w:vAlign w:val="bottom"/>
            <w:tcBorders>
              <w:right w:val="single" w:sz="8" w:color="auto"/>
            </w:tcBorders>
          </w:tcPr>
          <w:p>
            <w:pPr>
              <w:spacing w:after="0"/>
              <w:rPr>
                <w:sz w:val="19"/>
                <w:szCs w:val="19"/>
                <w:color w:val="auto"/>
              </w:rPr>
            </w:pP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787</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 Real Estate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FF0FC"/>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40" w:type="dxa"/>
            <w:vAlign w:val="bottom"/>
            <w:tcBorders>
              <w:bottom w:val="single" w:sz="8" w:color="CFF0FC"/>
              <w:right w:val="single" w:sz="8" w:color="auto"/>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FF0FC"/>
              <w:right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60" w:type="dxa"/>
            <w:vAlign w:val="bottom"/>
            <w:tcBorders>
              <w:bottom w:val="single" w:sz="8" w:color="CFF0FC"/>
              <w:right w:val="single" w:sz="8" w:color="auto"/>
            </w:tcBorders>
          </w:tcPr>
          <w:p>
            <w:pPr>
              <w:spacing w:after="0"/>
              <w:rPr>
                <w:sz w:val="23"/>
                <w:szCs w:val="23"/>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right w:val="single" w:sz="8" w:color="auto"/>
            </w:tcBorders>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FF0FC"/>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FF0FC"/>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14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6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ind w:left="1520"/>
              <w:spacing w:after="0"/>
              <w:rPr>
                <w:sz w:val="20"/>
                <w:szCs w:val="20"/>
                <w:color w:val="auto"/>
              </w:rPr>
            </w:pPr>
            <w:r>
              <w:rPr>
                <w:rFonts w:ascii="Arial" w:cs="Arial" w:eastAsia="Arial" w:hAnsi="Arial"/>
                <w:sz w:val="18"/>
                <w:szCs w:val="18"/>
                <w:color w:val="auto"/>
              </w:rPr>
              <w:t>NOTE 4 LOANS (Continued)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1"/>
        </w:trPr>
        <w:tc>
          <w:tcPr>
            <w:tcW w:w="4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auto"/>
                <w:w w:val="94"/>
              </w:rPr>
              <w:t>QTD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4"/>
              </w:rPr>
              <w:t>QTD</w:t>
            </w:r>
          </w:p>
        </w:tc>
        <w:tc>
          <w:tcPr>
            <w:tcW w:w="20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4"/>
              </w:rPr>
              <w:t>QTD</w:t>
            </w:r>
          </w:p>
        </w:tc>
        <w:tc>
          <w:tcPr>
            <w:tcW w:w="220" w:type="dxa"/>
            <w:vAlign w:val="bottom"/>
          </w:tcPr>
          <w:p>
            <w:pPr>
              <w:spacing w:after="0"/>
              <w:rPr>
                <w:sz w:val="19"/>
                <w:szCs w:val="19"/>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Three Months Ended June 30, 2018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1"/>
              </w:rPr>
              <w:t>Unpaid</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2"/>
              </w:rPr>
              <w:t>Principal</w:t>
            </w:r>
          </w:p>
        </w:tc>
        <w:tc>
          <w:tcPr>
            <w:tcW w:w="20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0"/>
              </w:rPr>
              <w:t>Related</w:t>
            </w: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Recognized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90"/>
              </w:rPr>
              <w:t>Investment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Balance</w:t>
            </w:r>
          </w:p>
        </w:tc>
        <w:tc>
          <w:tcPr>
            <w:tcW w:w="114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95"/>
              </w:rPr>
              <w:t>Allowance</w:t>
            </w:r>
          </w:p>
        </w:tc>
        <w:tc>
          <w:tcPr>
            <w:tcW w:w="112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0"/>
              </w:rPr>
              <w:t>Investment</w:t>
            </w:r>
          </w:p>
        </w:tc>
        <w:tc>
          <w:tcPr>
            <w:tcW w:w="11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Recognized</w:t>
            </w: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87"/>
              </w:rPr>
              <w:t>Cash Basis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right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right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606</w:t>
            </w:r>
          </w:p>
        </w:tc>
        <w:tc>
          <w:tcPr>
            <w:tcW w:w="140" w:type="dxa"/>
            <w:vAlign w:val="bottom"/>
            <w:tcBorders>
              <w:right w:val="single" w:sz="8" w:color="auto"/>
            </w:tcBorders>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526</w:t>
            </w:r>
          </w:p>
        </w:tc>
        <w:tc>
          <w:tcPr>
            <w:tcW w:w="160" w:type="dxa"/>
            <w:vAlign w:val="bottom"/>
            <w:tcBorders>
              <w:right w:val="single" w:sz="8" w:color="auto"/>
            </w:tcBorders>
          </w:tcPr>
          <w:p>
            <w:pPr>
              <w:spacing w:after="0"/>
              <w:rPr>
                <w:sz w:val="19"/>
                <w:szCs w:val="19"/>
                <w:color w:val="auto"/>
              </w:rPr>
            </w:pP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 Real Estate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Borders>
              <w:bottom w:val="single" w:sz="8" w:color="CFF0FC"/>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40" w:type="dxa"/>
            <w:vAlign w:val="bottom"/>
            <w:tcBorders>
              <w:bottom w:val="single" w:sz="8" w:color="CFF0FC"/>
              <w:right w:val="single" w:sz="8" w:color="auto"/>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CFF0FC"/>
              <w:right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60" w:type="dxa"/>
            <w:vAlign w:val="bottom"/>
            <w:tcBorders>
              <w:bottom w:val="single" w:sz="8" w:color="CFF0FC"/>
              <w:right w:val="single" w:sz="8" w:color="auto"/>
            </w:tcBorders>
          </w:tcPr>
          <w:p>
            <w:pPr>
              <w:spacing w:after="0"/>
              <w:rPr>
                <w:sz w:val="23"/>
                <w:szCs w:val="23"/>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right w:val="single" w:sz="8" w:color="auto"/>
            </w:tcBorders>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FF0FC"/>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6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ind w:left="1520"/>
              <w:spacing w:after="0"/>
              <w:rPr>
                <w:sz w:val="20"/>
                <w:szCs w:val="20"/>
                <w:color w:val="auto"/>
              </w:rPr>
            </w:pPr>
            <w:r>
              <w:rPr>
                <w:rFonts w:ascii="Arial" w:cs="Arial" w:eastAsia="Arial" w:hAnsi="Arial"/>
                <w:sz w:val="18"/>
                <w:szCs w:val="18"/>
                <w:color w:val="auto"/>
              </w:rPr>
              <w:t>NOTE 4 LOANS (Continued)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1"/>
        </w:trPr>
        <w:tc>
          <w:tcPr>
            <w:tcW w:w="4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color w:val="auto"/>
              </w:rPr>
              <w:t>(In Thousands)</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auto"/>
                <w:w w:val="99"/>
              </w:rPr>
              <w:t>YTD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9"/>
              </w:rPr>
              <w:t>YTD</w:t>
            </w:r>
          </w:p>
        </w:tc>
        <w:tc>
          <w:tcPr>
            <w:tcW w:w="20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9"/>
              </w:rPr>
              <w:t>YTD</w:t>
            </w:r>
          </w:p>
        </w:tc>
        <w:tc>
          <w:tcPr>
            <w:tcW w:w="220" w:type="dxa"/>
            <w:vAlign w:val="bottom"/>
          </w:tcPr>
          <w:p>
            <w:pPr>
              <w:spacing w:after="0"/>
              <w:rPr>
                <w:sz w:val="19"/>
                <w:szCs w:val="19"/>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Six Months Ended June 30, 2019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1"/>
              </w:rPr>
              <w:t>Unpaid</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2"/>
              </w:rPr>
              <w:t>Principal</w:t>
            </w:r>
          </w:p>
        </w:tc>
        <w:tc>
          <w:tcPr>
            <w:tcW w:w="20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0"/>
              </w:rPr>
              <w:t>Related</w:t>
            </w: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Recognized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90"/>
              </w:rPr>
              <w:t>Investment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Balance</w:t>
            </w:r>
          </w:p>
        </w:tc>
        <w:tc>
          <w:tcPr>
            <w:tcW w:w="114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95"/>
              </w:rPr>
              <w:t>Allowance</w:t>
            </w:r>
          </w:p>
        </w:tc>
        <w:tc>
          <w:tcPr>
            <w:tcW w:w="112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0"/>
              </w:rPr>
              <w:t>Investment</w:t>
            </w:r>
          </w:p>
        </w:tc>
        <w:tc>
          <w:tcPr>
            <w:tcW w:w="11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Recognized</w:t>
            </w: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87"/>
              </w:rPr>
              <w:t>Cash Basis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right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right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643</w:t>
            </w:r>
          </w:p>
        </w:tc>
        <w:tc>
          <w:tcPr>
            <w:tcW w:w="140" w:type="dxa"/>
            <w:vAlign w:val="bottom"/>
            <w:tcBorders>
              <w:right w:val="single" w:sz="8" w:color="auto"/>
            </w:tcBorders>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624</w:t>
            </w:r>
          </w:p>
        </w:tc>
        <w:tc>
          <w:tcPr>
            <w:tcW w:w="160" w:type="dxa"/>
            <w:vAlign w:val="bottom"/>
            <w:tcBorders>
              <w:right w:val="single" w:sz="8" w:color="auto"/>
            </w:tcBorders>
          </w:tcPr>
          <w:p>
            <w:pPr>
              <w:spacing w:after="0"/>
              <w:rPr>
                <w:sz w:val="19"/>
                <w:szCs w:val="19"/>
                <w:color w:val="auto"/>
              </w:rPr>
            </w:pP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936</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 Real Estate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FF0FC"/>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40" w:type="dxa"/>
            <w:vAlign w:val="bottom"/>
            <w:tcBorders>
              <w:bottom w:val="single" w:sz="8" w:color="CFF0FC"/>
              <w:right w:val="single" w:sz="8" w:color="auto"/>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FF0FC"/>
              <w:right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60" w:type="dxa"/>
            <w:vAlign w:val="bottom"/>
            <w:tcBorders>
              <w:bottom w:val="single" w:sz="8" w:color="CFF0FC"/>
              <w:right w:val="single" w:sz="8" w:color="auto"/>
            </w:tcBorders>
          </w:tcPr>
          <w:p>
            <w:pPr>
              <w:spacing w:after="0"/>
              <w:rPr>
                <w:sz w:val="23"/>
                <w:szCs w:val="23"/>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right w:val="single" w:sz="8" w:color="auto"/>
            </w:tcBorders>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FF0FC"/>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FF0FC"/>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14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6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ind w:left="1300"/>
              <w:spacing w:after="0"/>
              <w:rPr>
                <w:sz w:val="20"/>
                <w:szCs w:val="20"/>
                <w:color w:val="auto"/>
              </w:rPr>
            </w:pPr>
            <w:r>
              <w:rPr>
                <w:rFonts w:ascii="Arial" w:cs="Arial" w:eastAsia="Arial" w:hAnsi="Arial"/>
                <w:sz w:val="18"/>
                <w:szCs w:val="18"/>
                <w:color w:val="auto"/>
              </w:rPr>
              <w:t>NOTE 4 LOANS (Continued)</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(In Thousands)</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center"/>
              <w:ind w:right="50"/>
              <w:spacing w:after="0"/>
              <w:rPr>
                <w:sz w:val="20"/>
                <w:szCs w:val="20"/>
                <w:color w:val="auto"/>
              </w:rPr>
            </w:pPr>
            <w:r>
              <w:rPr>
                <w:rFonts w:ascii="Arial" w:cs="Arial" w:eastAsia="Arial" w:hAnsi="Arial"/>
                <w:sz w:val="18"/>
                <w:szCs w:val="18"/>
                <w:color w:val="auto"/>
              </w:rPr>
              <w:t>YTD</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rPr>
              <w:t>YTD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rPr>
              <w:t>YTD</w:t>
            </w:r>
          </w:p>
        </w:tc>
        <w:tc>
          <w:tcPr>
            <w:tcW w:w="22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Six Months Ended June 30, 2018</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4"/>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9"/>
              </w:rPr>
              <w:t>Recorded</w:t>
            </w:r>
          </w:p>
        </w:tc>
        <w:tc>
          <w:tcPr>
            <w:tcW w:w="16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5"/>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4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0"/>
              </w:rPr>
              <w:t>Investment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114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6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right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606</w:t>
            </w:r>
          </w:p>
        </w:tc>
        <w:tc>
          <w:tcPr>
            <w:tcW w:w="160" w:type="dxa"/>
            <w:vAlign w:val="bottom"/>
            <w:tcBorders>
              <w:right w:val="single" w:sz="8" w:color="auto"/>
            </w:tcBorders>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606</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509</w:t>
            </w:r>
          </w:p>
        </w:tc>
        <w:tc>
          <w:tcPr>
            <w:tcW w:w="14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6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 Real Estate</w:t>
            </w:r>
          </w:p>
        </w:tc>
        <w:tc>
          <w:tcPr>
            <w:tcW w:w="64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60" w:type="dxa"/>
            <w:vAlign w:val="bottom"/>
            <w:tcBorders>
              <w:bottom w:val="single" w:sz="8" w:color="CFF0FC"/>
              <w:right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40" w:type="dxa"/>
            <w:vAlign w:val="bottom"/>
            <w:tcBorders>
              <w:bottom w:val="single" w:sz="8" w:color="CFF0FC"/>
              <w:right w:val="single" w:sz="8" w:color="auto"/>
            </w:tcBorders>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FF0FC"/>
              <w:right w:val="single" w:sz="8" w:color="auto"/>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Borders>
              <w:bottom w:val="single" w:sz="8" w:color="CFF0FC"/>
              <w:right w:val="single" w:sz="8" w:color="auto"/>
            </w:tcBorders>
          </w:tcPr>
          <w:p>
            <w:pPr>
              <w:spacing w:after="0"/>
              <w:rPr>
                <w:sz w:val="23"/>
                <w:szCs w:val="23"/>
                <w:color w:val="auto"/>
              </w:rPr>
            </w:pP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right w:val="single" w:sz="8" w:color="auto"/>
            </w:tcBorders>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1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6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FF0FC"/>
            </w:tcBorders>
            <w:vMerge w:val="continue"/>
          </w:tcPr>
          <w:p>
            <w:pPr>
              <w:spacing w:after="0"/>
              <w:rPr>
                <w:sz w:val="21"/>
                <w:szCs w:val="21"/>
                <w:color w:val="auto"/>
              </w:rPr>
            </w:pPr>
          </w:p>
        </w:tc>
        <w:tc>
          <w:tcPr>
            <w:tcW w:w="6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6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FF0FC"/>
            </w:tcBorders>
            <w:vMerge w:val="continue"/>
          </w:tcPr>
          <w:p>
            <w:pPr>
              <w:spacing w:after="0"/>
              <w:rPr>
                <w:sz w:val="21"/>
                <w:szCs w:val="21"/>
                <w:color w:val="auto"/>
              </w:rPr>
            </w:pPr>
          </w:p>
        </w:tc>
        <w:tc>
          <w:tcPr>
            <w:tcW w:w="6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6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As of June 30, 2019, the Company had $143 thousand of foreclosed residential real estate property obtained by physical possession and $571 thousand of consumer mortgage loans secured by residential real estate properties for which foreclosure proceedings are in process according to local jurisdictions. As of June 30, 2018, the Company had no foreclosed residential real estate property obtained by physical possession and $255 thousand of consumer mortgage loans secured by residential real estate properties for which foreclosure proceedings were in process according to local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620" w:right="3540" w:hanging="1310"/>
        <w:spacing w:after="0" w:line="810" w:lineRule="auto"/>
        <w:tabs>
          <w:tab w:leader="none" w:pos="44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Remainder of this page intentionally left blank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1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Allowance for Loan and Lease Losses (ALLL) has a direct impact on the provision expense. An increase in the ALLL is funded through recoveries and provision expense. The following tables summarize the activities in the allowance for credit losses.</w:t>
      </w:r>
    </w:p>
    <w:p>
      <w:pPr>
        <w:spacing w:after="0" w:line="21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750"/>
              <w:spacing w:after="0"/>
              <w:rPr>
                <w:sz w:val="20"/>
                <w:szCs w:val="20"/>
                <w:color w:val="auto"/>
              </w:rPr>
            </w:pPr>
            <w:r>
              <w:rPr>
                <w:rFonts w:ascii="Arial" w:cs="Arial" w:eastAsia="Arial" w:hAnsi="Arial"/>
                <w:sz w:val="18"/>
                <w:szCs w:val="18"/>
                <w:color w:val="auto"/>
              </w:rPr>
              <w:t>(In Thousands)</w:t>
            </w:r>
          </w:p>
        </w:tc>
      </w:tr>
      <w:tr>
        <w:trPr>
          <w:trHeight w:val="209"/>
        </w:trPr>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Six Months</w:t>
            </w:r>
          </w:p>
        </w:tc>
        <w:tc>
          <w:tcPr>
            <w:tcW w:w="20" w:type="dxa"/>
            <w:vAlign w:val="bottom"/>
          </w:tcPr>
          <w:p>
            <w:pPr>
              <w:spacing w:after="0"/>
              <w:rPr>
                <w:sz w:val="18"/>
                <w:szCs w:val="18"/>
                <w:color w:val="auto"/>
              </w:rPr>
            </w:pPr>
          </w:p>
        </w:tc>
        <w:tc>
          <w:tcPr>
            <w:tcW w:w="1280" w:type="dxa"/>
            <w:vAlign w:val="bottom"/>
            <w:gridSpan w:val="2"/>
          </w:tcPr>
          <w:p>
            <w:pPr>
              <w:jc w:val="center"/>
              <w:ind w:right="10"/>
              <w:spacing w:after="0"/>
              <w:rPr>
                <w:sz w:val="20"/>
                <w:szCs w:val="20"/>
                <w:color w:val="auto"/>
              </w:rPr>
            </w:pPr>
            <w:r>
              <w:rPr>
                <w:rFonts w:ascii="Arial" w:cs="Arial" w:eastAsia="Arial" w:hAnsi="Arial"/>
                <w:sz w:val="18"/>
                <w:szCs w:val="18"/>
                <w:color w:val="auto"/>
                <w:w w:val="94"/>
              </w:rPr>
              <w:t>Twelve Months</w:t>
            </w:r>
          </w:p>
        </w:tc>
      </w:tr>
      <w:tr>
        <w:trPr>
          <w:trHeight w:val="230"/>
        </w:trPr>
        <w:tc>
          <w:tcPr>
            <w:tcW w:w="4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Ended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88"/>
              </w:rPr>
              <w:t>Ended</w:t>
            </w:r>
          </w:p>
        </w:tc>
      </w:tr>
      <w:tr>
        <w:trPr>
          <w:trHeight w:val="216"/>
        </w:trPr>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90"/>
              </w:rPr>
              <w:t>December 31,</w:t>
            </w:r>
          </w:p>
        </w:tc>
      </w:tr>
      <w:tr>
        <w:trPr>
          <w:trHeight w:val="230"/>
        </w:trPr>
        <w:tc>
          <w:tcPr>
            <w:tcW w:w="4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June 30, 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color w:val="auto"/>
                <w:w w:val="89"/>
              </w:rPr>
              <w:t>2018</w:t>
            </w: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Allowance for Loan &amp; Lease Losses</w:t>
            </w:r>
          </w:p>
        </w:tc>
        <w:tc>
          <w:tcPr>
            <w:tcW w:w="9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Balance at beginning of year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6,775</w:t>
            </w:r>
          </w:p>
        </w:tc>
        <w:tc>
          <w:tcPr>
            <w:tcW w:w="2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6,868</w:t>
            </w: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loan loss</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Loans charged off</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Recoveries</w:t>
            </w:r>
          </w:p>
        </w:tc>
        <w:tc>
          <w:tcPr>
            <w:tcW w:w="9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r>
      <w:tr>
        <w:trPr>
          <w:trHeight w:val="223"/>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Allowance for Loan &amp; Lease Losses</w:t>
            </w:r>
          </w:p>
        </w:tc>
        <w:tc>
          <w:tcPr>
            <w:tcW w:w="9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6,683</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6,775</w:t>
            </w:r>
          </w:p>
        </w:tc>
      </w:tr>
      <w:tr>
        <w:trPr>
          <w:trHeight w:val="20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 &amp;</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30"/>
        </w:trPr>
        <w:tc>
          <w:tcPr>
            <w:tcW w:w="43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Letters of Credit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00" w:type="dxa"/>
            <w:vAlign w:val="bottom"/>
            <w:shd w:val="clear" w:color="auto" w:fill="CFF0FC"/>
          </w:tcPr>
          <w:p>
            <w:pPr>
              <w:spacing w:after="0"/>
              <w:rPr>
                <w:sz w:val="20"/>
                <w:szCs w:val="20"/>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Allowance for Credit Losses</w:t>
            </w:r>
          </w:p>
        </w:tc>
        <w:tc>
          <w:tcPr>
            <w:tcW w:w="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7,049</w:t>
            </w:r>
          </w:p>
        </w:tc>
      </w:tr>
      <w:tr>
        <w:trPr>
          <w:trHeight w:val="20"/>
        </w:trPr>
        <w:tc>
          <w:tcPr>
            <w:tcW w:w="4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Company segregates its ALLL into two reserves: The ALLL and the Allowance for Unfunded Loan Commitments and Letters of Credit (AULC). When combined, these reserves constitute the total Allowance for Credit Losses (ACL).</w:t>
      </w:r>
    </w:p>
    <w:p>
      <w:pPr>
        <w:spacing w:after="0" w:line="14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AULC is reported within other liabilities on the balance sheet while the ALLL is netted within the loans, net asset line. The ACL presented above represents the full amount of reserves available to absorb possible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20" w:hanging="110"/>
        <w:spacing w:after="0"/>
        <w:tabs>
          <w:tab w:leader="none" w:pos="4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Remainder of this page intentionally left blank ]</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840" w:right="20"/>
        <w:spacing w:after="0" w:line="277" w:lineRule="auto"/>
        <w:rPr>
          <w:sz w:val="20"/>
          <w:szCs w:val="20"/>
          <w:color w:val="auto"/>
        </w:rPr>
      </w:pPr>
      <w:r>
        <w:rPr>
          <w:rFonts w:ascii="Arial" w:cs="Arial" w:eastAsia="Arial" w:hAnsi="Arial"/>
          <w:sz w:val="18"/>
          <w:szCs w:val="18"/>
          <w:color w:val="auto"/>
        </w:rPr>
        <w:t>The following table breaks down the activity within ACL for each loan portfolio classification and shows the contribution provided by both the recoveries and the provision along with the reduction of the allowance caused by charge-offs.</w:t>
      </w:r>
    </w:p>
    <w:p>
      <w:pPr>
        <w:spacing w:after="0" w:line="197" w:lineRule="exact"/>
        <w:rPr>
          <w:sz w:val="20"/>
          <w:szCs w:val="20"/>
          <w:color w:val="auto"/>
        </w:rPr>
      </w:pPr>
    </w:p>
    <w:p>
      <w:pPr>
        <w:ind w:left="840" w:right="20"/>
        <w:spacing w:after="0" w:line="277" w:lineRule="auto"/>
        <w:rPr>
          <w:sz w:val="20"/>
          <w:szCs w:val="20"/>
          <w:color w:val="auto"/>
        </w:rPr>
      </w:pPr>
      <w:r>
        <w:rPr>
          <w:rFonts w:ascii="Arial" w:cs="Arial" w:eastAsia="Arial" w:hAnsi="Arial"/>
          <w:sz w:val="18"/>
          <w:szCs w:val="18"/>
          <w:color w:val="auto"/>
        </w:rPr>
        <w:t>Additional analysis, presented in thousands, related to the allowance for credit losses for three months ended June 30, 2019 and June 30, 2018 in addition to the ending balances as of December 31, 2018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2"/>
              </w:rPr>
              <w:t>Unfunded</w:t>
            </w:r>
          </w:p>
        </w:tc>
        <w:tc>
          <w:tcPr>
            <w:tcW w:w="3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89"/>
              </w:rPr>
              <w:t>Loan</w:t>
            </w:r>
          </w:p>
        </w:tc>
        <w:tc>
          <w:tcPr>
            <w:tcW w:w="3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Commitment</w:t>
            </w:r>
          </w:p>
        </w:tc>
        <w:tc>
          <w:tcPr>
            <w:tcW w:w="3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89"/>
              </w:rPr>
              <w:t>Consumer</w:t>
            </w: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9"/>
              </w:rPr>
              <w:t>Commercial</w:t>
            </w:r>
          </w:p>
        </w:tc>
        <w:tc>
          <w:tcPr>
            <w:tcW w:w="118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3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Borders>
              <w:bottom w:val="single" w:sz="8" w:color="CFF0FC"/>
            </w:tcBorders>
          </w:tcPr>
          <w:p>
            <w:pPr>
              <w:spacing w:after="0"/>
              <w:rPr>
                <w:sz w:val="20"/>
                <w:szCs w:val="20"/>
                <w:color w:val="auto"/>
              </w:rPr>
            </w:pPr>
          </w:p>
        </w:tc>
        <w:tc>
          <w:tcPr>
            <w:tcW w:w="720" w:type="dxa"/>
            <w:vAlign w:val="bottom"/>
            <w:tcBorders>
              <w:bottom w:val="single" w:sz="8" w:color="CFF0FC"/>
            </w:tcBorders>
          </w:tcPr>
          <w:p>
            <w:pPr>
              <w:spacing w:after="0"/>
              <w:rPr>
                <w:sz w:val="20"/>
                <w:szCs w:val="20"/>
                <w:color w:val="auto"/>
              </w:rPr>
            </w:pPr>
          </w:p>
        </w:tc>
        <w:tc>
          <w:tcPr>
            <w:tcW w:w="560" w:type="dxa"/>
            <w:vAlign w:val="bottom"/>
            <w:tcBorders>
              <w:bottom w:val="single" w:sz="8" w:color="CFF0FC"/>
            </w:tcBorders>
          </w:tcPr>
          <w:p>
            <w:pPr>
              <w:spacing w:after="0"/>
              <w:rPr>
                <w:sz w:val="20"/>
                <w:szCs w:val="20"/>
                <w:color w:val="auto"/>
              </w:rPr>
            </w:pPr>
          </w:p>
        </w:tc>
        <w:tc>
          <w:tcPr>
            <w:tcW w:w="94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83"/>
              </w:rPr>
              <w:t>Real Estate</w:t>
            </w:r>
          </w:p>
        </w:tc>
        <w:tc>
          <w:tcPr>
            <w:tcW w:w="106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6"/>
              </w:rPr>
              <w:t>Real Estate</w:t>
            </w:r>
          </w:p>
        </w:tc>
        <w:tc>
          <w:tcPr>
            <w:tcW w:w="10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Agricultural</w:t>
            </w:r>
          </w:p>
        </w:tc>
        <w:tc>
          <w:tcPr>
            <w:tcW w:w="1080" w:type="dxa"/>
            <w:vAlign w:val="bottom"/>
            <w:tcBorders>
              <w:bottom w:val="single" w:sz="8" w:color="auto"/>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6"/>
              </w:rPr>
              <w:t>Real Estate</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and Industrial</w:t>
            </w:r>
          </w:p>
        </w:tc>
        <w:tc>
          <w:tcPr>
            <w:tcW w:w="9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8"/>
              </w:rPr>
              <w:t>Consumer</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1"/>
              </w:rPr>
              <w:t>Credit</w:t>
            </w:r>
          </w:p>
        </w:tc>
        <w:tc>
          <w:tcPr>
            <w:tcW w:w="10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Unallocated</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960" w:type="dxa"/>
            <w:vAlign w:val="bottom"/>
            <w:gridSpan w:val="3"/>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Three  Months  Ended</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tcBorders>
              <w:right w:val="single" w:sz="8" w:color="auto"/>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June 30, 2019</w:t>
            </w:r>
          </w:p>
        </w:tc>
        <w:tc>
          <w:tcPr>
            <w:tcW w:w="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tcBorders>
              <w:right w:val="single" w:sz="8" w:color="auto"/>
            </w:tcBorders>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8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ALLOWANCE</w:t>
            </w:r>
          </w:p>
        </w:tc>
        <w:tc>
          <w:tcPr>
            <w:tcW w:w="720" w:type="dxa"/>
            <w:vAlign w:val="bottom"/>
            <w:gridSpan w:val="2"/>
          </w:tcPr>
          <w:p>
            <w:pPr>
              <w:jc w:val="right"/>
              <w:ind w:right="175"/>
              <w:spacing w:after="0"/>
              <w:rPr>
                <w:sz w:val="20"/>
                <w:szCs w:val="20"/>
                <w:color w:val="auto"/>
              </w:rPr>
            </w:pPr>
            <w:r>
              <w:rPr>
                <w:rFonts w:ascii="Arial" w:cs="Arial" w:eastAsia="Arial" w:hAnsi="Arial"/>
                <w:sz w:val="18"/>
                <w:szCs w:val="18"/>
                <w:b w:val="1"/>
                <w:bCs w:val="1"/>
                <w:color w:val="auto"/>
              </w:rPr>
              <w:t>FOR</w:t>
            </w: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20" w:type="dxa"/>
            <w:vAlign w:val="bottom"/>
            <w:gridSpan w:val="4"/>
          </w:tcPr>
          <w:p>
            <w:pPr>
              <w:spacing w:after="0"/>
              <w:rPr>
                <w:sz w:val="20"/>
                <w:szCs w:val="20"/>
                <w:color w:val="auto"/>
              </w:rPr>
            </w:pPr>
            <w:r>
              <w:rPr>
                <w:rFonts w:ascii="Arial" w:cs="Arial" w:eastAsia="Arial" w:hAnsi="Arial"/>
                <w:sz w:val="18"/>
                <w:szCs w:val="18"/>
                <w:b w:val="1"/>
                <w:bCs w:val="1"/>
                <w:color w:val="auto"/>
              </w:rPr>
              <w:t>CREDIT LOSSES:</w:t>
            </w: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3"/>
              </w:rPr>
              <w:t>Beginning balance</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268</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706</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3,203</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1,490</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346</w:t>
            </w:r>
          </w:p>
        </w:tc>
        <w:tc>
          <w:tcPr>
            <w:tcW w:w="38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6,982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9"/>
                <w:szCs w:val="19"/>
                <w:color w:val="auto"/>
              </w:rPr>
            </w:pP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19"/>
                <w:szCs w:val="19"/>
                <w:color w:val="auto"/>
              </w:rPr>
            </w:pP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6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gridSpan w:val="4"/>
          </w:tcPr>
          <w:p>
            <w:pPr>
              <w:ind w:left="260"/>
              <w:spacing w:after="0"/>
              <w:rPr>
                <w:sz w:val="20"/>
                <w:szCs w:val="20"/>
                <w:color w:val="auto"/>
              </w:rPr>
            </w:pPr>
            <w:r>
              <w:rPr>
                <w:rFonts w:ascii="Arial" w:cs="Arial" w:eastAsia="Arial" w:hAnsi="Arial"/>
                <w:sz w:val="18"/>
                <w:szCs w:val="18"/>
                <w:color w:val="auto"/>
              </w:rPr>
              <w:t>Provision (Credit)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8"/>
              </w:rPr>
              <w:t>Other</w:t>
            </w:r>
          </w:p>
        </w:tc>
        <w:tc>
          <w:tcPr>
            <w:tcW w:w="1440" w:type="dxa"/>
            <w:vAlign w:val="bottom"/>
            <w:gridSpan w:val="3"/>
            <w:shd w:val="clear" w:color="auto" w:fill="CFF0FC"/>
          </w:tcPr>
          <w:p>
            <w:pPr>
              <w:jc w:val="right"/>
              <w:ind w:right="175"/>
              <w:spacing w:after="0"/>
              <w:rPr>
                <w:sz w:val="20"/>
                <w:szCs w:val="20"/>
                <w:color w:val="auto"/>
              </w:rPr>
            </w:pPr>
            <w:r>
              <w:rPr>
                <w:rFonts w:ascii="Arial" w:cs="Arial" w:eastAsia="Arial" w:hAnsi="Arial"/>
                <w:sz w:val="18"/>
                <w:szCs w:val="18"/>
                <w:color w:val="auto"/>
              </w:rPr>
              <w:t>Non-interest</w:t>
            </w: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expense related to</w:t>
            </w: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5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3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4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5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275</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340</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756</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3,320</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1,461</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526</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370</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280" w:type="dxa"/>
            <w:vAlign w:val="bottom"/>
            <w:gridSpan w:val="2"/>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rPr>
              <w:t>balance:</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tcBorders>
              <w:right w:val="single" w:sz="8" w:color="auto"/>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Ending</w:t>
            </w:r>
          </w:p>
        </w:tc>
        <w:tc>
          <w:tcPr>
            <w:tcW w:w="128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balance:</w:t>
            </w: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gridSpan w:val="4"/>
          </w:tcPr>
          <w:p>
            <w:pPr>
              <w:spacing w:after="0"/>
              <w:rPr>
                <w:sz w:val="20"/>
                <w:szCs w:val="20"/>
                <w:color w:val="auto"/>
              </w:rPr>
            </w:pPr>
            <w:r>
              <w:rPr>
                <w:rFonts w:ascii="Arial" w:cs="Arial" w:eastAsia="Arial" w:hAnsi="Arial"/>
                <w:sz w:val="18"/>
                <w:szCs w:val="18"/>
                <w:color w:val="auto"/>
              </w:rPr>
              <w:t>collectively evaluated</w:t>
            </w: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0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221</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340</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730</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3,320</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1,306</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526</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370</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6,818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720" w:type="dxa"/>
            <w:vAlign w:val="bottom"/>
            <w:tcBorders>
              <w:top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8"/>
              </w:rPr>
              <w:t>balance:</w:t>
            </w:r>
          </w:p>
        </w:tc>
        <w:tc>
          <w:tcPr>
            <w:tcW w:w="560" w:type="dxa"/>
            <w:vAlign w:val="bottom"/>
            <w:tcBorders>
              <w:top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loans</w:t>
            </w: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right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deteriorated</w:t>
            </w:r>
          </w:p>
        </w:tc>
        <w:tc>
          <w:tcPr>
            <w:tcW w:w="720" w:type="dxa"/>
            <w:vAlign w:val="bottom"/>
            <w:gridSpan w:val="2"/>
            <w:shd w:val="clear" w:color="auto" w:fill="CFF0FC"/>
          </w:tcPr>
          <w:p>
            <w:pPr>
              <w:jc w:val="right"/>
              <w:ind w:right="195"/>
              <w:spacing w:after="0"/>
              <w:rPr>
                <w:sz w:val="20"/>
                <w:szCs w:val="20"/>
                <w:color w:val="auto"/>
              </w:rPr>
            </w:pPr>
            <w:r>
              <w:rPr>
                <w:rFonts w:ascii="Arial" w:cs="Arial" w:eastAsia="Arial" w:hAnsi="Arial"/>
                <w:sz w:val="18"/>
                <w:szCs w:val="18"/>
                <w:color w:val="auto"/>
                <w:w w:val="95"/>
              </w:rPr>
              <w:t>credit</w:t>
            </w: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spacing w:after="0"/>
              <w:rPr>
                <w:sz w:val="20"/>
                <w:szCs w:val="20"/>
                <w:color w:val="auto"/>
              </w:rPr>
            </w:pPr>
            <w:r>
              <w:rPr>
                <w:rFonts w:ascii="Arial" w:cs="Arial" w:eastAsia="Arial" w:hAnsi="Arial"/>
                <w:sz w:val="18"/>
                <w:szCs w:val="18"/>
                <w:color w:val="auto"/>
              </w:rPr>
              <w:t>quality</w:t>
            </w:r>
          </w:p>
        </w:tc>
        <w:tc>
          <w:tcPr>
            <w:tcW w:w="7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5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40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5"/>
              </w:rPr>
              <w:t>158,957</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193,616</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113,906</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442,538</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133,014</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49,100</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1,091,131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line="195" w:lineRule="exact"/>
              <w:rPr>
                <w:sz w:val="20"/>
                <w:szCs w:val="20"/>
                <w:color w:val="auto"/>
              </w:rPr>
            </w:pPr>
            <w:r>
              <w:rPr>
                <w:rFonts w:ascii="Arial" w:cs="Arial" w:eastAsia="Arial" w:hAnsi="Arial"/>
                <w:sz w:val="18"/>
                <w:szCs w:val="18"/>
                <w:color w:val="auto"/>
              </w:rPr>
              <w:t>Ending</w:t>
            </w:r>
          </w:p>
        </w:tc>
        <w:tc>
          <w:tcPr>
            <w:tcW w:w="1280" w:type="dxa"/>
            <w:vAlign w:val="bottom"/>
            <w:gridSpan w:val="2"/>
          </w:tcPr>
          <w:p>
            <w:pPr>
              <w:jc w:val="right"/>
              <w:ind w:right="30"/>
              <w:spacing w:after="0" w:line="195" w:lineRule="exact"/>
              <w:rPr>
                <w:sz w:val="20"/>
                <w:szCs w:val="20"/>
                <w:color w:val="auto"/>
              </w:rPr>
            </w:pPr>
            <w:r>
              <w:rPr>
                <w:rFonts w:ascii="Arial" w:cs="Arial" w:eastAsia="Arial" w:hAnsi="Arial"/>
                <w:sz w:val="18"/>
                <w:szCs w:val="18"/>
                <w:color w:val="auto"/>
              </w:rPr>
              <w:t>balance:</w:t>
            </w: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gridSpan w:val="4"/>
          </w:tcPr>
          <w:p>
            <w:pPr>
              <w:spacing w:after="0"/>
              <w:rPr>
                <w:sz w:val="20"/>
                <w:szCs w:val="20"/>
                <w:color w:val="auto"/>
              </w:rPr>
            </w:pPr>
            <w:r>
              <w:rPr>
                <w:rFonts w:ascii="Arial" w:cs="Arial" w:eastAsia="Arial" w:hAnsi="Arial"/>
                <w:sz w:val="18"/>
                <w:szCs w:val="18"/>
                <w:color w:val="auto"/>
              </w:rPr>
              <w:t>individually evaluated</w:t>
            </w: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0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862</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191</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1,049</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2,176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1280" w:type="dxa"/>
            <w:vAlign w:val="bottom"/>
            <w:tcBorders>
              <w:top w:val="single" w:sz="8" w:color="CFF0FC"/>
            </w:tcBorders>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balance:</w:t>
            </w: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right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5"/>
              </w:rPr>
              <w:t>157,909</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193,616</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113,832</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442,347</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131,848</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49,068</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1,088,620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72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w w:val="88"/>
              </w:rPr>
              <w:t>balance:</w:t>
            </w:r>
          </w:p>
        </w:tc>
        <w:tc>
          <w:tcPr>
            <w:tcW w:w="56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rPr>
              <w:t>loans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deteriorated</w:t>
            </w:r>
          </w:p>
        </w:tc>
        <w:tc>
          <w:tcPr>
            <w:tcW w:w="720" w:type="dxa"/>
            <w:vAlign w:val="bottom"/>
            <w:gridSpan w:val="2"/>
          </w:tcPr>
          <w:p>
            <w:pPr>
              <w:jc w:val="right"/>
              <w:ind w:right="195"/>
              <w:spacing w:after="0"/>
              <w:rPr>
                <w:sz w:val="20"/>
                <w:szCs w:val="20"/>
                <w:color w:val="auto"/>
              </w:rPr>
            </w:pPr>
            <w:r>
              <w:rPr>
                <w:rFonts w:ascii="Arial" w:cs="Arial" w:eastAsia="Arial" w:hAnsi="Arial"/>
                <w:sz w:val="18"/>
                <w:szCs w:val="18"/>
                <w:color w:val="auto"/>
                <w:w w:val="95"/>
              </w:rPr>
              <w:t>credit</w:t>
            </w: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quality</w:t>
            </w:r>
          </w:p>
        </w:tc>
        <w:tc>
          <w:tcPr>
            <w:tcW w:w="7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186</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117</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32</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840" w:type="dxa"/>
            <w:vAlign w:val="bottom"/>
            <w:gridSpan w:val="6"/>
          </w:tcPr>
          <w:p>
            <w:pPr>
              <w:ind w:left="640"/>
              <w:spacing w:after="0"/>
              <w:rPr>
                <w:sz w:val="20"/>
                <w:szCs w:val="20"/>
                <w:color w:val="auto"/>
              </w:rPr>
            </w:pPr>
            <w:r>
              <w:rPr>
                <w:rFonts w:ascii="Arial" w:cs="Arial" w:eastAsia="Arial" w:hAnsi="Arial"/>
                <w:sz w:val="18"/>
                <w:szCs w:val="18"/>
                <w:color w:val="auto"/>
                <w:w w:val="94"/>
              </w:rPr>
              <w:t>NOTE 4 LOANS (Continued)</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Unfunded</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Loan</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Commitment</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2018</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1"/>
              </w:rPr>
              <w:t>Consumer</w:t>
            </w: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w w:val="97"/>
              </w:rPr>
              <w:t>Agricultural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&amp; Letters of</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3"/>
            <w:vMerge w:val="continue"/>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85"/>
              </w:rPr>
              <w:t>Real Estate</w:t>
            </w:r>
          </w:p>
        </w:tc>
        <w:tc>
          <w:tcPr>
            <w:tcW w:w="1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8"/>
              </w:rPr>
              <w:t>Real Estate</w:t>
            </w: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w w:val="95"/>
              </w:rPr>
              <w:t>Agricultural</w:t>
            </w:r>
          </w:p>
        </w:tc>
        <w:tc>
          <w:tcPr>
            <w:tcW w:w="1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0"/>
              </w:rPr>
              <w:t>Real Estate</w:t>
            </w:r>
          </w:p>
        </w:tc>
        <w:tc>
          <w:tcPr>
            <w:tcW w:w="1340" w:type="dxa"/>
            <w:vAlign w:val="bottom"/>
            <w:gridSpan w:val="4"/>
          </w:tcPr>
          <w:p>
            <w:pPr>
              <w:ind w:left="160"/>
              <w:spacing w:after="0"/>
              <w:rPr>
                <w:sz w:val="20"/>
                <w:szCs w:val="20"/>
                <w:color w:val="auto"/>
              </w:rPr>
            </w:pPr>
            <w:r>
              <w:rPr>
                <w:rFonts w:ascii="Arial" w:cs="Arial" w:eastAsia="Arial" w:hAnsi="Arial"/>
                <w:sz w:val="18"/>
                <w:szCs w:val="18"/>
                <w:color w:val="auto"/>
              </w:rPr>
              <w:t>and Industrial</w:t>
            </w:r>
          </w:p>
        </w:tc>
        <w:tc>
          <w:tcPr>
            <w:tcW w:w="940" w:type="dxa"/>
            <w:vAlign w:val="bottom"/>
            <w:gridSpan w:val="3"/>
          </w:tcPr>
          <w:p>
            <w:pPr>
              <w:ind w:left="20"/>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Credit</w:t>
            </w:r>
          </w:p>
        </w:tc>
        <w:tc>
          <w:tcPr>
            <w:tcW w:w="880" w:type="dxa"/>
            <w:vAlign w:val="bottom"/>
            <w:gridSpan w:val="2"/>
          </w:tcPr>
          <w:p>
            <w:pPr>
              <w:spacing w:after="0"/>
              <w:rPr>
                <w:sz w:val="20"/>
                <w:szCs w:val="20"/>
                <w:color w:val="auto"/>
              </w:rPr>
            </w:pPr>
            <w:r>
              <w:rPr>
                <w:rFonts w:ascii="Arial" w:cs="Arial" w:eastAsia="Arial" w:hAnsi="Arial"/>
                <w:sz w:val="18"/>
                <w:szCs w:val="18"/>
                <w:color w:val="auto"/>
                <w:w w:val="90"/>
              </w:rPr>
              <w:t>Unallocated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420" w:type="dxa"/>
            <w:vAlign w:val="bottom"/>
            <w:tcBorders>
              <w:top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ALLOWANCE</w:t>
            </w:r>
          </w:p>
        </w:tc>
        <w:tc>
          <w:tcPr>
            <w:tcW w:w="740" w:type="dxa"/>
            <w:vAlign w:val="bottom"/>
            <w:tcBorders>
              <w:top w:val="single" w:sz="8" w:color="CFF0FC"/>
            </w:tcBorders>
            <w:shd w:val="clear" w:color="auto" w:fill="CFF0FC"/>
          </w:tcPr>
          <w:p>
            <w:pPr>
              <w:jc w:val="right"/>
              <w:ind w:right="10"/>
              <w:spacing w:after="0" w:line="205" w:lineRule="exact"/>
              <w:rPr>
                <w:sz w:val="20"/>
                <w:szCs w:val="20"/>
                <w:color w:val="auto"/>
              </w:rPr>
            </w:pPr>
            <w:r>
              <w:rPr>
                <w:rFonts w:ascii="Arial" w:cs="Arial" w:eastAsia="Arial" w:hAnsi="Arial"/>
                <w:sz w:val="18"/>
                <w:szCs w:val="18"/>
                <w:b w:val="1"/>
                <w:bCs w:val="1"/>
                <w:color w:val="auto"/>
              </w:rPr>
              <w:t>FOR</w:t>
            </w:r>
          </w:p>
        </w:tc>
        <w:tc>
          <w:tcPr>
            <w:tcW w:w="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CREDIT LOSSES:</w:t>
            </w: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right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7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3,217</w:t>
            </w:r>
          </w:p>
        </w:tc>
        <w:tc>
          <w:tcPr>
            <w:tcW w:w="1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1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2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76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w w:val="91"/>
              </w:rPr>
              <w:t>balance:</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individually evaluated for</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5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8"/>
                <w:szCs w:val="18"/>
                <w:color w:val="auto"/>
                <w:w w:val="96"/>
              </w:rPr>
              <w:t>Ending balance: collectively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evaluated for</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20" w:type="dxa"/>
            <w:vAlign w:val="bottom"/>
            <w:gridSpan w:val="2"/>
          </w:tcPr>
          <w:p>
            <w:pPr>
              <w:ind w:left="140"/>
              <w:spacing w:after="0"/>
              <w:rPr>
                <w:sz w:val="20"/>
                <w:szCs w:val="20"/>
                <w:color w:val="auto"/>
              </w:rPr>
            </w:pPr>
            <w:r>
              <w:rPr>
                <w:rFonts w:ascii="Arial" w:cs="Arial" w:eastAsia="Arial" w:hAnsi="Arial"/>
                <w:sz w:val="18"/>
                <w:szCs w:val="18"/>
                <w:color w:val="auto"/>
              </w:rPr>
              <w:t>impairment</w:t>
            </w:r>
          </w:p>
        </w:tc>
        <w:tc>
          <w:tcPr>
            <w:tcW w:w="74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221</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250</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768</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3,217</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1,300</w:t>
            </w:r>
          </w:p>
        </w:tc>
        <w:tc>
          <w:tcPr>
            <w:tcW w:w="18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484</w:t>
            </w:r>
          </w:p>
        </w:tc>
        <w:tc>
          <w:tcPr>
            <w:tcW w:w="18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23"/>
                <w:szCs w:val="23"/>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760" w:type="dxa"/>
            <w:vAlign w:val="bottom"/>
            <w:tcBorders>
              <w:top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color w:val="auto"/>
                <w:w w:val="88"/>
              </w:rPr>
              <w:t>balance:</w:t>
            </w:r>
          </w:p>
        </w:tc>
        <w:tc>
          <w:tcPr>
            <w:tcW w:w="740" w:type="dxa"/>
            <w:vAlign w:val="bottom"/>
            <w:tcBorders>
              <w:top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loans</w:t>
            </w:r>
          </w:p>
        </w:tc>
        <w:tc>
          <w:tcPr>
            <w:tcW w:w="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acquired with deteriorated</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credit quality</w:t>
            </w: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7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42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80,232</w:t>
            </w:r>
          </w:p>
        </w:tc>
        <w:tc>
          <w:tcPr>
            <w:tcW w:w="5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68,588</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108,616</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419,131</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127,752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42,055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9"/>
              </w:rPr>
              <w:t>846,374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7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w w:val="91"/>
              </w:rPr>
              <w:t>balance: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gridSpan w:val="3"/>
          </w:tcPr>
          <w:p>
            <w:pPr>
              <w:spacing w:after="0"/>
              <w:rPr>
                <w:sz w:val="20"/>
                <w:szCs w:val="20"/>
                <w:color w:val="auto"/>
              </w:rPr>
            </w:pPr>
            <w:r>
              <w:rPr>
                <w:rFonts w:ascii="Arial" w:cs="Arial" w:eastAsia="Arial" w:hAnsi="Arial"/>
                <w:sz w:val="18"/>
                <w:szCs w:val="18"/>
                <w:color w:val="auto"/>
              </w:rPr>
              <w:t>individually evaluated for</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20" w:type="dxa"/>
            <w:vAlign w:val="bottom"/>
            <w:gridSpan w:val="2"/>
          </w:tcPr>
          <w:p>
            <w:pPr>
              <w:ind w:left="140"/>
              <w:spacing w:after="0"/>
              <w:rPr>
                <w:sz w:val="20"/>
                <w:szCs w:val="20"/>
                <w:color w:val="auto"/>
              </w:rPr>
            </w:pPr>
            <w:r>
              <w:rPr>
                <w:rFonts w:ascii="Arial" w:cs="Arial" w:eastAsia="Arial" w:hAnsi="Arial"/>
                <w:sz w:val="18"/>
                <w:szCs w:val="18"/>
                <w:color w:val="auto"/>
              </w:rPr>
              <w:t>impairment</w:t>
            </w:r>
          </w:p>
        </w:tc>
        <w:tc>
          <w:tcPr>
            <w:tcW w:w="74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757</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194</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1,103</w:t>
            </w:r>
          </w:p>
        </w:tc>
        <w:tc>
          <w:tcPr>
            <w:tcW w:w="18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2,054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160" w:type="dxa"/>
            <w:vAlign w:val="bottom"/>
            <w:tcBorders>
              <w:top w:val="single" w:sz="8" w:color="CFF0FC"/>
            </w:tcBorders>
            <w:gridSpan w:val="3"/>
            <w:shd w:val="clear" w:color="auto" w:fill="CFF0FC"/>
          </w:tcPr>
          <w:p>
            <w:pPr>
              <w:spacing w:after="0" w:line="196" w:lineRule="exact"/>
              <w:rPr>
                <w:sz w:val="20"/>
                <w:szCs w:val="20"/>
                <w:color w:val="auto"/>
              </w:rPr>
            </w:pPr>
            <w:r>
              <w:rPr>
                <w:rFonts w:ascii="Arial" w:cs="Arial" w:eastAsia="Arial" w:hAnsi="Arial"/>
                <w:sz w:val="18"/>
                <w:szCs w:val="18"/>
                <w:color w:val="auto"/>
                <w:w w:val="96"/>
              </w:rPr>
              <w:t>Ending balance: collectively</w:t>
            </w:r>
          </w:p>
        </w:tc>
        <w:tc>
          <w:tcPr>
            <w:tcW w:w="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evaluated for</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79,359</w:t>
            </w:r>
          </w:p>
        </w:tc>
        <w:tc>
          <w:tcPr>
            <w:tcW w:w="5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68,588</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108,616</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418,937</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126,649</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42,055</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9"/>
              </w:rPr>
              <w:t>844,204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76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w w:val="88"/>
              </w:rPr>
              <w:t>balance:</w:t>
            </w:r>
          </w:p>
        </w:tc>
        <w:tc>
          <w:tcPr>
            <w:tcW w:w="74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rPr>
              <w:t>loans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3"/>
          </w:tcPr>
          <w:p>
            <w:pPr>
              <w:ind w:left="140"/>
              <w:spacing w:after="0"/>
              <w:rPr>
                <w:sz w:val="20"/>
                <w:szCs w:val="20"/>
                <w:color w:val="auto"/>
              </w:rPr>
            </w:pPr>
            <w:r>
              <w:rPr>
                <w:rFonts w:ascii="Arial" w:cs="Arial" w:eastAsia="Arial" w:hAnsi="Arial"/>
                <w:sz w:val="18"/>
                <w:szCs w:val="18"/>
                <w:color w:val="auto"/>
                <w:w w:val="98"/>
              </w:rPr>
              <w:t>deteriorated credit quality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116</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3440" w:type="dxa"/>
            <w:vAlign w:val="bottom"/>
            <w:gridSpan w:val="7"/>
          </w:tcPr>
          <w:p>
            <w:pPr>
              <w:jc w:val="right"/>
              <w:ind w:right="530"/>
              <w:spacing w:after="0"/>
              <w:rPr>
                <w:sz w:val="20"/>
                <w:szCs w:val="20"/>
                <w:color w:val="auto"/>
              </w:rPr>
            </w:pPr>
            <w:r>
              <w:rPr>
                <w:rFonts w:ascii="Arial" w:cs="Arial" w:eastAsia="Arial" w:hAnsi="Arial"/>
                <w:sz w:val="18"/>
                <w:szCs w:val="18"/>
                <w:color w:val="auto"/>
              </w:rPr>
              <w:t>NOTE 4 LOANS (Continued)</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Unfunded</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4"/>
              </w:rPr>
              <w:t>Loan</w:t>
            </w:r>
          </w:p>
        </w:tc>
        <w:tc>
          <w:tcPr>
            <w:tcW w:w="44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w w:val="97"/>
              </w:rPr>
              <w:t>Commitment</w:t>
            </w:r>
          </w:p>
        </w:tc>
        <w:tc>
          <w:tcPr>
            <w:tcW w:w="44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89"/>
              </w:rPr>
              <w:t>Consumer</w:t>
            </w:r>
          </w:p>
        </w:tc>
        <w:tc>
          <w:tcPr>
            <w:tcW w:w="10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9"/>
              </w:rPr>
              <w:t>Commercial</w:t>
            </w:r>
          </w:p>
        </w:tc>
        <w:tc>
          <w:tcPr>
            <w:tcW w:w="12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44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bottom w:val="single" w:sz="8" w:color="CFF0FC"/>
            </w:tcBorders>
          </w:tcPr>
          <w:p>
            <w:pPr>
              <w:spacing w:after="0"/>
              <w:rPr>
                <w:sz w:val="20"/>
                <w:szCs w:val="20"/>
                <w:color w:val="auto"/>
              </w:rPr>
            </w:pPr>
          </w:p>
        </w:tc>
        <w:tc>
          <w:tcPr>
            <w:tcW w:w="70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520" w:type="dxa"/>
            <w:vAlign w:val="bottom"/>
            <w:tcBorders>
              <w:bottom w:val="single" w:sz="8" w:color="CFF0FC"/>
            </w:tcBorders>
          </w:tcPr>
          <w:p>
            <w:pPr>
              <w:spacing w:after="0"/>
              <w:rPr>
                <w:sz w:val="20"/>
                <w:szCs w:val="20"/>
                <w:color w:val="auto"/>
              </w:rPr>
            </w:pPr>
          </w:p>
        </w:tc>
        <w:tc>
          <w:tcPr>
            <w:tcW w:w="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w w:val="96"/>
              </w:rPr>
              <w:t>Real Estate</w:t>
            </w:r>
          </w:p>
        </w:tc>
        <w:tc>
          <w:tcPr>
            <w:tcW w:w="1080" w:type="dxa"/>
            <w:vAlign w:val="bottom"/>
            <w:tcBorders>
              <w:bottom w:val="single" w:sz="8" w:color="auto"/>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6"/>
              </w:rPr>
              <w:t>Real Estate</w:t>
            </w:r>
          </w:p>
        </w:tc>
        <w:tc>
          <w:tcPr>
            <w:tcW w:w="10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1080" w:type="dxa"/>
            <w:vAlign w:val="bottom"/>
            <w:tcBorders>
              <w:bottom w:val="single" w:sz="8" w:color="auto"/>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6"/>
              </w:rPr>
              <w:t>Real Estate</w:t>
            </w:r>
          </w:p>
        </w:tc>
        <w:tc>
          <w:tcPr>
            <w:tcW w:w="12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9"/>
              </w:rPr>
              <w:t>and Industrial</w:t>
            </w:r>
          </w:p>
        </w:tc>
        <w:tc>
          <w:tcPr>
            <w:tcW w:w="9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Consumer</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5"/>
              </w:rPr>
              <w:t>Credit</w:t>
            </w:r>
          </w:p>
        </w:tc>
        <w:tc>
          <w:tcPr>
            <w:tcW w:w="10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8"/>
              </w:rPr>
              <w:t>Unallocated</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6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Three</w:t>
            </w:r>
          </w:p>
        </w:tc>
        <w:tc>
          <w:tcPr>
            <w:tcW w:w="700" w:type="dxa"/>
            <w:vAlign w:val="bottom"/>
            <w:shd w:val="clear" w:color="auto" w:fill="CFF0FC"/>
          </w:tcPr>
          <w:p>
            <w:pPr>
              <w:jc w:val="center"/>
              <w:spacing w:after="0" w:line="205" w:lineRule="exact"/>
              <w:rPr>
                <w:sz w:val="20"/>
                <w:szCs w:val="20"/>
                <w:color w:val="auto"/>
              </w:rPr>
            </w:pPr>
            <w:r>
              <w:rPr>
                <w:rFonts w:ascii="Arial" w:cs="Arial" w:eastAsia="Arial" w:hAnsi="Arial"/>
                <w:sz w:val="18"/>
                <w:szCs w:val="18"/>
                <w:b w:val="1"/>
                <w:bCs w:val="1"/>
                <w:color w:val="auto"/>
                <w:w w:val="90"/>
              </w:rPr>
              <w:t>Months</w:t>
            </w:r>
          </w:p>
        </w:tc>
        <w:tc>
          <w:tcPr>
            <w:tcW w:w="720" w:type="dxa"/>
            <w:vAlign w:val="bottom"/>
            <w:gridSpan w:val="2"/>
            <w:shd w:val="clear" w:color="auto" w:fill="CFF0FC"/>
          </w:tcPr>
          <w:p>
            <w:pPr>
              <w:jc w:val="right"/>
              <w:ind w:right="30"/>
              <w:spacing w:after="0" w:line="205" w:lineRule="exact"/>
              <w:rPr>
                <w:sz w:val="20"/>
                <w:szCs w:val="20"/>
                <w:color w:val="auto"/>
              </w:rPr>
            </w:pPr>
            <w:r>
              <w:rPr>
                <w:rFonts w:ascii="Arial" w:cs="Arial" w:eastAsia="Arial" w:hAnsi="Arial"/>
                <w:sz w:val="18"/>
                <w:szCs w:val="18"/>
                <w:b w:val="1"/>
                <w:bCs w:val="1"/>
                <w:color w:val="auto"/>
              </w:rPr>
              <w:t>Ended</w:t>
            </w:r>
          </w:p>
        </w:tc>
        <w:tc>
          <w:tcPr>
            <w:tcW w:w="20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tcBorders>
              <w:left w:val="single" w:sz="8" w:color="auto"/>
            </w:tcBorders>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June 30, 2018</w:t>
            </w: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8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40" w:type="dxa"/>
            <w:vAlign w:val="bottom"/>
            <w:tcBorders>
              <w:left w:val="single" w:sz="8" w:color="auto"/>
            </w:tcBorders>
            <w:shd w:val="clear" w:color="auto" w:fill="CFF0FC"/>
          </w:tcPr>
          <w:p>
            <w:pPr>
              <w:spacing w:after="0"/>
              <w:rPr>
                <w:sz w:val="20"/>
                <w:szCs w:val="20"/>
                <w:color w:val="auto"/>
              </w:rPr>
            </w:pPr>
          </w:p>
        </w:tc>
        <w:tc>
          <w:tcPr>
            <w:tcW w:w="62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ALLOWANCE</w:t>
            </w:r>
          </w:p>
        </w:tc>
        <w:tc>
          <w:tcPr>
            <w:tcW w:w="200" w:type="dxa"/>
            <w:vAlign w:val="bottom"/>
          </w:tcPr>
          <w:p>
            <w:pPr>
              <w:spacing w:after="0"/>
              <w:rPr>
                <w:sz w:val="18"/>
                <w:szCs w:val="18"/>
                <w:color w:val="auto"/>
              </w:rPr>
            </w:pPr>
          </w:p>
        </w:tc>
        <w:tc>
          <w:tcPr>
            <w:tcW w:w="7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FOR</w:t>
            </w: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CREDIT LOSSES:</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0"/>
              </w:rPr>
              <w:t>Beginning balance</w:t>
            </w: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254</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706</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3,674</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1,443</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265</w:t>
            </w:r>
          </w:p>
        </w:tc>
        <w:tc>
          <w:tcPr>
            <w:tcW w:w="44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shd w:val="clear" w:color="auto" w:fill="CFF0FC"/>
          </w:tcPr>
          <w:p>
            <w:pPr>
              <w:spacing w:after="0"/>
              <w:rPr>
                <w:sz w:val="19"/>
                <w:szCs w:val="19"/>
                <w:color w:val="auto"/>
              </w:rPr>
            </w:pPr>
          </w:p>
        </w:tc>
        <w:tc>
          <w:tcPr>
            <w:tcW w:w="62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60" w:type="dxa"/>
            <w:vAlign w:val="bottom"/>
            <w:gridSpan w:val="3"/>
          </w:tcPr>
          <w:p>
            <w:pPr>
              <w:ind w:left="260"/>
              <w:spacing w:after="0"/>
              <w:rPr>
                <w:sz w:val="20"/>
                <w:szCs w:val="20"/>
                <w:color w:val="auto"/>
              </w:rPr>
            </w:pPr>
            <w:r>
              <w:rPr>
                <w:rFonts w:ascii="Arial" w:cs="Arial" w:eastAsia="Arial" w:hAnsi="Arial"/>
                <w:sz w:val="18"/>
                <w:szCs w:val="18"/>
                <w:color w:val="auto"/>
                <w:w w:val="92"/>
              </w:rPr>
              <w:t>Provision (Credit)</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32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4"/>
              </w:rPr>
              <w:t>Other</w:t>
            </w:r>
          </w:p>
        </w:tc>
        <w:tc>
          <w:tcPr>
            <w:tcW w:w="1620" w:type="dxa"/>
            <w:vAlign w:val="bottom"/>
            <w:gridSpan w:val="4"/>
            <w:shd w:val="clear" w:color="auto" w:fill="CFF0FC"/>
          </w:tcPr>
          <w:p>
            <w:pPr>
              <w:jc w:val="right"/>
              <w:ind w:right="210"/>
              <w:spacing w:after="0"/>
              <w:rPr>
                <w:sz w:val="20"/>
                <w:szCs w:val="20"/>
                <w:color w:val="auto"/>
              </w:rPr>
            </w:pPr>
            <w:r>
              <w:rPr>
                <w:rFonts w:ascii="Arial" w:cs="Arial" w:eastAsia="Arial" w:hAnsi="Arial"/>
                <w:sz w:val="18"/>
                <w:szCs w:val="18"/>
                <w:color w:val="auto"/>
              </w:rPr>
              <w:t>Non-interest</w:t>
            </w: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w w:val="86"/>
              </w:rPr>
              <w:t>expense related to</w:t>
            </w: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50</w:t>
            </w:r>
          </w:p>
        </w:tc>
        <w:tc>
          <w:tcPr>
            <w:tcW w:w="440" w:type="dxa"/>
            <w:vAlign w:val="bottom"/>
            <w:tcBorders>
              <w:left w:val="single" w:sz="8" w:color="auto"/>
              <w:bottom w:val="single" w:sz="8" w:color="auto"/>
            </w:tcBorders>
            <w:shd w:val="clear" w:color="auto" w:fill="CFF0FC"/>
          </w:tcPr>
          <w:p>
            <w:pPr>
              <w:spacing w:after="0"/>
              <w:rPr>
                <w:sz w:val="20"/>
                <w:szCs w:val="20"/>
                <w:color w:val="auto"/>
              </w:rPr>
            </w:pPr>
          </w:p>
        </w:tc>
        <w:tc>
          <w:tcPr>
            <w:tcW w:w="62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CFF0FC"/>
            </w:tcBorders>
          </w:tcPr>
          <w:p>
            <w:pPr>
              <w:spacing w:after="0"/>
              <w:rPr>
                <w:sz w:val="22"/>
                <w:szCs w:val="22"/>
                <w:color w:val="auto"/>
              </w:rPr>
            </w:pPr>
          </w:p>
        </w:tc>
        <w:tc>
          <w:tcPr>
            <w:tcW w:w="5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251</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255</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751</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3,260</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1,420</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459</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w:t>
            </w:r>
          </w:p>
        </w:tc>
        <w:tc>
          <w:tcPr>
            <w:tcW w:w="4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393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7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w w:val="85"/>
              </w:rPr>
              <w:t>balance:</w:t>
            </w:r>
          </w:p>
        </w:tc>
        <w:tc>
          <w:tcPr>
            <w:tcW w:w="20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tcBorders>
              <w:left w:val="single" w:sz="8" w:color="auto"/>
            </w:tcBorders>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2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Ending</w:t>
            </w:r>
          </w:p>
        </w:tc>
        <w:tc>
          <w:tcPr>
            <w:tcW w:w="700" w:type="dxa"/>
            <w:vAlign w:val="bottom"/>
          </w:tcPr>
          <w:p>
            <w:pPr>
              <w:spacing w:after="0"/>
              <w:rPr>
                <w:sz w:val="17"/>
                <w:szCs w:val="17"/>
                <w:color w:val="auto"/>
              </w:rPr>
            </w:pPr>
          </w:p>
        </w:tc>
        <w:tc>
          <w:tcPr>
            <w:tcW w:w="7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w w:val="85"/>
              </w:rPr>
              <w:t>balance:</w:t>
            </w:r>
          </w:p>
        </w:tc>
        <w:tc>
          <w:tcPr>
            <w:tcW w:w="2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5"/>
          </w:tcPr>
          <w:p>
            <w:pPr>
              <w:spacing w:after="0"/>
              <w:rPr>
                <w:sz w:val="20"/>
                <w:szCs w:val="20"/>
                <w:color w:val="auto"/>
              </w:rPr>
            </w:pPr>
            <w:r>
              <w:rPr>
                <w:rFonts w:ascii="Arial" w:cs="Arial" w:eastAsia="Arial" w:hAnsi="Arial"/>
                <w:sz w:val="18"/>
                <w:szCs w:val="18"/>
                <w:color w:val="auto"/>
              </w:rPr>
              <w:t>collectively evaluated</w:t>
            </w: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200" w:type="dxa"/>
            <w:vAlign w:val="bottom"/>
          </w:tcPr>
          <w:p>
            <w:pPr>
              <w:spacing w:after="0"/>
              <w:rPr>
                <w:sz w:val="23"/>
                <w:szCs w:val="23"/>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205</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255</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751</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3,260</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1,334</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459</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4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393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6,972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700" w:type="dxa"/>
            <w:vAlign w:val="bottom"/>
            <w:tcBorders>
              <w:top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w w:val="85"/>
              </w:rPr>
              <w:t>balance:</w:t>
            </w:r>
          </w:p>
        </w:tc>
        <w:tc>
          <w:tcPr>
            <w:tcW w:w="20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2"/>
              </w:rPr>
              <w:t>loans</w:t>
            </w: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left w:val="single" w:sz="8" w:color="auto"/>
            </w:tcBorders>
            <w:shd w:val="clear" w:color="auto" w:fill="CFF0FC"/>
          </w:tcPr>
          <w:p>
            <w:pPr>
              <w:spacing w:after="0"/>
              <w:rPr>
                <w:sz w:val="17"/>
                <w:szCs w:val="17"/>
                <w:color w:val="auto"/>
              </w:rPr>
            </w:pPr>
          </w:p>
        </w:tc>
        <w:tc>
          <w:tcPr>
            <w:tcW w:w="62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3"/>
            <w:shd w:val="clear" w:color="auto" w:fill="CFF0FC"/>
          </w:tcPr>
          <w:p>
            <w:pPr>
              <w:jc w:val="center"/>
              <w:ind w:left="250"/>
              <w:spacing w:after="0"/>
              <w:rPr>
                <w:sz w:val="20"/>
                <w:szCs w:val="20"/>
                <w:color w:val="auto"/>
              </w:rPr>
            </w:pPr>
            <w:r>
              <w:rPr>
                <w:rFonts w:ascii="Arial" w:cs="Arial" w:eastAsia="Arial" w:hAnsi="Arial"/>
                <w:sz w:val="18"/>
                <w:szCs w:val="18"/>
                <w:color w:val="auto"/>
                <w:w w:val="89"/>
              </w:rPr>
              <w:t>deteriorated</w:t>
            </w:r>
          </w:p>
        </w:tc>
        <w:tc>
          <w:tcPr>
            <w:tcW w:w="7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w w:val="90"/>
              </w:rPr>
              <w:t>credit</w:t>
            </w: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quality</w:t>
            </w: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2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Borders>
              <w:lef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w w:val="99"/>
              </w:rPr>
              <w:t>RECEIVABLES: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82,368</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69,676</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104,980</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410,886</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122,510</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40,595</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9"/>
              </w:rPr>
              <w:t>831,015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line="195" w:lineRule="exact"/>
              <w:rPr>
                <w:sz w:val="20"/>
                <w:szCs w:val="20"/>
                <w:color w:val="auto"/>
              </w:rPr>
            </w:pPr>
            <w:r>
              <w:rPr>
                <w:rFonts w:ascii="Arial" w:cs="Arial" w:eastAsia="Arial" w:hAnsi="Arial"/>
                <w:sz w:val="18"/>
                <w:szCs w:val="18"/>
                <w:color w:val="auto"/>
              </w:rPr>
              <w:t>Ending</w:t>
            </w:r>
          </w:p>
        </w:tc>
        <w:tc>
          <w:tcPr>
            <w:tcW w:w="700" w:type="dxa"/>
            <w:vAlign w:val="bottom"/>
          </w:tcPr>
          <w:p>
            <w:pPr>
              <w:spacing w:after="0"/>
              <w:rPr>
                <w:sz w:val="17"/>
                <w:szCs w:val="17"/>
                <w:color w:val="auto"/>
              </w:rPr>
            </w:pPr>
          </w:p>
        </w:tc>
        <w:tc>
          <w:tcPr>
            <w:tcW w:w="720" w:type="dxa"/>
            <w:vAlign w:val="bottom"/>
            <w:gridSpan w:val="2"/>
          </w:tcPr>
          <w:p>
            <w:pPr>
              <w:jc w:val="right"/>
              <w:ind w:right="30"/>
              <w:spacing w:after="0" w:line="195" w:lineRule="exact"/>
              <w:rPr>
                <w:sz w:val="20"/>
                <w:szCs w:val="20"/>
                <w:color w:val="auto"/>
              </w:rPr>
            </w:pPr>
            <w:r>
              <w:rPr>
                <w:rFonts w:ascii="Arial" w:cs="Arial" w:eastAsia="Arial" w:hAnsi="Arial"/>
                <w:sz w:val="18"/>
                <w:szCs w:val="18"/>
                <w:color w:val="auto"/>
                <w:w w:val="85"/>
              </w:rPr>
              <w:t>balance:</w:t>
            </w:r>
          </w:p>
        </w:tc>
        <w:tc>
          <w:tcPr>
            <w:tcW w:w="2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5"/>
          </w:tcPr>
          <w:p>
            <w:pPr>
              <w:spacing w:after="0"/>
              <w:rPr>
                <w:sz w:val="20"/>
                <w:szCs w:val="20"/>
                <w:color w:val="auto"/>
              </w:rPr>
            </w:pPr>
            <w:r>
              <w:rPr>
                <w:rFonts w:ascii="Arial" w:cs="Arial" w:eastAsia="Arial" w:hAnsi="Arial"/>
                <w:sz w:val="18"/>
                <w:szCs w:val="18"/>
                <w:color w:val="auto"/>
              </w:rPr>
              <w:t>individually evaluated</w:t>
            </w: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200" w:type="dxa"/>
            <w:vAlign w:val="bottom"/>
          </w:tcPr>
          <w:p>
            <w:pPr>
              <w:spacing w:after="0"/>
              <w:rPr>
                <w:sz w:val="23"/>
                <w:szCs w:val="23"/>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860</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198</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394</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1,452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7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5"/>
              </w:rPr>
              <w:t>balance:</w:t>
            </w: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left w:val="single" w:sz="8" w:color="auto"/>
            </w:tcBorders>
            <w:shd w:val="clear" w:color="auto" w:fill="CFF0FC"/>
          </w:tcPr>
          <w:p>
            <w:pPr>
              <w:spacing w:after="0"/>
              <w:rPr>
                <w:sz w:val="17"/>
                <w:szCs w:val="17"/>
                <w:color w:val="auto"/>
              </w:rPr>
            </w:pPr>
          </w:p>
        </w:tc>
        <w:tc>
          <w:tcPr>
            <w:tcW w:w="62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2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81,389</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69,676</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104,980</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410,688</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122,116</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40,595</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9"/>
              </w:rPr>
              <w:t>829,444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700" w:type="dxa"/>
            <w:vAlign w:val="bottom"/>
            <w:tcBorders>
              <w:top w:val="single" w:sz="8" w:color="CFF0FC"/>
              <w:bottom w:val="single" w:sz="8" w:color="CFF0FC"/>
            </w:tcBorders>
            <w:vMerge w:val="restart"/>
          </w:tcPr>
          <w:p>
            <w:pPr>
              <w:ind w:left="100"/>
              <w:spacing w:after="0"/>
              <w:rPr>
                <w:sz w:val="20"/>
                <w:szCs w:val="20"/>
                <w:color w:val="auto"/>
              </w:rPr>
            </w:pPr>
            <w:r>
              <w:rPr>
                <w:rFonts w:ascii="Arial" w:cs="Arial" w:eastAsia="Arial" w:hAnsi="Arial"/>
                <w:sz w:val="18"/>
                <w:szCs w:val="18"/>
                <w:color w:val="auto"/>
                <w:w w:val="85"/>
              </w:rPr>
              <w:t>balance:</w:t>
            </w:r>
          </w:p>
        </w:tc>
        <w:tc>
          <w:tcPr>
            <w:tcW w:w="2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w w:val="92"/>
              </w:rPr>
              <w:t>loans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deteriorated</w:t>
            </w:r>
          </w:p>
        </w:tc>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w w:val="90"/>
              </w:rPr>
              <w:t>credit</w:t>
            </w: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quality</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119</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20" w:type="dxa"/>
            <w:vAlign w:val="bottom"/>
            <w:gridSpan w:val="8"/>
          </w:tcPr>
          <w:p>
            <w:pPr>
              <w:ind w:left="60"/>
              <w:spacing w:after="0"/>
              <w:rPr>
                <w:sz w:val="20"/>
                <w:szCs w:val="20"/>
                <w:color w:val="auto"/>
              </w:rPr>
            </w:pPr>
            <w:r>
              <w:rPr>
                <w:rFonts w:ascii="Arial" w:cs="Arial" w:eastAsia="Arial" w:hAnsi="Arial"/>
                <w:sz w:val="18"/>
                <w:szCs w:val="18"/>
                <w:color w:val="auto"/>
              </w:rPr>
              <w:t>NOTE 4 LOANS (Continued)</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2"/>
              </w:rPr>
              <w:t>Unfunded</w:t>
            </w: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Loan</w:t>
            </w:r>
          </w:p>
        </w:tc>
        <w:tc>
          <w:tcPr>
            <w:tcW w:w="42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Arial" w:cs="Arial" w:eastAsia="Arial" w:hAnsi="Arial"/>
                <w:sz w:val="18"/>
                <w:szCs w:val="18"/>
                <w:color w:val="auto"/>
                <w:w w:val="97"/>
              </w:rPr>
              <w:t>Commitment</w:t>
            </w:r>
          </w:p>
        </w:tc>
        <w:tc>
          <w:tcPr>
            <w:tcW w:w="42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w w:val="89"/>
              </w:rPr>
              <w:t>Consumer</w:t>
            </w:r>
          </w:p>
        </w:tc>
        <w:tc>
          <w:tcPr>
            <w:tcW w:w="1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Agricultural</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9"/>
              </w:rPr>
              <w:t>Commercial</w:t>
            </w:r>
          </w:p>
        </w:tc>
        <w:tc>
          <w:tcPr>
            <w:tcW w:w="11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&amp; Letters of</w:t>
            </w:r>
          </w:p>
        </w:tc>
        <w:tc>
          <w:tcPr>
            <w:tcW w:w="42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w w:val="83"/>
              </w:rPr>
              <w:t>Real Estate</w:t>
            </w:r>
          </w:p>
        </w:tc>
        <w:tc>
          <w:tcPr>
            <w:tcW w:w="10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8"/>
              </w:rPr>
              <w:t>Real Estate</w:t>
            </w:r>
          </w:p>
        </w:tc>
        <w:tc>
          <w:tcPr>
            <w:tcW w:w="11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Agricultural</w:t>
            </w:r>
          </w:p>
        </w:tc>
        <w:tc>
          <w:tcPr>
            <w:tcW w:w="1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Real Estate</w:t>
            </w:r>
          </w:p>
        </w:tc>
        <w:tc>
          <w:tcPr>
            <w:tcW w:w="11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8"/>
              </w:rPr>
              <w:t>and Industrial</w:t>
            </w:r>
          </w:p>
        </w:tc>
        <w:tc>
          <w:tcPr>
            <w:tcW w:w="9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8"/>
              </w:rPr>
              <w:t>Consumer</w:t>
            </w:r>
          </w:p>
        </w:tc>
        <w:tc>
          <w:tcPr>
            <w:tcW w:w="16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Credit</w:t>
            </w:r>
          </w:p>
        </w:tc>
        <w:tc>
          <w:tcPr>
            <w:tcW w:w="110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Unallocated</w:t>
            </w:r>
          </w:p>
        </w:tc>
        <w:tc>
          <w:tcPr>
            <w:tcW w:w="18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240" w:type="dxa"/>
            <w:vAlign w:val="bottom"/>
            <w:tcBorders>
              <w:top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Six   Months</w:t>
            </w:r>
          </w:p>
        </w:tc>
        <w:tc>
          <w:tcPr>
            <w:tcW w:w="720" w:type="dxa"/>
            <w:vAlign w:val="bottom"/>
            <w:tcBorders>
              <w:top w:val="single" w:sz="8" w:color="CFF0FC"/>
            </w:tcBorders>
            <w:gridSpan w:val="2"/>
            <w:shd w:val="clear" w:color="auto" w:fill="CFF0FC"/>
          </w:tcPr>
          <w:p>
            <w:pPr>
              <w:jc w:val="right"/>
              <w:ind w:right="30"/>
              <w:spacing w:after="0" w:line="205" w:lineRule="exact"/>
              <w:rPr>
                <w:sz w:val="20"/>
                <w:szCs w:val="20"/>
                <w:color w:val="auto"/>
              </w:rPr>
            </w:pPr>
            <w:r>
              <w:rPr>
                <w:rFonts w:ascii="Arial" w:cs="Arial" w:eastAsia="Arial" w:hAnsi="Arial"/>
                <w:sz w:val="18"/>
                <w:szCs w:val="18"/>
                <w:b w:val="1"/>
                <w:bCs w:val="1"/>
                <w:color w:val="auto"/>
              </w:rPr>
              <w:t>Ended</w:t>
            </w: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left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June 30, 2019</w:t>
            </w: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tcBorders>
              <w:left w:val="single" w:sz="8" w:color="auto"/>
            </w:tcBorders>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ALLOWANCE</w:t>
            </w:r>
          </w:p>
        </w:tc>
        <w:tc>
          <w:tcPr>
            <w:tcW w:w="160" w:type="dxa"/>
            <w:vAlign w:val="bottom"/>
          </w:tcPr>
          <w:p>
            <w:pPr>
              <w:spacing w:after="0"/>
              <w:rPr>
                <w:sz w:val="18"/>
                <w:szCs w:val="18"/>
                <w:color w:val="auto"/>
              </w:rPr>
            </w:pPr>
          </w:p>
        </w:tc>
        <w:tc>
          <w:tcPr>
            <w:tcW w:w="720" w:type="dxa"/>
            <w:vAlign w:val="bottom"/>
            <w:gridSpan w:val="2"/>
          </w:tcPr>
          <w:p>
            <w:pPr>
              <w:jc w:val="right"/>
              <w:ind w:right="175"/>
              <w:spacing w:after="0"/>
              <w:rPr>
                <w:sz w:val="20"/>
                <w:szCs w:val="20"/>
                <w:color w:val="auto"/>
              </w:rPr>
            </w:pPr>
            <w:r>
              <w:rPr>
                <w:rFonts w:ascii="Arial" w:cs="Arial" w:eastAsia="Arial" w:hAnsi="Arial"/>
                <w:sz w:val="18"/>
                <w:szCs w:val="18"/>
                <w:b w:val="1"/>
                <w:bCs w:val="1"/>
                <w:color w:val="auto"/>
              </w:rPr>
              <w:t>FOR</w:t>
            </w: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20" w:type="dxa"/>
            <w:vAlign w:val="bottom"/>
            <w:gridSpan w:val="5"/>
          </w:tcPr>
          <w:p>
            <w:pPr>
              <w:spacing w:after="0"/>
              <w:rPr>
                <w:sz w:val="20"/>
                <w:szCs w:val="20"/>
                <w:color w:val="auto"/>
              </w:rPr>
            </w:pPr>
            <w:r>
              <w:rPr>
                <w:rFonts w:ascii="Arial" w:cs="Arial" w:eastAsia="Arial" w:hAnsi="Arial"/>
                <w:sz w:val="18"/>
                <w:szCs w:val="18"/>
                <w:b w:val="1"/>
                <w:bCs w:val="1"/>
                <w:color w:val="auto"/>
              </w:rPr>
              <w:t>CREDIT LOSSES:</w:t>
            </w: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lef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0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3"/>
              </w:rPr>
              <w:t>Beginning balance</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4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w:t>
            </w:r>
          </w:p>
        </w:tc>
        <w:tc>
          <w:tcPr>
            <w:tcW w:w="120" w:type="dxa"/>
            <w:vAlign w:val="bottom"/>
            <w:tcBorders>
              <w:right w:val="single" w:sz="8" w:color="auto"/>
            </w:tcBorders>
            <w:shd w:val="clear" w:color="auto" w:fill="CFF0FC"/>
          </w:tcPr>
          <w:p>
            <w:pPr>
              <w:spacing w:after="0"/>
              <w:rPr>
                <w:sz w:val="19"/>
                <w:szCs w:val="19"/>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FF0FC"/>
          </w:tcPr>
          <w:p>
            <w:pPr>
              <w:spacing w:after="0"/>
              <w:rPr>
                <w:sz w:val="19"/>
                <w:szCs w:val="19"/>
                <w:color w:val="auto"/>
              </w:rPr>
            </w:pPr>
          </w:p>
        </w:tc>
        <w:tc>
          <w:tcPr>
            <w:tcW w:w="42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7,049</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gridSpan w:val="2"/>
          </w:tcPr>
          <w:p>
            <w:pPr>
              <w:ind w:left="260"/>
              <w:spacing w:after="0"/>
              <w:rPr>
                <w:sz w:val="20"/>
                <w:szCs w:val="20"/>
                <w:color w:val="auto"/>
              </w:rPr>
            </w:pPr>
            <w:r>
              <w:rPr>
                <w:rFonts w:ascii="Arial" w:cs="Arial" w:eastAsia="Arial" w:hAnsi="Arial"/>
                <w:sz w:val="18"/>
                <w:szCs w:val="18"/>
                <w:color w:val="auto"/>
                <w:w w:val="98"/>
              </w:rPr>
              <w:t>Charge Offs</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Borders>
              <w:left w:val="single" w:sz="8" w:color="auto"/>
            </w:tcBorders>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20" w:type="dxa"/>
            <w:vAlign w:val="bottom"/>
            <w:tcBorders>
              <w:left w:val="single" w:sz="8" w:color="auto"/>
            </w:tcBorders>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gridSpan w:val="5"/>
          </w:tcPr>
          <w:p>
            <w:pPr>
              <w:ind w:left="260"/>
              <w:spacing w:after="0"/>
              <w:rPr>
                <w:sz w:val="20"/>
                <w:szCs w:val="20"/>
                <w:color w:val="auto"/>
              </w:rPr>
            </w:pPr>
            <w:r>
              <w:rPr>
                <w:rFonts w:ascii="Arial" w:cs="Arial" w:eastAsia="Arial" w:hAnsi="Arial"/>
                <w:sz w:val="18"/>
                <w:szCs w:val="18"/>
                <w:color w:val="auto"/>
              </w:rPr>
              <w:t>Provision (Credit)</w:t>
            </w:r>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Borders>
              <w:left w:val="single" w:sz="8" w:color="auto"/>
            </w:tcBorders>
          </w:tcPr>
          <w:p>
            <w:pPr>
              <w:spacing w:after="0"/>
              <w:rPr>
                <w:sz w:val="19"/>
                <w:szCs w:val="19"/>
                <w:color w:val="auto"/>
              </w:rPr>
            </w:pPr>
          </w:p>
        </w:tc>
        <w:tc>
          <w:tcPr>
            <w:tcW w:w="6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(499)</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8"/>
              </w:rPr>
              <w:t>Other</w:t>
            </w:r>
          </w:p>
        </w:tc>
        <w:tc>
          <w:tcPr>
            <w:tcW w:w="1440" w:type="dxa"/>
            <w:vAlign w:val="bottom"/>
            <w:gridSpan w:val="4"/>
            <w:shd w:val="clear" w:color="auto" w:fill="CFF0FC"/>
          </w:tcPr>
          <w:p>
            <w:pPr>
              <w:jc w:val="right"/>
              <w:ind w:right="175"/>
              <w:spacing w:after="0"/>
              <w:rPr>
                <w:sz w:val="20"/>
                <w:szCs w:val="20"/>
                <w:color w:val="auto"/>
              </w:rPr>
            </w:pPr>
            <w:r>
              <w:rPr>
                <w:rFonts w:ascii="Arial" w:cs="Arial" w:eastAsia="Arial" w:hAnsi="Arial"/>
                <w:sz w:val="18"/>
                <w:szCs w:val="18"/>
                <w:color w:val="auto"/>
              </w:rPr>
              <w:t>Non-interest</w:t>
            </w: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gridSpan w:val="5"/>
            <w:shd w:val="clear" w:color="auto" w:fill="CFF0FC"/>
          </w:tcPr>
          <w:p>
            <w:pPr>
              <w:ind w:left="260"/>
              <w:spacing w:after="0"/>
              <w:rPr>
                <w:sz w:val="20"/>
                <w:szCs w:val="20"/>
                <w:color w:val="auto"/>
              </w:rPr>
            </w:pPr>
            <w:r>
              <w:rPr>
                <w:rFonts w:ascii="Arial" w:cs="Arial" w:eastAsia="Arial" w:hAnsi="Arial"/>
                <w:sz w:val="18"/>
                <w:szCs w:val="18"/>
                <w:color w:val="auto"/>
              </w:rPr>
              <w:t>expense related to</w:t>
            </w: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FF0FC"/>
          </w:tcPr>
          <w:p>
            <w:pPr>
              <w:spacing w:after="0"/>
              <w:rPr>
                <w:sz w:val="20"/>
                <w:szCs w:val="20"/>
                <w:color w:val="auto"/>
              </w:rPr>
            </w:pPr>
          </w:p>
        </w:tc>
        <w:tc>
          <w:tcPr>
            <w:tcW w:w="420" w:type="dxa"/>
            <w:vAlign w:val="bottom"/>
            <w:tcBorders>
              <w:left w:val="single" w:sz="8" w:color="auto"/>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w w:val="96"/>
              </w:rPr>
              <w:t>Ending Balance</w:t>
            </w:r>
          </w:p>
        </w:tc>
        <w:tc>
          <w:tcPr>
            <w:tcW w:w="16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FF0FC"/>
              <w:right w:val="single" w:sz="8" w:color="auto"/>
            </w:tcBorders>
          </w:tcPr>
          <w:p>
            <w:pPr>
              <w:spacing w:after="0"/>
              <w:rPr>
                <w:sz w:val="22"/>
                <w:szCs w:val="22"/>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FF0FC"/>
              <w:right w:val="single" w:sz="8" w:color="auto"/>
            </w:tcBorders>
          </w:tcPr>
          <w:p>
            <w:pPr>
              <w:spacing w:after="0"/>
              <w:rPr>
                <w:sz w:val="22"/>
                <w:szCs w:val="22"/>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40" w:type="dxa"/>
            <w:vAlign w:val="bottom"/>
            <w:tcBorders>
              <w:bottom w:val="single" w:sz="8" w:color="CFF0FC"/>
              <w:right w:val="single" w:sz="8" w:color="auto"/>
            </w:tcBorders>
          </w:tcPr>
          <w:p>
            <w:pPr>
              <w:spacing w:after="0"/>
              <w:rPr>
                <w:sz w:val="22"/>
                <w:szCs w:val="22"/>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w:t>
            </w:r>
          </w:p>
        </w:tc>
        <w:tc>
          <w:tcPr>
            <w:tcW w:w="120" w:type="dxa"/>
            <w:vAlign w:val="bottom"/>
            <w:tcBorders>
              <w:bottom w:val="single" w:sz="8" w:color="CFF0FC"/>
              <w:right w:val="single" w:sz="8" w:color="auto"/>
            </w:tcBorders>
          </w:tcPr>
          <w:p>
            <w:pPr>
              <w:spacing w:after="0"/>
              <w:rPr>
                <w:sz w:val="22"/>
                <w:szCs w:val="22"/>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FF0FC"/>
              <w:right w:val="single" w:sz="8" w:color="auto"/>
            </w:tcBorders>
          </w:tcPr>
          <w:p>
            <w:pPr>
              <w:spacing w:after="0"/>
              <w:rPr>
                <w:sz w:val="22"/>
                <w:szCs w:val="22"/>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FF0FC"/>
              <w:right w:val="single" w:sz="8" w:color="auto"/>
            </w:tcBorders>
          </w:tcPr>
          <w:p>
            <w:pPr>
              <w:spacing w:after="0"/>
              <w:rPr>
                <w:sz w:val="22"/>
                <w:szCs w:val="22"/>
                <w:color w:val="auto"/>
              </w:rPr>
            </w:pP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80" w:type="dxa"/>
            <w:vAlign w:val="bottom"/>
            <w:tcBorders>
              <w:bottom w:val="single" w:sz="8" w:color="CFF0FC"/>
            </w:tcBorders>
          </w:tcPr>
          <w:p>
            <w:pPr>
              <w:spacing w:after="0"/>
              <w:rPr>
                <w:sz w:val="22"/>
                <w:szCs w:val="22"/>
                <w:color w:val="auto"/>
              </w:rPr>
            </w:pPr>
          </w:p>
        </w:tc>
        <w:tc>
          <w:tcPr>
            <w:tcW w:w="4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right w:val="single" w:sz="8" w:color="auto"/>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7,053</w:t>
            </w:r>
          </w:p>
        </w:tc>
        <w:tc>
          <w:tcPr>
            <w:tcW w:w="8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5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w w:val="85"/>
              </w:rPr>
              <w:t>balance:</w:t>
            </w: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tcBorders>
              <w:left w:val="single" w:sz="8" w:color="CFF0FC"/>
            </w:tcBorders>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tcBorders>
              <w:left w:val="single" w:sz="8" w:color="CFF0FC"/>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3"/>
              </w:rPr>
              <w:t>for impairment</w:t>
            </w:r>
          </w:p>
        </w:tc>
        <w:tc>
          <w:tcPr>
            <w:tcW w:w="16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20" w:type="dxa"/>
            <w:vAlign w:val="bottom"/>
            <w:tcBorders>
              <w:left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Ending</w:t>
            </w:r>
          </w:p>
        </w:tc>
        <w:tc>
          <w:tcPr>
            <w:tcW w:w="560" w:type="dxa"/>
            <w:vAlign w:val="bottom"/>
          </w:tcPr>
          <w:p>
            <w:pPr>
              <w:spacing w:after="0"/>
              <w:rPr>
                <w:sz w:val="17"/>
                <w:szCs w:val="17"/>
                <w:color w:val="auto"/>
              </w:rPr>
            </w:pPr>
          </w:p>
        </w:tc>
        <w:tc>
          <w:tcPr>
            <w:tcW w:w="7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w w:val="85"/>
              </w:rPr>
              <w:t>balance:</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gridSpan w:val="5"/>
          </w:tcPr>
          <w:p>
            <w:pPr>
              <w:spacing w:after="0"/>
              <w:rPr>
                <w:sz w:val="20"/>
                <w:szCs w:val="20"/>
                <w:color w:val="auto"/>
              </w:rPr>
            </w:pPr>
            <w:r>
              <w:rPr>
                <w:rFonts w:ascii="Arial" w:cs="Arial" w:eastAsia="Arial" w:hAnsi="Arial"/>
                <w:sz w:val="18"/>
                <w:szCs w:val="18"/>
                <w:color w:val="auto"/>
              </w:rPr>
              <w:t>collectively evaluated</w:t>
            </w: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40" w:type="dxa"/>
            <w:vAlign w:val="bottom"/>
            <w:gridSpan w:val="2"/>
          </w:tcPr>
          <w:p>
            <w:pPr>
              <w:ind w:left="140"/>
              <w:spacing w:after="0"/>
              <w:rPr>
                <w:sz w:val="20"/>
                <w:szCs w:val="20"/>
                <w:color w:val="auto"/>
              </w:rPr>
            </w:pPr>
            <w:r>
              <w:rPr>
                <w:rFonts w:ascii="Arial" w:cs="Arial" w:eastAsia="Arial" w:hAnsi="Arial"/>
                <w:sz w:val="18"/>
                <w:szCs w:val="18"/>
                <w:color w:val="auto"/>
                <w:w w:val="93"/>
              </w:rPr>
              <w:t>for impairment</w:t>
            </w:r>
          </w:p>
        </w:tc>
        <w:tc>
          <w:tcPr>
            <w:tcW w:w="16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right w:val="single" w:sz="8" w:color="auto"/>
            </w:tcBorders>
          </w:tcPr>
          <w:p>
            <w:pPr>
              <w:spacing w:after="0"/>
              <w:rPr>
                <w:sz w:val="23"/>
                <w:szCs w:val="23"/>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right w:val="single" w:sz="8" w:color="auto"/>
            </w:tcBorders>
          </w:tcPr>
          <w:p>
            <w:pPr>
              <w:spacing w:after="0"/>
              <w:rPr>
                <w:sz w:val="23"/>
                <w:szCs w:val="23"/>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730</w:t>
            </w:r>
          </w:p>
        </w:tc>
        <w:tc>
          <w:tcPr>
            <w:tcW w:w="140" w:type="dxa"/>
            <w:vAlign w:val="bottom"/>
            <w:tcBorders>
              <w:right w:val="single" w:sz="8" w:color="auto"/>
            </w:tcBorders>
          </w:tcPr>
          <w:p>
            <w:pPr>
              <w:spacing w:after="0"/>
              <w:rPr>
                <w:sz w:val="23"/>
                <w:szCs w:val="23"/>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3,320</w:t>
            </w:r>
          </w:p>
        </w:tc>
        <w:tc>
          <w:tcPr>
            <w:tcW w:w="120" w:type="dxa"/>
            <w:vAlign w:val="bottom"/>
            <w:tcBorders>
              <w:right w:val="single" w:sz="8" w:color="auto"/>
            </w:tcBorders>
          </w:tcPr>
          <w:p>
            <w:pPr>
              <w:spacing w:after="0"/>
              <w:rPr>
                <w:sz w:val="23"/>
                <w:szCs w:val="23"/>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Borders>
              <w:right w:val="single" w:sz="8" w:color="auto"/>
            </w:tcBorders>
          </w:tcPr>
          <w:p>
            <w:pPr>
              <w:spacing w:after="0"/>
              <w:rPr>
                <w:sz w:val="23"/>
                <w:szCs w:val="23"/>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right w:val="single" w:sz="8" w:color="auto"/>
            </w:tcBorders>
          </w:tcPr>
          <w:p>
            <w:pPr>
              <w:spacing w:after="0"/>
              <w:rPr>
                <w:sz w:val="23"/>
                <w:szCs w:val="23"/>
                <w:color w:val="auto"/>
              </w:rPr>
            </w:pP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23"/>
                <w:szCs w:val="23"/>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6,818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720" w:type="dxa"/>
            <w:vAlign w:val="bottom"/>
            <w:tcBorders>
              <w:top w:val="single" w:sz="8" w:color="CFF0FC"/>
            </w:tcBorders>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8"/>
              </w:rPr>
              <w:t>balance:</w:t>
            </w:r>
          </w:p>
        </w:tc>
        <w:tc>
          <w:tcPr>
            <w:tcW w:w="560" w:type="dxa"/>
            <w:vAlign w:val="bottom"/>
            <w:tcBorders>
              <w:top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loans</w:t>
            </w: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left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tcBorders>
              <w:left w:val="single" w:sz="8" w:color="CFF0FC"/>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deteriorated</w:t>
            </w:r>
          </w:p>
        </w:tc>
        <w:tc>
          <w:tcPr>
            <w:tcW w:w="720" w:type="dxa"/>
            <w:vAlign w:val="bottom"/>
            <w:gridSpan w:val="2"/>
            <w:shd w:val="clear" w:color="auto" w:fill="CFF0FC"/>
          </w:tcPr>
          <w:p>
            <w:pPr>
              <w:jc w:val="right"/>
              <w:ind w:right="195"/>
              <w:spacing w:after="0"/>
              <w:rPr>
                <w:sz w:val="20"/>
                <w:szCs w:val="20"/>
                <w:color w:val="auto"/>
              </w:rPr>
            </w:pPr>
            <w:r>
              <w:rPr>
                <w:rFonts w:ascii="Arial" w:cs="Arial" w:eastAsia="Arial" w:hAnsi="Arial"/>
                <w:sz w:val="18"/>
                <w:szCs w:val="18"/>
                <w:color w:val="auto"/>
                <w:w w:val="95"/>
              </w:rPr>
              <w:t>credit</w:t>
            </w: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tcBorders>
              <w:left w:val="single" w:sz="8" w:color="CFF0FC"/>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spacing w:after="0"/>
              <w:rPr>
                <w:sz w:val="20"/>
                <w:szCs w:val="20"/>
                <w:color w:val="auto"/>
              </w:rPr>
            </w:pPr>
            <w:r>
              <w:rPr>
                <w:rFonts w:ascii="Arial" w:cs="Arial" w:eastAsia="Arial" w:hAnsi="Arial"/>
                <w:sz w:val="18"/>
                <w:szCs w:val="18"/>
                <w:color w:val="auto"/>
              </w:rPr>
              <w:t>quality</w:t>
            </w:r>
          </w:p>
        </w:tc>
        <w:tc>
          <w:tcPr>
            <w:tcW w:w="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20" w:type="dxa"/>
            <w:vAlign w:val="bottom"/>
            <w:tcBorders>
              <w:left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1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RECEIVABLES: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8"/>
              </w:rPr>
              <w:t>Ending balance</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158,957</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193,616</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113,906</w:t>
            </w:r>
          </w:p>
        </w:tc>
        <w:tc>
          <w:tcPr>
            <w:tcW w:w="14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442,538</w:t>
            </w:r>
          </w:p>
        </w:tc>
        <w:tc>
          <w:tcPr>
            <w:tcW w:w="120" w:type="dxa"/>
            <w:vAlign w:val="bottom"/>
            <w:tcBorders>
              <w:right w:val="single" w:sz="8" w:color="auto"/>
            </w:tcBorders>
            <w:shd w:val="clear" w:color="auto" w:fill="CFF0FC"/>
          </w:tcPr>
          <w:p>
            <w:pPr>
              <w:spacing w:after="0"/>
              <w:rPr>
                <w:sz w:val="19"/>
                <w:szCs w:val="19"/>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133,014</w:t>
            </w:r>
          </w:p>
        </w:tc>
        <w:tc>
          <w:tcPr>
            <w:tcW w:w="10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49,100</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20" w:type="dxa"/>
            <w:vAlign w:val="bottom"/>
            <w:tcBorders>
              <w:left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1,091,131</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line="195" w:lineRule="exact"/>
              <w:rPr>
                <w:sz w:val="20"/>
                <w:szCs w:val="20"/>
                <w:color w:val="auto"/>
              </w:rPr>
            </w:pPr>
            <w:r>
              <w:rPr>
                <w:rFonts w:ascii="Arial" w:cs="Arial" w:eastAsia="Arial" w:hAnsi="Arial"/>
                <w:sz w:val="18"/>
                <w:szCs w:val="18"/>
                <w:color w:val="auto"/>
              </w:rPr>
              <w:t>Ending</w:t>
            </w:r>
          </w:p>
        </w:tc>
        <w:tc>
          <w:tcPr>
            <w:tcW w:w="560" w:type="dxa"/>
            <w:vAlign w:val="bottom"/>
          </w:tcPr>
          <w:p>
            <w:pPr>
              <w:spacing w:after="0"/>
              <w:rPr>
                <w:sz w:val="17"/>
                <w:szCs w:val="17"/>
                <w:color w:val="auto"/>
              </w:rPr>
            </w:pPr>
          </w:p>
        </w:tc>
        <w:tc>
          <w:tcPr>
            <w:tcW w:w="720" w:type="dxa"/>
            <w:vAlign w:val="bottom"/>
            <w:gridSpan w:val="2"/>
          </w:tcPr>
          <w:p>
            <w:pPr>
              <w:jc w:val="right"/>
              <w:ind w:right="30"/>
              <w:spacing w:after="0" w:line="195" w:lineRule="exact"/>
              <w:rPr>
                <w:sz w:val="20"/>
                <w:szCs w:val="20"/>
                <w:color w:val="auto"/>
              </w:rPr>
            </w:pPr>
            <w:r>
              <w:rPr>
                <w:rFonts w:ascii="Arial" w:cs="Arial" w:eastAsia="Arial" w:hAnsi="Arial"/>
                <w:sz w:val="18"/>
                <w:szCs w:val="18"/>
                <w:color w:val="auto"/>
                <w:w w:val="85"/>
              </w:rPr>
              <w:t>balance:</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gridSpan w:val="5"/>
          </w:tcPr>
          <w:p>
            <w:pPr>
              <w:spacing w:after="0"/>
              <w:rPr>
                <w:sz w:val="20"/>
                <w:szCs w:val="20"/>
                <w:color w:val="auto"/>
              </w:rPr>
            </w:pPr>
            <w:r>
              <w:rPr>
                <w:rFonts w:ascii="Arial" w:cs="Arial" w:eastAsia="Arial" w:hAnsi="Arial"/>
                <w:sz w:val="18"/>
                <w:szCs w:val="18"/>
                <w:color w:val="auto"/>
              </w:rPr>
              <w:t>individually evaluated</w:t>
            </w: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40" w:type="dxa"/>
            <w:vAlign w:val="bottom"/>
            <w:gridSpan w:val="2"/>
          </w:tcPr>
          <w:p>
            <w:pPr>
              <w:ind w:left="140"/>
              <w:spacing w:after="0"/>
              <w:rPr>
                <w:sz w:val="20"/>
                <w:szCs w:val="20"/>
                <w:color w:val="auto"/>
              </w:rPr>
            </w:pPr>
            <w:r>
              <w:rPr>
                <w:rFonts w:ascii="Arial" w:cs="Arial" w:eastAsia="Arial" w:hAnsi="Arial"/>
                <w:sz w:val="18"/>
                <w:szCs w:val="18"/>
                <w:color w:val="auto"/>
                <w:w w:val="93"/>
              </w:rPr>
              <w:t>for impairment</w:t>
            </w:r>
          </w:p>
        </w:tc>
        <w:tc>
          <w:tcPr>
            <w:tcW w:w="16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Borders>
              <w:right w:val="single" w:sz="8" w:color="auto"/>
            </w:tcBorders>
          </w:tcPr>
          <w:p>
            <w:pPr>
              <w:spacing w:after="0"/>
              <w:rPr>
                <w:sz w:val="23"/>
                <w:szCs w:val="23"/>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3"/>
                <w:szCs w:val="23"/>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Borders>
              <w:right w:val="single" w:sz="8" w:color="auto"/>
            </w:tcBorders>
          </w:tcPr>
          <w:p>
            <w:pPr>
              <w:spacing w:after="0"/>
              <w:rPr>
                <w:sz w:val="23"/>
                <w:szCs w:val="23"/>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right w:val="single" w:sz="8" w:color="auto"/>
            </w:tcBorders>
          </w:tcPr>
          <w:p>
            <w:pPr>
              <w:spacing w:after="0"/>
              <w:rPr>
                <w:sz w:val="23"/>
                <w:szCs w:val="23"/>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Borders>
              <w:right w:val="single" w:sz="8" w:color="auto"/>
            </w:tcBorders>
          </w:tcPr>
          <w:p>
            <w:pPr>
              <w:spacing w:after="0"/>
              <w:rPr>
                <w:sz w:val="23"/>
                <w:szCs w:val="23"/>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3"/>
                <w:szCs w:val="23"/>
                <w:color w:val="auto"/>
              </w:rPr>
            </w:pP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2,176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56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5"/>
              </w:rPr>
              <w:t>balance:</w:t>
            </w: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left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tcBorders>
              <w:left w:val="single" w:sz="8" w:color="CFF0FC"/>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3"/>
              </w:rPr>
              <w:t>for impairment</w:t>
            </w:r>
          </w:p>
        </w:tc>
        <w:tc>
          <w:tcPr>
            <w:tcW w:w="16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157,909</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193,616</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113,832</w:t>
            </w: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442,347</w:t>
            </w:r>
          </w:p>
        </w:tc>
        <w:tc>
          <w:tcPr>
            <w:tcW w:w="12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131,848</w:t>
            </w:r>
          </w:p>
        </w:tc>
        <w:tc>
          <w:tcPr>
            <w:tcW w:w="10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49,068</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20" w:type="dxa"/>
            <w:vAlign w:val="bottom"/>
            <w:tcBorders>
              <w:left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1,088,620</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720" w:type="dxa"/>
            <w:vAlign w:val="bottom"/>
            <w:tcBorders>
              <w:top w:val="single" w:sz="8" w:color="CFF0FC"/>
              <w:bottom w:val="single" w:sz="8" w:color="CFF0FC"/>
            </w:tcBorders>
            <w:gridSpan w:val="2"/>
            <w:vMerge w:val="restart"/>
          </w:tcPr>
          <w:p>
            <w:pPr>
              <w:jc w:val="right"/>
              <w:ind w:right="10"/>
              <w:spacing w:after="0"/>
              <w:rPr>
                <w:sz w:val="20"/>
                <w:szCs w:val="20"/>
                <w:color w:val="auto"/>
              </w:rPr>
            </w:pPr>
            <w:r>
              <w:rPr>
                <w:rFonts w:ascii="Arial" w:cs="Arial" w:eastAsia="Arial" w:hAnsi="Arial"/>
                <w:sz w:val="18"/>
                <w:szCs w:val="18"/>
                <w:color w:val="auto"/>
                <w:w w:val="88"/>
              </w:rPr>
              <w:t>balance:</w:t>
            </w:r>
          </w:p>
        </w:tc>
        <w:tc>
          <w:tcPr>
            <w:tcW w:w="56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rPr>
              <w:t>loans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deteriorated</w:t>
            </w:r>
          </w:p>
        </w:tc>
        <w:tc>
          <w:tcPr>
            <w:tcW w:w="720" w:type="dxa"/>
            <w:vAlign w:val="bottom"/>
            <w:gridSpan w:val="2"/>
          </w:tcPr>
          <w:p>
            <w:pPr>
              <w:jc w:val="right"/>
              <w:ind w:right="195"/>
              <w:spacing w:after="0"/>
              <w:rPr>
                <w:sz w:val="20"/>
                <w:szCs w:val="20"/>
                <w:color w:val="auto"/>
              </w:rPr>
            </w:pPr>
            <w:r>
              <w:rPr>
                <w:rFonts w:ascii="Arial" w:cs="Arial" w:eastAsia="Arial" w:hAnsi="Arial"/>
                <w:sz w:val="18"/>
                <w:szCs w:val="18"/>
                <w:color w:val="auto"/>
                <w:w w:val="95"/>
              </w:rPr>
              <w:t>credit</w:t>
            </w: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quality</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right w:val="single" w:sz="8" w:color="auto"/>
            </w:tcBorders>
          </w:tcPr>
          <w:p>
            <w:pPr>
              <w:spacing w:after="0"/>
              <w:rPr>
                <w:sz w:val="20"/>
                <w:szCs w:val="20"/>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right w:val="single" w:sz="8" w:color="auto"/>
            </w:tcBorders>
          </w:tcPr>
          <w:p>
            <w:pPr>
              <w:spacing w:after="0"/>
              <w:rPr>
                <w:sz w:val="20"/>
                <w:szCs w:val="20"/>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right w:val="single" w:sz="8" w:color="auto"/>
            </w:tcBorders>
          </w:tcPr>
          <w:p>
            <w:pPr>
              <w:spacing w:after="0"/>
              <w:rPr>
                <w:sz w:val="20"/>
                <w:szCs w:val="20"/>
                <w:color w:val="auto"/>
              </w:rPr>
            </w:pP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60" w:type="dxa"/>
            <w:vAlign w:val="bottom"/>
            <w:gridSpan w:val="6"/>
          </w:tcPr>
          <w:p>
            <w:pPr>
              <w:ind w:left="600"/>
              <w:spacing w:after="0"/>
              <w:rPr>
                <w:sz w:val="20"/>
                <w:szCs w:val="20"/>
                <w:color w:val="auto"/>
              </w:rPr>
            </w:pPr>
            <w:r>
              <w:rPr>
                <w:rFonts w:ascii="Arial" w:cs="Arial" w:eastAsia="Arial" w:hAnsi="Arial"/>
                <w:sz w:val="18"/>
                <w:szCs w:val="18"/>
                <w:color w:val="auto"/>
                <w:w w:val="97"/>
              </w:rPr>
              <w:t>NOTE 4 LOANS (Continued)</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restart"/>
          </w:tcPr>
          <w:p>
            <w:pPr>
              <w:jc w:val="center"/>
              <w:ind w:right="110"/>
              <w:spacing w:after="0"/>
              <w:rPr>
                <w:sz w:val="20"/>
                <w:szCs w:val="20"/>
                <w:color w:val="auto"/>
              </w:rPr>
            </w:pPr>
            <w:r>
              <w:rPr>
                <w:rFonts w:ascii="Arial" w:cs="Arial" w:eastAsia="Arial" w:hAnsi="Arial"/>
                <w:sz w:val="18"/>
                <w:szCs w:val="18"/>
                <w:color w:val="auto"/>
                <w:w w:val="92"/>
              </w:rPr>
              <w:t>Unfunded</w:t>
            </w: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4"/>
              </w:rPr>
              <w:t>Loan</w:t>
            </w:r>
          </w:p>
        </w:tc>
        <w:tc>
          <w:tcPr>
            <w:tcW w:w="42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color w:val="auto"/>
                <w:w w:val="96"/>
              </w:rPr>
              <w:t>Commitment</w:t>
            </w:r>
          </w:p>
        </w:tc>
        <w:tc>
          <w:tcPr>
            <w:tcW w:w="42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8"/>
                <w:szCs w:val="18"/>
                <w:color w:val="auto"/>
                <w:w w:val="89"/>
              </w:rPr>
              <w:t>Consumer</w:t>
            </w:r>
          </w:p>
        </w:tc>
        <w:tc>
          <w:tcPr>
            <w:tcW w:w="10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Agricultural</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7"/>
              </w:rPr>
              <w:t>Commercial</w:t>
            </w:r>
          </w:p>
        </w:tc>
        <w:tc>
          <w:tcPr>
            <w:tcW w:w="11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42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20" w:type="dxa"/>
            <w:vAlign w:val="bottom"/>
            <w:tcBorders>
              <w:right w:val="single" w:sz="8" w:color="auto"/>
            </w:tcBorders>
            <w:gridSpan w:val="4"/>
          </w:tcPr>
          <w:p>
            <w:pPr>
              <w:ind w:left="900"/>
              <w:spacing w:after="0"/>
              <w:rPr>
                <w:sz w:val="20"/>
                <w:szCs w:val="20"/>
                <w:color w:val="auto"/>
              </w:rPr>
            </w:pPr>
            <w:r>
              <w:rPr>
                <w:rFonts w:ascii="Arial" w:cs="Arial" w:eastAsia="Arial" w:hAnsi="Arial"/>
                <w:sz w:val="18"/>
                <w:szCs w:val="18"/>
                <w:color w:val="auto"/>
                <w:w w:val="94"/>
              </w:rPr>
              <w:t>Real Estate</w:t>
            </w:r>
          </w:p>
        </w:tc>
        <w:tc>
          <w:tcPr>
            <w:tcW w:w="10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8"/>
              </w:rPr>
              <w:t>Real Estate</w:t>
            </w:r>
          </w:p>
        </w:tc>
        <w:tc>
          <w:tcPr>
            <w:tcW w:w="1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Agricultural</w:t>
            </w:r>
          </w:p>
        </w:tc>
        <w:tc>
          <w:tcPr>
            <w:tcW w:w="10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8"/>
              </w:rPr>
              <w:t>Real Estate</w:t>
            </w:r>
          </w:p>
        </w:tc>
        <w:tc>
          <w:tcPr>
            <w:tcW w:w="11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9"/>
              </w:rPr>
              <w:t>and Industrial</w:t>
            </w:r>
          </w:p>
        </w:tc>
        <w:tc>
          <w:tcPr>
            <w:tcW w:w="9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8"/>
              </w:rPr>
              <w:t>Consumer</w:t>
            </w:r>
          </w:p>
        </w:tc>
        <w:tc>
          <w:tcPr>
            <w:tcW w:w="140" w:type="dxa"/>
            <w:vAlign w:val="bottom"/>
          </w:tcPr>
          <w:p>
            <w:pPr>
              <w:spacing w:after="0"/>
              <w:rPr>
                <w:sz w:val="20"/>
                <w:szCs w:val="20"/>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5"/>
              </w:rPr>
              <w:t>Credit</w:t>
            </w:r>
          </w:p>
        </w:tc>
        <w:tc>
          <w:tcPr>
            <w:tcW w:w="106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w w:val="98"/>
              </w:rPr>
              <w:t>Unallocated</w:t>
            </w:r>
          </w:p>
        </w:tc>
        <w:tc>
          <w:tcPr>
            <w:tcW w:w="160" w:type="dxa"/>
            <w:vAlign w:val="bottom"/>
          </w:tcPr>
          <w:p>
            <w:pPr>
              <w:spacing w:after="0"/>
              <w:rPr>
                <w:sz w:val="20"/>
                <w:szCs w:val="20"/>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6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88"/>
              </w:rPr>
              <w:t>Six</w:t>
            </w:r>
          </w:p>
        </w:tc>
        <w:tc>
          <w:tcPr>
            <w:tcW w:w="1140" w:type="dxa"/>
            <w:vAlign w:val="bottom"/>
            <w:tcBorders>
              <w:top w:val="single" w:sz="8" w:color="CFF0FC"/>
            </w:tcBorders>
            <w:gridSpan w:val="2"/>
            <w:shd w:val="clear" w:color="auto" w:fill="CFF0FC"/>
          </w:tcPr>
          <w:p>
            <w:pPr>
              <w:ind w:left="280"/>
              <w:spacing w:after="0" w:line="205" w:lineRule="exact"/>
              <w:rPr>
                <w:sz w:val="20"/>
                <w:szCs w:val="20"/>
                <w:color w:val="auto"/>
              </w:rPr>
            </w:pPr>
            <w:r>
              <w:rPr>
                <w:rFonts w:ascii="Arial" w:cs="Arial" w:eastAsia="Arial" w:hAnsi="Arial"/>
                <w:sz w:val="18"/>
                <w:szCs w:val="18"/>
                <w:b w:val="1"/>
                <w:bCs w:val="1"/>
                <w:color w:val="auto"/>
              </w:rPr>
              <w:t>Months</w:t>
            </w:r>
          </w:p>
        </w:tc>
        <w:tc>
          <w:tcPr>
            <w:tcW w:w="900" w:type="dxa"/>
            <w:vAlign w:val="bottom"/>
            <w:tcBorders>
              <w:top w:val="single" w:sz="8" w:color="CFF0FC"/>
            </w:tcBorders>
            <w:shd w:val="clear" w:color="auto" w:fill="CFF0FC"/>
          </w:tcPr>
          <w:p>
            <w:pPr>
              <w:jc w:val="right"/>
              <w:ind w:right="270"/>
              <w:spacing w:after="0" w:line="205" w:lineRule="exact"/>
              <w:rPr>
                <w:sz w:val="20"/>
                <w:szCs w:val="20"/>
                <w:color w:val="auto"/>
              </w:rPr>
            </w:pPr>
            <w:r>
              <w:rPr>
                <w:rFonts w:ascii="Arial" w:cs="Arial" w:eastAsia="Arial" w:hAnsi="Arial"/>
                <w:sz w:val="18"/>
                <w:szCs w:val="18"/>
                <w:b w:val="1"/>
                <w:bCs w:val="1"/>
                <w:color w:val="auto"/>
                <w:w w:val="94"/>
              </w:rPr>
              <w:t>Ended</w:t>
            </w:r>
          </w:p>
        </w:tc>
        <w:tc>
          <w:tcPr>
            <w:tcW w:w="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right w:val="single" w:sz="8" w:color="CFF0FC"/>
            </w:tcBorders>
            <w:shd w:val="clear" w:color="auto" w:fill="CFF0FC"/>
          </w:tcPr>
          <w:p>
            <w:pPr>
              <w:spacing w:after="0"/>
              <w:rPr>
                <w:sz w:val="17"/>
                <w:szCs w:val="17"/>
                <w:color w:val="auto"/>
              </w:rPr>
            </w:pPr>
          </w:p>
        </w:tc>
        <w:tc>
          <w:tcPr>
            <w:tcW w:w="420" w:type="dxa"/>
            <w:vAlign w:val="bottom"/>
            <w:tcBorders>
              <w:top w:val="single" w:sz="8" w:color="auto"/>
              <w:left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June 30, 2018</w:t>
            </w: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tcBorders>
              <w:right w:val="single" w:sz="8" w:color="CFF0FC"/>
            </w:tcBorders>
            <w:shd w:val="clear" w:color="auto" w:fill="CFF0FC"/>
          </w:tcPr>
          <w:p>
            <w:pPr>
              <w:spacing w:after="0"/>
              <w:rPr>
                <w:sz w:val="20"/>
                <w:szCs w:val="20"/>
                <w:color w:val="auto"/>
              </w:rPr>
            </w:pPr>
          </w:p>
        </w:tc>
        <w:tc>
          <w:tcPr>
            <w:tcW w:w="420" w:type="dxa"/>
            <w:vAlign w:val="bottom"/>
            <w:tcBorders>
              <w:left w:val="single" w:sz="8" w:color="auto"/>
            </w:tcBorders>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ALLOWANCE</w:t>
            </w:r>
          </w:p>
        </w:tc>
        <w:tc>
          <w:tcPr>
            <w:tcW w:w="11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FOR</w:t>
            </w: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gridSpan w:val="5"/>
          </w:tcPr>
          <w:p>
            <w:pPr>
              <w:spacing w:after="0"/>
              <w:rPr>
                <w:sz w:val="20"/>
                <w:szCs w:val="20"/>
                <w:color w:val="auto"/>
              </w:rPr>
            </w:pPr>
            <w:r>
              <w:rPr>
                <w:rFonts w:ascii="Arial" w:cs="Arial" w:eastAsia="Arial" w:hAnsi="Arial"/>
                <w:sz w:val="18"/>
                <w:szCs w:val="18"/>
                <w:b w:val="1"/>
                <w:bCs w:val="1"/>
                <w:color w:val="auto"/>
              </w:rPr>
              <w:t>CREDIT LOSSES:</w:t>
            </w:r>
          </w:p>
        </w:tc>
        <w:tc>
          <w:tcPr>
            <w:tcW w:w="6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3"/>
              </w:rPr>
              <w:t>Beginning balance</w:t>
            </w:r>
          </w:p>
        </w:tc>
        <w:tc>
          <w:tcPr>
            <w:tcW w:w="110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right w:val="single" w:sz="8" w:color="auto"/>
            </w:tcBorders>
            <w:shd w:val="clear" w:color="auto" w:fill="CFF0FC"/>
          </w:tcPr>
          <w:p>
            <w:pPr>
              <w:spacing w:after="0"/>
              <w:rPr>
                <w:sz w:val="21"/>
                <w:szCs w:val="21"/>
                <w:color w:val="auto"/>
              </w:rPr>
            </w:pPr>
          </w:p>
        </w:tc>
        <w:tc>
          <w:tcPr>
            <w:tcW w:w="3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w:t>
            </w:r>
          </w:p>
        </w:tc>
        <w:tc>
          <w:tcPr>
            <w:tcW w:w="100" w:type="dxa"/>
            <w:vAlign w:val="bottom"/>
            <w:tcBorders>
              <w:right w:val="single" w:sz="8" w:color="auto"/>
            </w:tcBorders>
            <w:shd w:val="clear" w:color="auto" w:fill="CFF0FC"/>
          </w:tcPr>
          <w:p>
            <w:pPr>
              <w:spacing w:after="0"/>
              <w:rPr>
                <w:sz w:val="21"/>
                <w:szCs w:val="21"/>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12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Borders>
              <w:right w:val="single" w:sz="8" w:color="auto"/>
            </w:tcBorders>
            <w:shd w:val="clear" w:color="auto" w:fill="CFF0FC"/>
          </w:tcPr>
          <w:p>
            <w:pPr>
              <w:spacing w:after="0"/>
              <w:rPr>
                <w:sz w:val="21"/>
                <w:szCs w:val="21"/>
                <w:color w:val="auto"/>
              </w:rPr>
            </w:pP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42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right w:val="single" w:sz="8" w:color="auto"/>
            </w:tcBorders>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7,095</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Charge Offs</w:t>
            </w: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1"/>
                <w:szCs w:val="21"/>
                <w:color w:val="auto"/>
              </w:rPr>
            </w:pPr>
          </w:p>
        </w:tc>
        <w:tc>
          <w:tcPr>
            <w:tcW w:w="8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7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Recoveries</w:t>
            </w: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right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rPr>
              <w:t>Provision (Credit)</w:t>
            </w:r>
          </w:p>
        </w:tc>
        <w:tc>
          <w:tcPr>
            <w:tcW w:w="7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Arial" w:cs="Arial" w:eastAsia="Arial" w:hAnsi="Arial"/>
                <w:sz w:val="18"/>
                <w:szCs w:val="18"/>
                <w:color w:val="auto"/>
                <w:w w:val="93"/>
              </w:rPr>
              <w:t>Other</w:t>
            </w:r>
          </w:p>
        </w:tc>
        <w:tc>
          <w:tcPr>
            <w:tcW w:w="1800" w:type="dxa"/>
            <w:vAlign w:val="bottom"/>
            <w:gridSpan w:val="3"/>
            <w:shd w:val="clear" w:color="auto" w:fill="CFF0FC"/>
          </w:tcPr>
          <w:p>
            <w:pPr>
              <w:jc w:val="right"/>
              <w:ind w:right="470"/>
              <w:spacing w:after="0"/>
              <w:rPr>
                <w:sz w:val="20"/>
                <w:szCs w:val="20"/>
                <w:color w:val="auto"/>
              </w:rPr>
            </w:pPr>
            <w:r>
              <w:rPr>
                <w:rFonts w:ascii="Arial" w:cs="Arial" w:eastAsia="Arial" w:hAnsi="Arial"/>
                <w:sz w:val="18"/>
                <w:szCs w:val="18"/>
                <w:color w:val="auto"/>
              </w:rPr>
              <w:t>Non-interest</w:t>
            </w:r>
          </w:p>
        </w:tc>
        <w:tc>
          <w:tcPr>
            <w:tcW w:w="6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FF0FC"/>
          </w:tcPr>
          <w:p>
            <w:pPr>
              <w:spacing w:after="0"/>
              <w:rPr>
                <w:sz w:val="18"/>
                <w:szCs w:val="18"/>
                <w:color w:val="auto"/>
              </w:rPr>
            </w:pPr>
          </w:p>
        </w:tc>
        <w:tc>
          <w:tcPr>
            <w:tcW w:w="224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expense related to</w:t>
            </w:r>
          </w:p>
        </w:tc>
        <w:tc>
          <w:tcPr>
            <w:tcW w:w="6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unfunded</w:t>
            </w:r>
          </w:p>
        </w:tc>
        <w:tc>
          <w:tcPr>
            <w:tcW w:w="90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420" w:type="dxa"/>
            <w:vAlign w:val="bottom"/>
            <w:tcBorders>
              <w:left w:val="single" w:sz="8" w:color="auto"/>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gridSpan w:val="3"/>
          </w:tcPr>
          <w:p>
            <w:pPr>
              <w:spacing w:after="0"/>
              <w:rPr>
                <w:sz w:val="20"/>
                <w:szCs w:val="20"/>
                <w:color w:val="auto"/>
              </w:rPr>
            </w:pPr>
            <w:r>
              <w:rPr>
                <w:rFonts w:ascii="Arial" w:cs="Arial" w:eastAsia="Arial" w:hAnsi="Arial"/>
                <w:sz w:val="18"/>
                <w:szCs w:val="18"/>
                <w:color w:val="auto"/>
              </w:rPr>
              <w:t>Ending Balance</w:t>
            </w:r>
          </w:p>
        </w:tc>
        <w:tc>
          <w:tcPr>
            <w:tcW w:w="11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right w:val="single" w:sz="8" w:color="auto"/>
            </w:tcBorders>
          </w:tcPr>
          <w:p>
            <w:pPr>
              <w:spacing w:after="0"/>
              <w:rPr>
                <w:sz w:val="24"/>
                <w:szCs w:val="24"/>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right w:val="single" w:sz="8" w:color="auto"/>
            </w:tcBorders>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Borders>
              <w:right w:val="single" w:sz="8" w:color="auto"/>
            </w:tcBorders>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3,260</w:t>
            </w:r>
          </w:p>
        </w:tc>
        <w:tc>
          <w:tcPr>
            <w:tcW w:w="100" w:type="dxa"/>
            <w:vAlign w:val="bottom"/>
            <w:tcBorders>
              <w:right w:val="single" w:sz="8" w:color="auto"/>
            </w:tcBorders>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Borders>
              <w:right w:val="single" w:sz="8" w:color="auto"/>
            </w:tcBorders>
          </w:tcPr>
          <w:p>
            <w:pPr>
              <w:spacing w:after="0"/>
              <w:rPr>
                <w:sz w:val="24"/>
                <w:szCs w:val="24"/>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Borders>
              <w:right w:val="single" w:sz="8" w:color="auto"/>
            </w:tcBorders>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315</w:t>
            </w:r>
          </w:p>
        </w:tc>
        <w:tc>
          <w:tcPr>
            <w:tcW w:w="4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right w:val="single" w:sz="8" w:color="auto"/>
            </w:tcBorders>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1600" w:type="dxa"/>
            <w:vAlign w:val="bottom"/>
            <w:tcBorders>
              <w:top w:val="single" w:sz="8" w:color="CFF0FC"/>
            </w:tcBorders>
            <w:gridSpan w:val="2"/>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rPr>
              <w:t>balance:</w:t>
            </w:r>
          </w:p>
        </w:tc>
        <w:tc>
          <w:tcPr>
            <w:tcW w:w="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right w:val="single" w:sz="8" w:color="CFF0FC"/>
            </w:tcBorders>
            <w:shd w:val="clear" w:color="auto" w:fill="CFF0FC"/>
          </w:tcPr>
          <w:p>
            <w:pPr>
              <w:spacing w:after="0"/>
              <w:rPr>
                <w:sz w:val="17"/>
                <w:szCs w:val="17"/>
                <w:color w:val="auto"/>
              </w:rPr>
            </w:pPr>
          </w:p>
        </w:tc>
        <w:tc>
          <w:tcPr>
            <w:tcW w:w="420" w:type="dxa"/>
            <w:vAlign w:val="bottom"/>
            <w:tcBorders>
              <w:top w:val="single" w:sz="8" w:color="auto"/>
              <w:left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6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110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FF0FC"/>
            </w:tcBorders>
            <w:gridSpan w:val="2"/>
          </w:tcPr>
          <w:p>
            <w:pPr>
              <w:spacing w:after="0" w:line="20" w:lineRule="exact"/>
              <w:rPr>
                <w:sz w:val="1"/>
                <w:szCs w:val="1"/>
                <w:color w:val="auto"/>
              </w:rPr>
            </w:pPr>
          </w:p>
        </w:tc>
        <w:tc>
          <w:tcPr>
            <w:tcW w:w="1600" w:type="dxa"/>
            <w:vAlign w:val="bottom"/>
            <w:tcBorders>
              <w:top w:val="single" w:sz="8" w:color="CFF0FC"/>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Ending</w:t>
            </w:r>
          </w:p>
        </w:tc>
        <w:tc>
          <w:tcPr>
            <w:tcW w:w="1600" w:type="dxa"/>
            <w:vAlign w:val="bottom"/>
            <w:gridSpan w:val="2"/>
          </w:tcPr>
          <w:p>
            <w:pPr>
              <w:jc w:val="right"/>
              <w:ind w:right="270"/>
              <w:spacing w:after="0" w:line="196" w:lineRule="exact"/>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gridSpan w:val="5"/>
          </w:tcPr>
          <w:p>
            <w:pPr>
              <w:spacing w:after="0"/>
              <w:rPr>
                <w:sz w:val="20"/>
                <w:szCs w:val="20"/>
                <w:color w:val="auto"/>
              </w:rPr>
            </w:pPr>
            <w:r>
              <w:rPr>
                <w:rFonts w:ascii="Arial" w:cs="Arial" w:eastAsia="Arial" w:hAnsi="Arial"/>
                <w:sz w:val="18"/>
                <w:szCs w:val="18"/>
                <w:color w:val="auto"/>
              </w:rPr>
              <w:t>collectively evaluated</w:t>
            </w: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00" w:type="dxa"/>
            <w:vAlign w:val="bottom"/>
            <w:gridSpan w:val="3"/>
          </w:tcPr>
          <w:p>
            <w:pPr>
              <w:ind w:left="140"/>
              <w:spacing w:after="0"/>
              <w:rPr>
                <w:sz w:val="20"/>
                <w:szCs w:val="20"/>
                <w:color w:val="auto"/>
              </w:rPr>
            </w:pPr>
            <w:r>
              <w:rPr>
                <w:rFonts w:ascii="Arial" w:cs="Arial" w:eastAsia="Arial" w:hAnsi="Arial"/>
                <w:sz w:val="18"/>
                <w:szCs w:val="18"/>
                <w:color w:val="auto"/>
              </w:rPr>
              <w:t>for impairment</w:t>
            </w:r>
          </w:p>
        </w:tc>
        <w:tc>
          <w:tcPr>
            <w:tcW w:w="11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right w:val="single" w:sz="8" w:color="auto"/>
            </w:tcBorders>
          </w:tcPr>
          <w:p>
            <w:pPr>
              <w:spacing w:after="0"/>
              <w:rPr>
                <w:sz w:val="23"/>
                <w:szCs w:val="23"/>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right w:val="single" w:sz="8" w:color="auto"/>
            </w:tcBorders>
          </w:tcPr>
          <w:p>
            <w:pPr>
              <w:spacing w:after="0"/>
              <w:rPr>
                <w:sz w:val="23"/>
                <w:szCs w:val="23"/>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3,260</w:t>
            </w:r>
          </w:p>
        </w:tc>
        <w:tc>
          <w:tcPr>
            <w:tcW w:w="100" w:type="dxa"/>
            <w:vAlign w:val="bottom"/>
            <w:tcBorders>
              <w:right w:val="single" w:sz="8" w:color="auto"/>
            </w:tcBorders>
          </w:tcPr>
          <w:p>
            <w:pPr>
              <w:spacing w:after="0"/>
              <w:rPr>
                <w:sz w:val="23"/>
                <w:szCs w:val="23"/>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1,334</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Borders>
              <w:right w:val="single" w:sz="8" w:color="auto"/>
            </w:tcBorders>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315</w:t>
            </w:r>
          </w:p>
        </w:tc>
        <w:tc>
          <w:tcPr>
            <w:tcW w:w="4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right w:val="single" w:sz="8" w:color="auto"/>
            </w:tcBorders>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6,972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700" w:type="dxa"/>
            <w:vAlign w:val="bottom"/>
            <w:tcBorders>
              <w:top w:val="single" w:sz="8" w:color="CFF0FC"/>
            </w:tcBorders>
            <w:shd w:val="clear" w:color="auto" w:fill="CFF0FC"/>
          </w:tcPr>
          <w:p>
            <w:pPr>
              <w:ind w:left="40"/>
              <w:spacing w:after="0" w:line="196" w:lineRule="exact"/>
              <w:rPr>
                <w:sz w:val="20"/>
                <w:szCs w:val="20"/>
                <w:color w:val="auto"/>
              </w:rPr>
            </w:pPr>
            <w:r>
              <w:rPr>
                <w:rFonts w:ascii="Arial" w:cs="Arial" w:eastAsia="Arial" w:hAnsi="Arial"/>
                <w:sz w:val="18"/>
                <w:szCs w:val="18"/>
                <w:color w:val="auto"/>
                <w:w w:val="93"/>
              </w:rPr>
              <w:t>balance:</w:t>
            </w:r>
          </w:p>
        </w:tc>
        <w:tc>
          <w:tcPr>
            <w:tcW w:w="900" w:type="dxa"/>
            <w:vAlign w:val="bottom"/>
            <w:tcBorders>
              <w:top w:val="single" w:sz="8" w:color="CFF0FC"/>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rPr>
              <w:t>loans</w:t>
            </w:r>
          </w:p>
        </w:tc>
        <w:tc>
          <w:tcPr>
            <w:tcW w:w="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right w:val="single" w:sz="8" w:color="CFF0FC"/>
            </w:tcBorders>
            <w:shd w:val="clear" w:color="auto" w:fill="CFF0FC"/>
          </w:tcPr>
          <w:p>
            <w:pPr>
              <w:spacing w:after="0"/>
              <w:rPr>
                <w:sz w:val="17"/>
                <w:szCs w:val="17"/>
                <w:color w:val="auto"/>
              </w:rPr>
            </w:pPr>
          </w:p>
        </w:tc>
        <w:tc>
          <w:tcPr>
            <w:tcW w:w="420" w:type="dxa"/>
            <w:vAlign w:val="bottom"/>
            <w:tcBorders>
              <w:top w:val="single" w:sz="8" w:color="auto"/>
              <w:left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acquired with</w:t>
            </w: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1"/>
              </w:rPr>
              <w:t>deteriorated</w:t>
            </w:r>
          </w:p>
        </w:tc>
        <w:tc>
          <w:tcPr>
            <w:tcW w:w="110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credit</w:t>
            </w:r>
          </w:p>
        </w:tc>
        <w:tc>
          <w:tcPr>
            <w:tcW w:w="6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quality</w:t>
            </w:r>
          </w:p>
        </w:tc>
        <w:tc>
          <w:tcPr>
            <w:tcW w:w="7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8"/>
                <w:szCs w:val="18"/>
                <w:b w:val="1"/>
                <w:bCs w:val="1"/>
                <w:color w:val="auto"/>
              </w:rPr>
              <w:t>FINANCING</w:t>
            </w:r>
          </w:p>
        </w:tc>
        <w:tc>
          <w:tcPr>
            <w:tcW w:w="9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400" w:type="dxa"/>
            <w:vAlign w:val="bottom"/>
            <w:gridSpan w:val="3"/>
            <w:vMerge w:val="continue"/>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RECEIVABLES:</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10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82,368</w:t>
            </w:r>
          </w:p>
        </w:tc>
        <w:tc>
          <w:tcPr>
            <w:tcW w:w="100" w:type="dxa"/>
            <w:vAlign w:val="bottom"/>
            <w:tcBorders>
              <w:right w:val="single" w:sz="8" w:color="auto"/>
            </w:tcBorders>
            <w:shd w:val="clear" w:color="auto" w:fill="CFF0FC"/>
          </w:tcPr>
          <w:p>
            <w:pPr>
              <w:spacing w:after="0"/>
              <w:rPr>
                <w:sz w:val="21"/>
                <w:szCs w:val="21"/>
                <w:color w:val="auto"/>
              </w:rPr>
            </w:pPr>
          </w:p>
        </w:tc>
        <w:tc>
          <w:tcPr>
            <w:tcW w:w="3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69,676</w:t>
            </w:r>
          </w:p>
        </w:tc>
        <w:tc>
          <w:tcPr>
            <w:tcW w:w="10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104,980</w:t>
            </w:r>
          </w:p>
        </w:tc>
        <w:tc>
          <w:tcPr>
            <w:tcW w:w="12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410,886</w:t>
            </w:r>
          </w:p>
        </w:tc>
        <w:tc>
          <w:tcPr>
            <w:tcW w:w="100" w:type="dxa"/>
            <w:vAlign w:val="bottom"/>
            <w:tcBorders>
              <w:right w:val="single" w:sz="8" w:color="auto"/>
            </w:tcBorders>
            <w:shd w:val="clear" w:color="auto" w:fill="CFF0FC"/>
          </w:tcPr>
          <w:p>
            <w:pPr>
              <w:spacing w:after="0"/>
              <w:rPr>
                <w:sz w:val="21"/>
                <w:szCs w:val="21"/>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122,510</w:t>
            </w:r>
          </w:p>
        </w:tc>
        <w:tc>
          <w:tcPr>
            <w:tcW w:w="12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40,595</w:t>
            </w:r>
          </w:p>
        </w:tc>
        <w:tc>
          <w:tcPr>
            <w:tcW w:w="120" w:type="dxa"/>
            <w:vAlign w:val="bottom"/>
            <w:tcBorders>
              <w:right w:val="single" w:sz="8" w:color="auto"/>
            </w:tcBorders>
            <w:shd w:val="clear" w:color="auto" w:fill="CFF0FC"/>
          </w:tcPr>
          <w:p>
            <w:pPr>
              <w:spacing w:after="0"/>
              <w:rPr>
                <w:sz w:val="21"/>
                <w:szCs w:val="21"/>
                <w:color w:val="auto"/>
              </w:rPr>
            </w:pP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831,015</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FF0FC"/>
            </w:tcBorders>
            <w:gridSpan w:val="2"/>
          </w:tcPr>
          <w:p>
            <w:pPr>
              <w:spacing w:after="0" w:line="20" w:lineRule="exact"/>
              <w:rPr>
                <w:sz w:val="1"/>
                <w:szCs w:val="1"/>
                <w:color w:val="auto"/>
              </w:rPr>
            </w:pPr>
          </w:p>
        </w:tc>
        <w:tc>
          <w:tcPr>
            <w:tcW w:w="1600" w:type="dxa"/>
            <w:vAlign w:val="bottom"/>
            <w:tcBorders>
              <w:top w:val="single" w:sz="8" w:color="CFF0FC"/>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Ending</w:t>
            </w:r>
          </w:p>
        </w:tc>
        <w:tc>
          <w:tcPr>
            <w:tcW w:w="1600" w:type="dxa"/>
            <w:vAlign w:val="bottom"/>
            <w:gridSpan w:val="2"/>
          </w:tcPr>
          <w:p>
            <w:pPr>
              <w:jc w:val="right"/>
              <w:ind w:right="270"/>
              <w:spacing w:after="0" w:line="196" w:lineRule="exact"/>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gridSpan w:val="5"/>
          </w:tcPr>
          <w:p>
            <w:pPr>
              <w:spacing w:after="0"/>
              <w:rPr>
                <w:sz w:val="20"/>
                <w:szCs w:val="20"/>
                <w:color w:val="auto"/>
              </w:rPr>
            </w:pPr>
            <w:r>
              <w:rPr>
                <w:rFonts w:ascii="Arial" w:cs="Arial" w:eastAsia="Arial" w:hAnsi="Arial"/>
                <w:sz w:val="18"/>
                <w:szCs w:val="18"/>
                <w:color w:val="auto"/>
              </w:rPr>
              <w:t>individually evaluated</w:t>
            </w: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00" w:type="dxa"/>
            <w:vAlign w:val="bottom"/>
            <w:gridSpan w:val="3"/>
          </w:tcPr>
          <w:p>
            <w:pPr>
              <w:ind w:left="140"/>
              <w:spacing w:after="0"/>
              <w:rPr>
                <w:sz w:val="20"/>
                <w:szCs w:val="20"/>
                <w:color w:val="auto"/>
              </w:rPr>
            </w:pPr>
            <w:r>
              <w:rPr>
                <w:rFonts w:ascii="Arial" w:cs="Arial" w:eastAsia="Arial" w:hAnsi="Arial"/>
                <w:sz w:val="18"/>
                <w:szCs w:val="18"/>
                <w:color w:val="auto"/>
              </w:rPr>
              <w:t>for impairment</w:t>
            </w:r>
          </w:p>
        </w:tc>
        <w:tc>
          <w:tcPr>
            <w:tcW w:w="11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right w:val="single" w:sz="8" w:color="auto"/>
            </w:tcBorders>
          </w:tcPr>
          <w:p>
            <w:pPr>
              <w:spacing w:after="0"/>
              <w:rPr>
                <w:sz w:val="23"/>
                <w:szCs w:val="23"/>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3"/>
                <w:szCs w:val="23"/>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right w:val="single" w:sz="8" w:color="auto"/>
            </w:tcBorders>
          </w:tcPr>
          <w:p>
            <w:pPr>
              <w:spacing w:after="0"/>
              <w:rPr>
                <w:sz w:val="23"/>
                <w:szCs w:val="23"/>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1,452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1600" w:type="dxa"/>
            <w:vAlign w:val="bottom"/>
            <w:tcBorders>
              <w:top w:val="single" w:sz="8" w:color="CFF0FC"/>
            </w:tcBorders>
            <w:gridSpan w:val="2"/>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rPr>
              <w:t>balance:</w:t>
            </w:r>
          </w:p>
        </w:tc>
        <w:tc>
          <w:tcPr>
            <w:tcW w:w="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right w:val="single" w:sz="8" w:color="CFF0FC"/>
            </w:tcBorders>
            <w:shd w:val="clear" w:color="auto" w:fill="CFF0FC"/>
          </w:tcPr>
          <w:p>
            <w:pPr>
              <w:spacing w:after="0"/>
              <w:rPr>
                <w:sz w:val="17"/>
                <w:szCs w:val="17"/>
                <w:color w:val="auto"/>
              </w:rPr>
            </w:pPr>
          </w:p>
        </w:tc>
        <w:tc>
          <w:tcPr>
            <w:tcW w:w="420" w:type="dxa"/>
            <w:vAlign w:val="bottom"/>
            <w:tcBorders>
              <w:top w:val="single" w:sz="8" w:color="auto"/>
              <w:left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6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110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81,389</w:t>
            </w:r>
          </w:p>
        </w:tc>
        <w:tc>
          <w:tcPr>
            <w:tcW w:w="10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69,676</w:t>
            </w:r>
          </w:p>
        </w:tc>
        <w:tc>
          <w:tcPr>
            <w:tcW w:w="10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104,980</w:t>
            </w:r>
          </w:p>
        </w:tc>
        <w:tc>
          <w:tcPr>
            <w:tcW w:w="12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410,688</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122,116</w:t>
            </w:r>
          </w:p>
        </w:tc>
        <w:tc>
          <w:tcPr>
            <w:tcW w:w="12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40,595</w:t>
            </w:r>
          </w:p>
        </w:tc>
        <w:tc>
          <w:tcPr>
            <w:tcW w:w="120" w:type="dxa"/>
            <w:vAlign w:val="bottom"/>
            <w:tcBorders>
              <w:right w:val="single" w:sz="8" w:color="auto"/>
            </w:tcBorders>
            <w:shd w:val="clear" w:color="auto" w:fill="CFF0FC"/>
          </w:tcPr>
          <w:p>
            <w:pPr>
              <w:spacing w:after="0"/>
              <w:rPr>
                <w:sz w:val="20"/>
                <w:szCs w:val="20"/>
                <w:color w:val="auto"/>
              </w:rPr>
            </w:pP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829,444</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Ending</w:t>
            </w:r>
          </w:p>
        </w:tc>
        <w:tc>
          <w:tcPr>
            <w:tcW w:w="700" w:type="dxa"/>
            <w:vAlign w:val="bottom"/>
            <w:tcBorders>
              <w:top w:val="single" w:sz="8" w:color="CFF0FC"/>
              <w:bottom w:val="single" w:sz="8" w:color="CFF0FC"/>
            </w:tcBorders>
            <w:vMerge w:val="restart"/>
          </w:tcPr>
          <w:p>
            <w:pPr>
              <w:ind w:left="40"/>
              <w:spacing w:after="0"/>
              <w:rPr>
                <w:sz w:val="20"/>
                <w:szCs w:val="20"/>
                <w:color w:val="auto"/>
              </w:rPr>
            </w:pPr>
            <w:r>
              <w:rPr>
                <w:rFonts w:ascii="Arial" w:cs="Arial" w:eastAsia="Arial" w:hAnsi="Arial"/>
                <w:sz w:val="18"/>
                <w:szCs w:val="18"/>
                <w:color w:val="auto"/>
                <w:w w:val="93"/>
              </w:rPr>
              <w:t>balance:</w:t>
            </w:r>
          </w:p>
        </w:tc>
        <w:tc>
          <w:tcPr>
            <w:tcW w:w="900" w:type="dxa"/>
            <w:vAlign w:val="bottom"/>
            <w:tcBorders>
              <w:top w:val="single" w:sz="8" w:color="CFF0FC"/>
              <w:bottom w:val="single" w:sz="8" w:color="CFF0FC"/>
            </w:tcBorders>
            <w:vMerge w:val="restart"/>
          </w:tcPr>
          <w:p>
            <w:pPr>
              <w:jc w:val="right"/>
              <w:ind w:right="270"/>
              <w:spacing w:after="0"/>
              <w:rPr>
                <w:sz w:val="20"/>
                <w:szCs w:val="20"/>
                <w:color w:val="auto"/>
              </w:rPr>
            </w:pPr>
            <w:r>
              <w:rPr>
                <w:rFonts w:ascii="Arial" w:cs="Arial" w:eastAsia="Arial" w:hAnsi="Arial"/>
                <w:sz w:val="18"/>
                <w:szCs w:val="18"/>
                <w:color w:val="auto"/>
              </w:rPr>
              <w:t>loans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gridSpan w:val="3"/>
          </w:tcPr>
          <w:p>
            <w:pPr>
              <w:spacing w:after="0"/>
              <w:rPr>
                <w:sz w:val="20"/>
                <w:szCs w:val="20"/>
                <w:color w:val="auto"/>
              </w:rPr>
            </w:pPr>
            <w:r>
              <w:rPr>
                <w:rFonts w:ascii="Arial" w:cs="Arial" w:eastAsia="Arial" w:hAnsi="Arial"/>
                <w:sz w:val="18"/>
                <w:szCs w:val="18"/>
                <w:color w:val="auto"/>
              </w:rPr>
              <w:t>acquired with</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w w:val="91"/>
              </w:rPr>
              <w:t>deteriorated</w:t>
            </w:r>
          </w:p>
        </w:tc>
        <w:tc>
          <w:tcPr>
            <w:tcW w:w="1100" w:type="dxa"/>
            <w:vAlign w:val="bottom"/>
            <w:gridSpan w:val="2"/>
          </w:tcPr>
          <w:p>
            <w:pPr>
              <w:jc w:val="right"/>
              <w:ind w:right="470"/>
              <w:spacing w:after="0"/>
              <w:rPr>
                <w:sz w:val="20"/>
                <w:szCs w:val="20"/>
                <w:color w:val="auto"/>
              </w:rPr>
            </w:pPr>
            <w:r>
              <w:rPr>
                <w:rFonts w:ascii="Arial" w:cs="Arial" w:eastAsia="Arial" w:hAnsi="Arial"/>
                <w:sz w:val="18"/>
                <w:szCs w:val="18"/>
                <w:color w:val="auto"/>
              </w:rPr>
              <w:t>credit</w:t>
            </w: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gridSpan w:val="2"/>
          </w:tcPr>
          <w:p>
            <w:pPr>
              <w:spacing w:after="0"/>
              <w:rPr>
                <w:sz w:val="20"/>
                <w:szCs w:val="20"/>
                <w:color w:val="auto"/>
              </w:rPr>
            </w:pPr>
            <w:r>
              <w:rPr>
                <w:rFonts w:ascii="Arial" w:cs="Arial" w:eastAsia="Arial" w:hAnsi="Arial"/>
                <w:sz w:val="18"/>
                <w:szCs w:val="18"/>
                <w:color w:val="auto"/>
              </w:rPr>
              <w:t>quality</w:t>
            </w:r>
          </w:p>
        </w:tc>
        <w:tc>
          <w:tcPr>
            <w:tcW w:w="700" w:type="dxa"/>
            <w:vAlign w:val="bottom"/>
          </w:tcPr>
          <w:p>
            <w:pPr>
              <w:spacing w:after="0"/>
              <w:rPr>
                <w:sz w:val="20"/>
                <w:szCs w:val="20"/>
                <w:color w:val="auto"/>
              </w:rPr>
            </w:pPr>
          </w:p>
        </w:tc>
        <w:tc>
          <w:tcPr>
            <w:tcW w:w="11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right w:val="single" w:sz="8" w:color="auto"/>
            </w:tcBorders>
          </w:tcPr>
          <w:p>
            <w:pPr>
              <w:spacing w:after="0"/>
              <w:rPr>
                <w:sz w:val="20"/>
                <w:szCs w:val="20"/>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60" w:type="dxa"/>
            <w:vAlign w:val="bottom"/>
            <w:shd w:val="clear" w:color="auto" w:fill="D9D9D9"/>
          </w:tcPr>
          <w:p>
            <w:pPr>
              <w:spacing w:after="0"/>
              <w:rPr>
                <w:sz w:val="8"/>
                <w:szCs w:val="8"/>
                <w:color w:val="auto"/>
              </w:rPr>
            </w:pPr>
          </w:p>
        </w:tc>
        <w:tc>
          <w:tcPr>
            <w:tcW w:w="440" w:type="dxa"/>
            <w:vAlign w:val="bottom"/>
            <w:shd w:val="clear" w:color="auto" w:fill="D9D9D9"/>
          </w:tcPr>
          <w:p>
            <w:pPr>
              <w:spacing w:after="0"/>
              <w:rPr>
                <w:sz w:val="8"/>
                <w:szCs w:val="8"/>
                <w:color w:val="auto"/>
              </w:rPr>
            </w:pPr>
          </w:p>
        </w:tc>
        <w:tc>
          <w:tcPr>
            <w:tcW w:w="700" w:type="dxa"/>
            <w:vAlign w:val="bottom"/>
            <w:shd w:val="clear" w:color="auto" w:fill="D9D9D9"/>
          </w:tcPr>
          <w:p>
            <w:pPr>
              <w:spacing w:after="0"/>
              <w:rPr>
                <w:sz w:val="8"/>
                <w:szCs w:val="8"/>
                <w:color w:val="auto"/>
              </w:rPr>
            </w:pPr>
          </w:p>
        </w:tc>
        <w:tc>
          <w:tcPr>
            <w:tcW w:w="900" w:type="dxa"/>
            <w:vAlign w:val="bottom"/>
            <w:shd w:val="clear" w:color="auto" w:fill="D9D9D9"/>
          </w:tcPr>
          <w:p>
            <w:pPr>
              <w:spacing w:after="0"/>
              <w:rPr>
                <w:sz w:val="8"/>
                <w:szCs w:val="8"/>
                <w:color w:val="auto"/>
              </w:rPr>
            </w:pPr>
          </w:p>
        </w:tc>
        <w:tc>
          <w:tcPr>
            <w:tcW w:w="200" w:type="dxa"/>
            <w:vAlign w:val="bottom"/>
            <w:shd w:val="clear" w:color="auto" w:fill="D9D9D9"/>
          </w:tcPr>
          <w:p>
            <w:pPr>
              <w:spacing w:after="0"/>
              <w:rPr>
                <w:sz w:val="8"/>
                <w:szCs w:val="8"/>
                <w:color w:val="auto"/>
              </w:rPr>
            </w:pPr>
          </w:p>
        </w:tc>
        <w:tc>
          <w:tcPr>
            <w:tcW w:w="620" w:type="dxa"/>
            <w:vAlign w:val="bottom"/>
            <w:shd w:val="clear" w:color="auto" w:fill="D9D9D9"/>
          </w:tcPr>
          <w:p>
            <w:pPr>
              <w:spacing w:after="0"/>
              <w:rPr>
                <w:sz w:val="8"/>
                <w:szCs w:val="8"/>
                <w:color w:val="auto"/>
              </w:rPr>
            </w:pPr>
          </w:p>
        </w:tc>
        <w:tc>
          <w:tcPr>
            <w:tcW w:w="100" w:type="dxa"/>
            <w:vAlign w:val="bottom"/>
            <w:tcBorders>
              <w:right w:val="single" w:sz="8" w:color="D9D9D9"/>
            </w:tcBorders>
            <w:shd w:val="clear" w:color="auto" w:fill="D9D9D9"/>
          </w:tcPr>
          <w:p>
            <w:pPr>
              <w:spacing w:after="0"/>
              <w:rPr>
                <w:sz w:val="8"/>
                <w:szCs w:val="8"/>
                <w:color w:val="auto"/>
              </w:rPr>
            </w:pPr>
          </w:p>
        </w:tc>
        <w:tc>
          <w:tcPr>
            <w:tcW w:w="340" w:type="dxa"/>
            <w:vAlign w:val="bottom"/>
            <w:shd w:val="clear" w:color="auto" w:fill="D9D9D9"/>
          </w:tcPr>
          <w:p>
            <w:pPr>
              <w:spacing w:after="0"/>
              <w:rPr>
                <w:sz w:val="8"/>
                <w:szCs w:val="8"/>
                <w:color w:val="auto"/>
              </w:rPr>
            </w:pPr>
          </w:p>
        </w:tc>
        <w:tc>
          <w:tcPr>
            <w:tcW w:w="600" w:type="dxa"/>
            <w:vAlign w:val="bottom"/>
            <w:shd w:val="clear" w:color="auto" w:fill="D9D9D9"/>
          </w:tcPr>
          <w:p>
            <w:pPr>
              <w:spacing w:after="0"/>
              <w:rPr>
                <w:sz w:val="8"/>
                <w:szCs w:val="8"/>
                <w:color w:val="auto"/>
              </w:rPr>
            </w:pPr>
          </w:p>
        </w:tc>
        <w:tc>
          <w:tcPr>
            <w:tcW w:w="100" w:type="dxa"/>
            <w:vAlign w:val="bottom"/>
            <w:tcBorders>
              <w:right w:val="single" w:sz="8" w:color="D9D9D9"/>
            </w:tcBorders>
            <w:shd w:val="clear" w:color="auto" w:fill="D9D9D9"/>
          </w:tcPr>
          <w:p>
            <w:pPr>
              <w:spacing w:after="0"/>
              <w:rPr>
                <w:sz w:val="8"/>
                <w:szCs w:val="8"/>
                <w:color w:val="auto"/>
              </w:rPr>
            </w:pPr>
          </w:p>
        </w:tc>
        <w:tc>
          <w:tcPr>
            <w:tcW w:w="240" w:type="dxa"/>
            <w:vAlign w:val="bottom"/>
            <w:shd w:val="clear" w:color="auto" w:fill="D9D9D9"/>
          </w:tcPr>
          <w:p>
            <w:pPr>
              <w:spacing w:after="0"/>
              <w:rPr>
                <w:sz w:val="8"/>
                <w:szCs w:val="8"/>
                <w:color w:val="auto"/>
              </w:rPr>
            </w:pPr>
          </w:p>
        </w:tc>
        <w:tc>
          <w:tcPr>
            <w:tcW w:w="700" w:type="dxa"/>
            <w:vAlign w:val="bottom"/>
            <w:shd w:val="clear" w:color="auto" w:fill="D9D9D9"/>
          </w:tcPr>
          <w:p>
            <w:pPr>
              <w:spacing w:after="0"/>
              <w:rPr>
                <w:sz w:val="8"/>
                <w:szCs w:val="8"/>
                <w:color w:val="auto"/>
              </w:rPr>
            </w:pPr>
          </w:p>
        </w:tc>
        <w:tc>
          <w:tcPr>
            <w:tcW w:w="120" w:type="dxa"/>
            <w:vAlign w:val="bottom"/>
            <w:tcBorders>
              <w:right w:val="single" w:sz="8" w:color="D9D9D9"/>
            </w:tcBorders>
            <w:shd w:val="clear" w:color="auto" w:fill="D9D9D9"/>
          </w:tcPr>
          <w:p>
            <w:pPr>
              <w:spacing w:after="0"/>
              <w:rPr>
                <w:sz w:val="8"/>
                <w:szCs w:val="8"/>
                <w:color w:val="auto"/>
              </w:rPr>
            </w:pPr>
          </w:p>
        </w:tc>
        <w:tc>
          <w:tcPr>
            <w:tcW w:w="220" w:type="dxa"/>
            <w:vAlign w:val="bottom"/>
            <w:shd w:val="clear" w:color="auto" w:fill="D9D9D9"/>
          </w:tcPr>
          <w:p>
            <w:pPr>
              <w:spacing w:after="0"/>
              <w:rPr>
                <w:sz w:val="8"/>
                <w:szCs w:val="8"/>
                <w:color w:val="auto"/>
              </w:rPr>
            </w:pPr>
          </w:p>
        </w:tc>
        <w:tc>
          <w:tcPr>
            <w:tcW w:w="700" w:type="dxa"/>
            <w:vAlign w:val="bottom"/>
            <w:shd w:val="clear" w:color="auto" w:fill="D9D9D9"/>
          </w:tcPr>
          <w:p>
            <w:pPr>
              <w:spacing w:after="0"/>
              <w:rPr>
                <w:sz w:val="8"/>
                <w:szCs w:val="8"/>
                <w:color w:val="auto"/>
              </w:rPr>
            </w:pPr>
          </w:p>
        </w:tc>
        <w:tc>
          <w:tcPr>
            <w:tcW w:w="100" w:type="dxa"/>
            <w:vAlign w:val="bottom"/>
            <w:tcBorders>
              <w:right w:val="single" w:sz="8" w:color="D9D9D9"/>
            </w:tcBorders>
            <w:shd w:val="clear" w:color="auto" w:fill="D9D9D9"/>
          </w:tcPr>
          <w:p>
            <w:pPr>
              <w:spacing w:after="0"/>
              <w:rPr>
                <w:sz w:val="8"/>
                <w:szCs w:val="8"/>
                <w:color w:val="auto"/>
              </w:rPr>
            </w:pPr>
          </w:p>
        </w:tc>
        <w:tc>
          <w:tcPr>
            <w:tcW w:w="320" w:type="dxa"/>
            <w:vAlign w:val="bottom"/>
            <w:shd w:val="clear" w:color="auto" w:fill="D9D9D9"/>
          </w:tcPr>
          <w:p>
            <w:pPr>
              <w:spacing w:after="0"/>
              <w:rPr>
                <w:sz w:val="8"/>
                <w:szCs w:val="8"/>
                <w:color w:val="auto"/>
              </w:rPr>
            </w:pPr>
          </w:p>
        </w:tc>
        <w:tc>
          <w:tcPr>
            <w:tcW w:w="740" w:type="dxa"/>
            <w:vAlign w:val="bottom"/>
            <w:shd w:val="clear" w:color="auto" w:fill="D9D9D9"/>
          </w:tcPr>
          <w:p>
            <w:pPr>
              <w:spacing w:after="0"/>
              <w:rPr>
                <w:sz w:val="8"/>
                <w:szCs w:val="8"/>
                <w:color w:val="auto"/>
              </w:rPr>
            </w:pPr>
          </w:p>
        </w:tc>
        <w:tc>
          <w:tcPr>
            <w:tcW w:w="120" w:type="dxa"/>
            <w:vAlign w:val="bottom"/>
            <w:tcBorders>
              <w:right w:val="single" w:sz="8" w:color="D9D9D9"/>
            </w:tcBorders>
            <w:shd w:val="clear" w:color="auto" w:fill="D9D9D9"/>
          </w:tcPr>
          <w:p>
            <w:pPr>
              <w:spacing w:after="0"/>
              <w:rPr>
                <w:sz w:val="8"/>
                <w:szCs w:val="8"/>
                <w:color w:val="auto"/>
              </w:rPr>
            </w:pPr>
          </w:p>
        </w:tc>
        <w:tc>
          <w:tcPr>
            <w:tcW w:w="220" w:type="dxa"/>
            <w:vAlign w:val="bottom"/>
            <w:shd w:val="clear" w:color="auto" w:fill="D9D9D9"/>
          </w:tcPr>
          <w:p>
            <w:pPr>
              <w:spacing w:after="0"/>
              <w:rPr>
                <w:sz w:val="8"/>
                <w:szCs w:val="8"/>
                <w:color w:val="auto"/>
              </w:rPr>
            </w:pPr>
          </w:p>
        </w:tc>
        <w:tc>
          <w:tcPr>
            <w:tcW w:w="580" w:type="dxa"/>
            <w:vAlign w:val="bottom"/>
            <w:shd w:val="clear" w:color="auto" w:fill="D9D9D9"/>
          </w:tcPr>
          <w:p>
            <w:pPr>
              <w:spacing w:after="0"/>
              <w:rPr>
                <w:sz w:val="8"/>
                <w:szCs w:val="8"/>
                <w:color w:val="auto"/>
              </w:rPr>
            </w:pPr>
          </w:p>
        </w:tc>
        <w:tc>
          <w:tcPr>
            <w:tcW w:w="120" w:type="dxa"/>
            <w:vAlign w:val="bottom"/>
            <w:tcBorders>
              <w:right w:val="single" w:sz="8" w:color="D9D9D9"/>
            </w:tcBorders>
            <w:shd w:val="clear" w:color="auto" w:fill="D9D9D9"/>
          </w:tcPr>
          <w:p>
            <w:pPr>
              <w:spacing w:after="0"/>
              <w:rPr>
                <w:sz w:val="8"/>
                <w:szCs w:val="8"/>
                <w:color w:val="auto"/>
              </w:rPr>
            </w:pPr>
          </w:p>
        </w:tc>
        <w:tc>
          <w:tcPr>
            <w:tcW w:w="140" w:type="dxa"/>
            <w:vAlign w:val="bottom"/>
            <w:shd w:val="clear" w:color="auto" w:fill="D9D9D9"/>
          </w:tcPr>
          <w:p>
            <w:pPr>
              <w:spacing w:after="0"/>
              <w:rPr>
                <w:sz w:val="8"/>
                <w:szCs w:val="8"/>
                <w:color w:val="auto"/>
              </w:rPr>
            </w:pPr>
          </w:p>
        </w:tc>
        <w:tc>
          <w:tcPr>
            <w:tcW w:w="920" w:type="dxa"/>
            <w:vAlign w:val="bottom"/>
            <w:tcBorders>
              <w:right w:val="single" w:sz="8" w:color="D9D9D9"/>
            </w:tcBorders>
            <w:shd w:val="clear" w:color="auto" w:fill="D9D9D9"/>
          </w:tcPr>
          <w:p>
            <w:pPr>
              <w:spacing w:after="0"/>
              <w:rPr>
                <w:sz w:val="8"/>
                <w:szCs w:val="8"/>
                <w:color w:val="auto"/>
              </w:rPr>
            </w:pPr>
          </w:p>
        </w:tc>
        <w:tc>
          <w:tcPr>
            <w:tcW w:w="420" w:type="dxa"/>
            <w:vAlign w:val="bottom"/>
            <w:tcBorders>
              <w:left w:val="single" w:sz="8" w:color="D9D9D9"/>
            </w:tcBorders>
            <w:shd w:val="clear" w:color="auto" w:fill="D9D9D9"/>
          </w:tcPr>
          <w:p>
            <w:pPr>
              <w:spacing w:after="0"/>
              <w:rPr>
                <w:sz w:val="8"/>
                <w:szCs w:val="8"/>
                <w:color w:val="auto"/>
              </w:rPr>
            </w:pPr>
          </w:p>
        </w:tc>
        <w:tc>
          <w:tcPr>
            <w:tcW w:w="540" w:type="dxa"/>
            <w:vAlign w:val="bottom"/>
            <w:shd w:val="clear" w:color="auto" w:fill="D9D9D9"/>
          </w:tcPr>
          <w:p>
            <w:pPr>
              <w:spacing w:after="0"/>
              <w:rPr>
                <w:sz w:val="8"/>
                <w:szCs w:val="8"/>
                <w:color w:val="auto"/>
              </w:rPr>
            </w:pPr>
          </w:p>
        </w:tc>
        <w:tc>
          <w:tcPr>
            <w:tcW w:w="100" w:type="dxa"/>
            <w:vAlign w:val="bottom"/>
            <w:tcBorders>
              <w:right w:val="single" w:sz="8" w:color="D9D9D9"/>
            </w:tcBorders>
            <w:shd w:val="clear" w:color="auto" w:fill="D9D9D9"/>
          </w:tcPr>
          <w:p>
            <w:pPr>
              <w:spacing w:after="0"/>
              <w:rPr>
                <w:sz w:val="8"/>
                <w:szCs w:val="8"/>
                <w:color w:val="auto"/>
              </w:rPr>
            </w:pPr>
          </w:p>
        </w:tc>
        <w:tc>
          <w:tcPr>
            <w:tcW w:w="160" w:type="dxa"/>
            <w:vAlign w:val="bottom"/>
            <w:shd w:val="clear" w:color="auto" w:fill="D9D9D9"/>
          </w:tcPr>
          <w:p>
            <w:pPr>
              <w:spacing w:after="0"/>
              <w:rPr>
                <w:sz w:val="8"/>
                <w:szCs w:val="8"/>
                <w:color w:val="auto"/>
              </w:rPr>
            </w:pPr>
          </w:p>
        </w:tc>
        <w:tc>
          <w:tcPr>
            <w:tcW w:w="620" w:type="dxa"/>
            <w:vAlign w:val="bottom"/>
            <w:shd w:val="clear" w:color="auto" w:fill="D9D9D9"/>
          </w:tcPr>
          <w:p>
            <w:pPr>
              <w:spacing w:after="0"/>
              <w:rPr>
                <w:sz w:val="8"/>
                <w:szCs w:val="8"/>
                <w:color w:val="auto"/>
              </w:rPr>
            </w:pPr>
          </w:p>
        </w:tc>
        <w:tc>
          <w:tcPr>
            <w:tcW w:w="80" w:type="dxa"/>
            <w:vAlign w:val="bottom"/>
            <w:shd w:val="clear" w:color="auto" w:fill="D9D9D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NOTE 5 EARNINGS PER SHARE</w:t>
      </w:r>
    </w:p>
    <w:p>
      <w:pPr>
        <w:spacing w:after="0" w:line="252" w:lineRule="exact"/>
        <w:rPr>
          <w:sz w:val="20"/>
          <w:szCs w:val="20"/>
          <w:color w:val="auto"/>
        </w:rPr>
      </w:pPr>
    </w:p>
    <w:p>
      <w:pPr>
        <w:jc w:val="both"/>
        <w:ind w:left="640"/>
        <w:spacing w:after="0" w:line="270" w:lineRule="auto"/>
        <w:rPr>
          <w:sz w:val="20"/>
          <w:szCs w:val="20"/>
          <w:color w:val="auto"/>
        </w:rPr>
      </w:pPr>
      <w:r>
        <w:rPr>
          <w:rFonts w:ascii="Arial" w:cs="Arial" w:eastAsia="Arial" w:hAnsi="Arial"/>
          <w:sz w:val="17"/>
          <w:szCs w:val="17"/>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stock based compensation plans.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gridSpan w:val="4"/>
          </w:tcPr>
          <w:p>
            <w:pPr>
              <w:jc w:val="right"/>
              <w:ind w:right="590"/>
              <w:spacing w:after="0"/>
              <w:rPr>
                <w:sz w:val="20"/>
                <w:szCs w:val="20"/>
                <w:color w:val="auto"/>
              </w:rPr>
            </w:pPr>
            <w:r>
              <w:rPr>
                <w:rFonts w:ascii="Arial" w:cs="Arial" w:eastAsia="Arial" w:hAnsi="Arial"/>
                <w:sz w:val="18"/>
                <w:szCs w:val="18"/>
                <w:color w:val="auto"/>
              </w:rPr>
              <w:t>(in thousands of dollars)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jc w:val="right"/>
              <w:ind w:right="610"/>
              <w:spacing w:after="0"/>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gridSpan w:val="4"/>
          </w:tcPr>
          <w:p>
            <w:pPr>
              <w:jc w:val="right"/>
              <w:ind w:right="71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jc w:val="right"/>
              <w:ind w:right="8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Borders>
              <w:bottom w:val="single" w:sz="8" w:color="CFF0FC"/>
            </w:tcBorders>
          </w:tcPr>
          <w:p>
            <w:pPr>
              <w:spacing w:after="0"/>
              <w:rPr>
                <w:sz w:val="20"/>
                <w:szCs w:val="20"/>
                <w:color w:val="auto"/>
              </w:rPr>
            </w:pPr>
          </w:p>
        </w:tc>
        <w:tc>
          <w:tcPr>
            <w:tcW w:w="5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June 30, 2019</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June 30, 2018</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June 30, 2019</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9"/>
              </w:rPr>
              <w:t>June 30,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shd w:val="clear" w:color="auto" w:fill="CFF0FC"/>
          </w:tcPr>
          <w:p>
            <w:pPr>
              <w:ind w:left="1740"/>
              <w:spacing w:after="0"/>
              <w:rPr>
                <w:sz w:val="20"/>
                <w:szCs w:val="20"/>
                <w:color w:val="auto"/>
              </w:rPr>
            </w:pPr>
            <w:r>
              <w:rPr>
                <w:rFonts w:ascii="Arial" w:cs="Arial" w:eastAsia="Arial" w:hAnsi="Arial"/>
                <w:sz w:val="18"/>
                <w:szCs w:val="18"/>
                <w:b w:val="1"/>
                <w:bCs w:val="1"/>
                <w:color w:val="auto"/>
              </w:rPr>
              <w:t>Earnings per share</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6,180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9,404</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7,881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Less: distributed earnings allocated to participating</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58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securities</w:t>
            </w: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4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vMerge w:val="continue"/>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Less: undistributed earnings allocated to participating</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securities</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Borders>
              <w:bottom w:val="single" w:sz="8" w:color="CFF0FC"/>
            </w:tcBorders>
            <w:vMerge w:val="continue"/>
          </w:tcPr>
          <w:p>
            <w:pPr>
              <w:spacing w:after="0"/>
              <w:rPr>
                <w:sz w:val="9"/>
                <w:szCs w:val="9"/>
                <w:color w:val="auto"/>
              </w:rPr>
            </w:pPr>
          </w:p>
        </w:tc>
        <w:tc>
          <w:tcPr>
            <w:tcW w:w="52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6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available to common shareholders</w:t>
            </w:r>
          </w:p>
        </w:tc>
        <w:tc>
          <w:tcPr>
            <w:tcW w:w="5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6,136</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4,073</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9,336</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including</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11,106,367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9,265,898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11,098,149</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9,265,928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58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participating securities</w:t>
            </w: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4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vMerge w:val="continue"/>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average unvested restricted shares</w:t>
            </w:r>
          </w:p>
        </w:tc>
        <w:tc>
          <w:tcPr>
            <w:tcW w:w="5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(77,304)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(92,368)</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(80,343)</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5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11,029,063</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9,173,530</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11,017,806</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9,173,530</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Basic earnings and diluted per share</w:t>
            </w:r>
          </w:p>
        </w:tc>
        <w:tc>
          <w:tcPr>
            <w:tcW w:w="6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0.44</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20" w:right="3640" w:hanging="1405"/>
        <w:spacing w:after="0" w:line="810" w:lineRule="auto"/>
        <w:tabs>
          <w:tab w:leader="none" w:pos="43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Remainder of this page intentionally left blank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6 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assumptions and methods were used in estimating the fair value for financial instruments: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Cash and Cash Equivalents</w:t>
      </w:r>
    </w:p>
    <w:p>
      <w:pPr>
        <w:spacing w:after="0" w:line="185" w:lineRule="exact"/>
        <w:rPr>
          <w:sz w:val="20"/>
          <w:szCs w:val="20"/>
          <w:color w:val="auto"/>
        </w:rPr>
      </w:pPr>
    </w:p>
    <w:p>
      <w:pPr>
        <w:jc w:val="both"/>
        <w:ind w:left="760"/>
        <w:spacing w:after="0" w:line="312" w:lineRule="auto"/>
        <w:rPr>
          <w:sz w:val="20"/>
          <w:szCs w:val="20"/>
          <w:color w:val="auto"/>
        </w:rPr>
      </w:pPr>
      <w:r>
        <w:rPr>
          <w:rFonts w:ascii="Arial" w:cs="Arial" w:eastAsia="Arial" w:hAnsi="Arial"/>
          <w:sz w:val="16"/>
          <w:szCs w:val="16"/>
          <w:color w:val="auto"/>
        </w:rPr>
        <w:t>The carrying amounts reported in the balance sheet for cash, cash equivalents and federal funds sold approximate their fair values. Also included in this line item are the carrying amounts of interest-bearing deposits maturing within ninety days which approximate their fair values. Fair values of other interest-bearing deposits are estimated using discounted cash flow analyses based on current rates for similar types of deposits.</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Interest Bearing Time Deposits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Fair values for fixed-rate certificates of deposit are estimated using a discounted cash flow analysis that applies interest rates currently being offered on certificates to a schedule of aggregated expected monthly maturities on time deposits.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Securities – Available-for-sale</w:t>
      </w:r>
    </w:p>
    <w:p>
      <w:pPr>
        <w:spacing w:after="0" w:line="198"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Fair values for securities, excluding Federal Home Loan Bank are based on quoted market price, where available. If quoted market prices are not available, fair values are based on quoted market prices of comparable instruments.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Securities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carrying value of Federal Home Loan Bank stock of Cincinnati and Indianapolis, approximates fair value based on the redemption provisions of the respective Federal Home Loan Bank.</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Loans Held for Sale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carrying amount approximates fair value due to insignificant amount of time between origination and date of sale.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Loans, net</w:t>
      </w:r>
    </w:p>
    <w:p>
      <w:pPr>
        <w:spacing w:after="0" w:line="198"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The fair values of the loans are estimated using a credit mark adjustment along with discounted cash flow analysis, using interest rates currently being offered for loans with similar terms to borrowers with similar credit quality. The credit mark adjustment was estimated using merger and acquisition analysis of nationwide bank and thrift deals and/or the Bank’s most recent acquisition experience.</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Deposits</w:t>
      </w:r>
    </w:p>
    <w:p>
      <w:pPr>
        <w:spacing w:after="0" w:line="185"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The fair values disclosed for deposits with no defined maturities are equal to their carrying amounts, which represent the amount payable on demand. The carrying amounts for variable-rate, fixed term money market accounts and certificates of deposit approximate their fair value at the reporting date. Fair value for fixed-rate certificates of deposit are estimated using a discounted cash flow analysis that applies interest rates currently being offered on certificates to a schedule of aggregated expected monthly maturities on time deposits.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Federal Funds Purchased and Securities Sold Under Agreements to Repurchase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carrying value of federal funds purchased and securities sold under agreements to repurchase approximates fair values.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FHLB Advances</w:t>
      </w:r>
    </w:p>
    <w:p>
      <w:pPr>
        <w:spacing w:after="0" w:line="198"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Fair values or FHLB advances are estimated using discounted cash flow analysis based on the Company’s current incremental borrowing rates for similar types or borrowing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91440</wp:posOffset>
            </wp:positionV>
            <wp:extent cx="676656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66560" cy="15430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center"/>
        <w:ind w:right="316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18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Interest Receivable and Payable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carrying amounts of accrued interest approximate their fair values.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Off Balance Sheet Financial Instruments</w:t>
      </w:r>
    </w:p>
    <w:p>
      <w:pPr>
        <w:spacing w:after="0" w:line="18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Fair values for off-balance sheet, credit related financial instruments are based on fees currently charged to enter into similar agreements, taking into account the remaining terms of the agreements and the counter-parties' credit standing.</w:t>
      </w:r>
    </w:p>
    <w:p>
      <w:pPr>
        <w:spacing w:after="0" w:line="14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June 30, 2019 and December 31, 2018 are reflected below.</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Interest-bearing time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Securities - available-for-sale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securities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Loans held for sale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Loans, net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receivable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Financial Liabilities: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bearing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Non-interest bearing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Time deposits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Deposits</w:t>
      </w:r>
    </w:p>
    <w:p>
      <w:pPr>
        <w:spacing w:after="0" w:line="252" w:lineRule="exact"/>
        <w:rPr>
          <w:sz w:val="20"/>
          <w:szCs w:val="20"/>
          <w:color w:val="auto"/>
        </w:rPr>
      </w:pPr>
    </w:p>
    <w:p>
      <w:pPr>
        <w:ind w:left="380" w:right="720" w:hanging="134"/>
        <w:spacing w:after="0" w:line="258" w:lineRule="auto"/>
        <w:rPr>
          <w:sz w:val="20"/>
          <w:szCs w:val="20"/>
          <w:color w:val="auto"/>
        </w:rPr>
      </w:pPr>
      <w:r>
        <w:rPr>
          <w:rFonts w:ascii="Arial" w:cs="Arial" w:eastAsia="Arial" w:hAnsi="Arial"/>
          <w:sz w:val="18"/>
          <w:szCs w:val="18"/>
          <w:color w:val="auto"/>
        </w:rPr>
        <w:t>Federal funds purchased and securities sold under agreement to repurchase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Federal Home Loan Bank advances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payable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9020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16"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June 30,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4"/>
              </w:rPr>
              <w:t>Carrying</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Fair</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3"/>
              </w:rPr>
              <w:t>Amount</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1</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3</w:t>
            </w:r>
          </w:p>
        </w:tc>
      </w:tr>
      <w:tr>
        <w:trPr>
          <w:trHeight w:val="452"/>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123,278</w:t>
            </w:r>
          </w:p>
        </w:tc>
        <w:tc>
          <w:tcPr>
            <w:tcW w:w="12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123,278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123,278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4,509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4,509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204,415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204,415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24,795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178,115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1,505</w:t>
            </w:r>
          </w:p>
        </w:tc>
      </w:tr>
      <w:tr>
        <w:trPr>
          <w:trHeight w:val="230"/>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5,789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5,789</w:t>
            </w:r>
          </w:p>
        </w:tc>
      </w:tr>
      <w:tr>
        <w:trPr>
          <w:trHeight w:val="230"/>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1,909</w:t>
            </w:r>
          </w:p>
        </w:tc>
      </w:tr>
      <w:tr>
        <w:trPr>
          <w:trHeight w:val="230"/>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1,084,448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1,064,236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1,064,236</w:t>
            </w:r>
          </w:p>
        </w:tc>
      </w:tr>
      <w:tr>
        <w:trPr>
          <w:trHeight w:val="230"/>
        </w:trPr>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6,862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6,832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6,862</w:t>
            </w:r>
          </w:p>
        </w:tc>
      </w:tr>
      <w:tr>
        <w:trPr>
          <w:trHeight w:val="688"/>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723,684</w:t>
            </w:r>
          </w:p>
        </w:tc>
        <w:tc>
          <w:tcPr>
            <w:tcW w:w="12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723,738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723,738</w:t>
            </w:r>
          </w:p>
        </w:tc>
      </w:tr>
      <w:tr>
        <w:trPr>
          <w:trHeight w:val="230"/>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242,510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242,510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242,510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276,153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276,861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276,861</w:t>
            </w:r>
          </w:p>
        </w:tc>
      </w:tr>
      <w:tr>
        <w:trPr>
          <w:trHeight w:val="224"/>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1,242,347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1,243,109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242,510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1,000,599</w:t>
            </w:r>
          </w:p>
        </w:tc>
      </w:tr>
      <w:tr>
        <w:trPr>
          <w:trHeight w:val="674"/>
        </w:trPr>
        <w:tc>
          <w:tcPr>
            <w:tcW w:w="12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27,102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27,102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27,102</w:t>
            </w:r>
          </w:p>
        </w:tc>
      </w:tr>
      <w:tr>
        <w:trPr>
          <w:trHeight w:val="230"/>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24,532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24,393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24,393</w:t>
            </w:r>
          </w:p>
        </w:tc>
      </w:tr>
      <w:tr>
        <w:trPr>
          <w:trHeight w:val="230"/>
        </w:trPr>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750</w:t>
            </w:r>
          </w:p>
        </w:tc>
      </w:tr>
      <w:tr>
        <w:trPr>
          <w:trHeight w:val="432"/>
        </w:trPr>
        <w:tc>
          <w:tcPr>
            <w:tcW w:w="120" w:type="dxa"/>
            <w:vAlign w:val="bottom"/>
          </w:tcPr>
          <w:p>
            <w:pPr>
              <w:spacing w:after="0"/>
              <w:rPr>
                <w:sz w:val="24"/>
                <w:szCs w:val="24"/>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-3052445</wp:posOffset>
            </wp:positionV>
            <wp:extent cx="72466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-2752090</wp:posOffset>
            </wp:positionV>
            <wp:extent cx="72466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-2460625</wp:posOffset>
            </wp:positionV>
            <wp:extent cx="72466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-2169160</wp:posOffset>
            </wp:positionV>
            <wp:extent cx="72466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-1877695</wp:posOffset>
            </wp:positionV>
            <wp:extent cx="72466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-1585595</wp:posOffset>
            </wp:positionV>
            <wp:extent cx="72466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-1294130</wp:posOffset>
            </wp:positionV>
            <wp:extent cx="72466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-994410</wp:posOffset>
            </wp:positionV>
            <wp:extent cx="72466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-565150</wp:posOffset>
            </wp:positionV>
            <wp:extent cx="72466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55880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4560" w:space="720"/>
            <w:col w:w="6140"/>
          </w:cols>
          <w:pgMar w:left="240" w:top="125" w:right="239" w:bottom="1440" w:gutter="0" w:footer="0" w:header="0"/>
          <w:type w:val="continuous"/>
        </w:sectPr>
      </w:pPr>
    </w:p>
    <w:bookmarkStart w:id="37" w:name="page38"/>
    <w:bookmarkEnd w:id="37"/>
    <w:p>
      <w:pPr>
        <w:jc w:val="center"/>
        <w:ind w:right="316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18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(In Thousands)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9"/>
              </w:rPr>
              <w:t>December 31, 2018</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Carrying</w:t>
            </w:r>
          </w:p>
        </w:tc>
        <w:tc>
          <w:tcPr>
            <w:tcW w:w="20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Fair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Borders>
              <w:bottom w:val="single" w:sz="8" w:color="CFF0FC"/>
            </w:tcBorders>
          </w:tcPr>
          <w:p>
            <w:pPr>
              <w:spacing w:after="0"/>
              <w:rPr>
                <w:sz w:val="20"/>
                <w:szCs w:val="20"/>
                <w:color w:val="auto"/>
              </w:rPr>
            </w:pPr>
          </w:p>
        </w:tc>
        <w:tc>
          <w:tcPr>
            <w:tcW w:w="7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3"/>
              </w:rPr>
              <w:t>Amount</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Value</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2"/>
              </w:rPr>
              <w:t>Level 1</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38,365</w:t>
            </w:r>
          </w:p>
        </w:tc>
        <w:tc>
          <w:tcPr>
            <w:tcW w:w="1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38,365</w:t>
            </w:r>
          </w:p>
        </w:tc>
        <w:tc>
          <w:tcPr>
            <w:tcW w:w="3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38,365</w:t>
            </w:r>
          </w:p>
        </w:tc>
        <w:tc>
          <w:tcPr>
            <w:tcW w:w="10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Interest-bearing time deposits</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4,019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3,954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Securities - available-for-sale</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168,447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168,447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36,935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130,085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securities</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3,679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Loans held for sale</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net</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839,599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823,914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823,914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Interest receivable</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5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Financial Liabilities: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bearing deposits</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525,955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525,955</w:t>
            </w:r>
          </w:p>
        </w:tc>
        <w:tc>
          <w:tcPr>
            <w:tcW w:w="38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525,955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Non-interest bearing deposits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215,422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215,422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215,422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Time deposits</w:t>
            </w:r>
          </w:p>
        </w:tc>
        <w:tc>
          <w:tcPr>
            <w:tcW w:w="7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187,413</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187,545</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187,545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Total Deposits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928,790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928,922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215,422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713,500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Federal funds purchased and securities sold under</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360"/>
              <w:spacing w:after="0"/>
              <w:rPr>
                <w:sz w:val="20"/>
                <w:szCs w:val="20"/>
                <w:color w:val="auto"/>
              </w:rPr>
            </w:pPr>
            <w:r>
              <w:rPr>
                <w:rFonts w:ascii="Arial" w:cs="Arial" w:eastAsia="Arial" w:hAnsi="Arial"/>
                <w:sz w:val="18"/>
                <w:szCs w:val="18"/>
                <w:color w:val="auto"/>
              </w:rPr>
              <w:t>agreement to repurchase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32,181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32,181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Home Loan Bank advances</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Interest payable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Fair Value Measurements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14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Available-for-sale securities, when quoted prices are available in an active market, securities are valued using the quoted price and are classified as Level 1.</w:t>
      </w:r>
    </w:p>
    <w:p>
      <w:pPr>
        <w:spacing w:after="0" w:line="130"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41"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61"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41"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jc w:val="center"/>
        <w:ind w:right="31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20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13" w:lineRule="exact"/>
        <w:rPr>
          <w:sz w:val="20"/>
          <w:szCs w:val="20"/>
          <w:color w:val="auto"/>
        </w:rPr>
      </w:pPr>
    </w:p>
    <w:p>
      <w:pPr>
        <w:ind w:left="760" w:right="40"/>
        <w:spacing w:after="0" w:line="277" w:lineRule="auto"/>
        <w:rPr>
          <w:sz w:val="20"/>
          <w:szCs w:val="20"/>
          <w:color w:val="auto"/>
        </w:rPr>
      </w:pPr>
      <w:r>
        <w:rPr>
          <w:rFonts w:ascii="Arial" w:cs="Arial" w:eastAsia="Arial" w:hAnsi="Arial"/>
          <w:sz w:val="18"/>
          <w:szCs w:val="18"/>
          <w:color w:val="auto"/>
        </w:rPr>
        <w:t>The following summarizes financial assets measured at fair value on a recurring basis as of June 30, 2019 and December 31, 2018, segregated by level or the valuation inputs within the fair value hierarchy utilized to measure fair value:</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Assets and Liabilities Measured at Fair Value on a Recurring Basis (In Thousands)</w:t>
      </w:r>
    </w:p>
    <w:p>
      <w:pPr>
        <w:spacing w:after="0" w:line="23"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Quoted Prices in</w:t>
            </w: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3"/>
              </w:rPr>
              <w:t>Significant</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color w:val="auto"/>
                <w:w w:val="99"/>
              </w:rPr>
              <w:t>Active Markets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89"/>
              </w:rPr>
              <w:t>Observable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Observable</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for Identical</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93"/>
              </w:rPr>
              <w:t>Inputs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Inputs</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June 30, 2019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4"/>
          </w:tcPr>
          <w:p>
            <w:pPr>
              <w:jc w:val="center"/>
              <w:ind w:right="60"/>
              <w:spacing w:after="0"/>
              <w:rPr>
                <w:sz w:val="20"/>
                <w:szCs w:val="20"/>
                <w:color w:val="auto"/>
              </w:rPr>
            </w:pPr>
            <w:r>
              <w:rPr>
                <w:rFonts w:ascii="Arial" w:cs="Arial" w:eastAsia="Arial" w:hAnsi="Arial"/>
                <w:sz w:val="18"/>
                <w:szCs w:val="18"/>
                <w:color w:val="auto"/>
                <w:w w:val="91"/>
              </w:rPr>
              <w:t>Assets (Level 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94"/>
              </w:rPr>
              <w:t>(Level 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(Level 3)</w:t>
            </w:r>
          </w:p>
        </w:tc>
      </w:tr>
      <w:tr>
        <w:trPr>
          <w:trHeight w:val="223"/>
        </w:trPr>
        <w:tc>
          <w:tcPr>
            <w:tcW w:w="20" w:type="dxa"/>
            <w:vAlign w:val="bottom"/>
          </w:tcPr>
          <w:p>
            <w:pPr>
              <w:spacing w:after="0"/>
              <w:rPr>
                <w:sz w:val="19"/>
                <w:szCs w:val="19"/>
                <w:color w:val="auto"/>
              </w:rPr>
            </w:pPr>
          </w:p>
        </w:tc>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U.S. Treasury</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24,795</w:t>
            </w:r>
          </w:p>
        </w:tc>
        <w:tc>
          <w:tcPr>
            <w:tcW w:w="2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95,944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44,826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37,345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178,115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ind w:left="20"/>
              <w:spacing w:after="0"/>
              <w:rPr>
                <w:sz w:val="20"/>
                <w:szCs w:val="20"/>
                <w:color w:val="auto"/>
              </w:rPr>
            </w:pPr>
            <w:r>
              <w:rPr>
                <w:rFonts w:ascii="Arial" w:cs="Arial" w:eastAsia="Arial" w:hAnsi="Arial"/>
                <w:sz w:val="18"/>
                <w:szCs w:val="18"/>
                <w:color w:val="auto"/>
                <w:w w:val="90"/>
              </w:rPr>
              <w:t>Quoted Prices in</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3"/>
              </w:rPr>
              <w:t>Significant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Significant</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Active Markets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9"/>
              </w:rPr>
              <w:t>Observable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Observable</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for Identical</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3"/>
              </w:rPr>
              <w:t>Inputs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Inputs</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w w:val="92"/>
              </w:rPr>
              <w:t>Assets (Level 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4"/>
              </w:rPr>
              <w:t>(Level 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(Level 3)</w:t>
            </w:r>
          </w:p>
        </w:tc>
      </w:tr>
      <w:tr>
        <w:trPr>
          <w:trHeight w:val="223"/>
        </w:trPr>
        <w:tc>
          <w:tcPr>
            <w:tcW w:w="20" w:type="dxa"/>
            <w:vAlign w:val="bottom"/>
          </w:tcPr>
          <w:p>
            <w:pPr>
              <w:spacing w:after="0"/>
              <w:rPr>
                <w:sz w:val="19"/>
                <w:szCs w:val="19"/>
                <w:color w:val="auto"/>
              </w:rPr>
            </w:pPr>
          </w:p>
        </w:tc>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U.S. Treasury</w:t>
            </w:r>
          </w:p>
        </w:tc>
        <w:tc>
          <w:tcPr>
            <w:tcW w:w="260" w:type="dxa"/>
            <w:vAlign w:val="bottom"/>
            <w:gridSpan w:val="4"/>
          </w:tcPr>
          <w:p>
            <w:pPr>
              <w:ind w:left="16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22,830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14,105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55,222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36,262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38,601</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36,935</w:t>
            </w:r>
          </w:p>
        </w:tc>
        <w:tc>
          <w:tcPr>
            <w:tcW w:w="20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130,085</w:t>
            </w:r>
          </w:p>
        </w:tc>
        <w:tc>
          <w:tcPr>
            <w:tcW w:w="2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1,427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The following table represents the changes in the Level 3 fair-value category of which unobservable inputs are relied upon as of June 30, 2019 and June 30,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8"/>
                <w:szCs w:val="18"/>
                <w:color w:val="auto"/>
                <w:w w:val="90"/>
              </w:rPr>
              <w:t>Fair Value Measurements Using Significant</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center"/>
              <w:ind w:left="61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87"/>
              </w:rPr>
              <w:t>State and Local</w:t>
            </w:r>
          </w:p>
        </w:tc>
        <w:tc>
          <w:tcPr>
            <w:tcW w:w="1360" w:type="dxa"/>
            <w:vAlign w:val="bottom"/>
            <w:gridSpan w:val="3"/>
          </w:tcPr>
          <w:p>
            <w:pPr>
              <w:jc w:val="center"/>
              <w:ind w:left="110"/>
              <w:spacing w:after="0"/>
              <w:rPr>
                <w:sz w:val="20"/>
                <w:szCs w:val="20"/>
                <w:color w:val="auto"/>
              </w:rPr>
            </w:pPr>
            <w:r>
              <w:rPr>
                <w:rFonts w:ascii="Arial" w:cs="Arial" w:eastAsia="Arial" w:hAnsi="Arial"/>
                <w:sz w:val="18"/>
                <w:szCs w:val="18"/>
                <w:color w:val="auto"/>
                <w:w w:val="89"/>
              </w:rPr>
              <w:t>State and Local</w:t>
            </w:r>
          </w:p>
        </w:tc>
        <w:tc>
          <w:tcPr>
            <w:tcW w:w="134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4"/>
              </w:rPr>
              <w:t>Governments</w:t>
            </w:r>
          </w:p>
        </w:tc>
        <w:tc>
          <w:tcPr>
            <w:tcW w:w="2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Governments</w:t>
            </w:r>
          </w:p>
        </w:tc>
        <w:tc>
          <w:tcPr>
            <w:tcW w:w="2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Governments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0"/>
              </w:rPr>
              <w:t>Tax-Exempt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30"/>
              <w:spacing w:after="0"/>
              <w:rPr>
                <w:sz w:val="20"/>
                <w:szCs w:val="20"/>
                <w:color w:val="auto"/>
              </w:rPr>
            </w:pPr>
            <w:r>
              <w:rPr>
                <w:rFonts w:ascii="Arial" w:cs="Arial" w:eastAsia="Arial" w:hAnsi="Arial"/>
                <w:sz w:val="18"/>
                <w:szCs w:val="18"/>
                <w:color w:val="auto"/>
                <w:w w:val="90"/>
              </w:rPr>
              <w:t>Taxable</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2019</w:t>
            </w:r>
          </w:p>
        </w:tc>
        <w:tc>
          <w:tcPr>
            <w:tcW w:w="20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3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2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3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20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vMerge w:val="restart"/>
          </w:tcPr>
          <w:p>
            <w:pPr>
              <w:spacing w:after="0"/>
              <w:rPr>
                <w:sz w:val="19"/>
                <w:szCs w:val="19"/>
                <w:color w:val="auto"/>
              </w:rPr>
            </w:pPr>
          </w:p>
        </w:tc>
        <w:tc>
          <w:tcPr>
            <w:tcW w:w="3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30, 2019</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540" w:type="dxa"/>
            <w:vAlign w:val="bottom"/>
            <w:gridSpan w:val="2"/>
            <w:shd w:val="clear" w:color="auto" w:fill="CFF0FC"/>
          </w:tcPr>
          <w:p>
            <w:pPr>
              <w:jc w:val="right"/>
              <w:ind w:right="15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0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bottom w:val="single" w:sz="8" w:color="CFF0FC"/>
            </w:tcBorders>
            <w:vMerge w:val="restart"/>
          </w:tcPr>
          <w:p>
            <w:pPr>
              <w:jc w:val="right"/>
              <w:ind w:right="470"/>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9" w:name="page40"/>
    <w:bookmarkEnd w:id="39"/>
    <w:p>
      <w:pPr>
        <w:jc w:val="center"/>
        <w:ind w:right="31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20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9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(In Thousands)</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8"/>
          </w:tcPr>
          <w:p>
            <w:pPr>
              <w:jc w:val="center"/>
              <w:ind w:right="30"/>
              <w:spacing w:after="0"/>
              <w:rPr>
                <w:sz w:val="20"/>
                <w:szCs w:val="20"/>
                <w:color w:val="auto"/>
              </w:rPr>
            </w:pPr>
            <w:r>
              <w:rPr>
                <w:rFonts w:ascii="Arial" w:cs="Arial" w:eastAsia="Arial" w:hAnsi="Arial"/>
                <w:sz w:val="18"/>
                <w:szCs w:val="18"/>
                <w:color w:val="auto"/>
                <w:w w:val="90"/>
              </w:rPr>
              <w:t>Fair Value Measurements Using Significant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center"/>
              <w:ind w:left="550"/>
              <w:spacing w:after="0"/>
              <w:rPr>
                <w:sz w:val="20"/>
                <w:szCs w:val="20"/>
                <w:color w:val="auto"/>
              </w:rPr>
            </w:pPr>
            <w:r>
              <w:rPr>
                <w:rFonts w:ascii="Arial" w:cs="Arial" w:eastAsia="Arial" w:hAnsi="Arial"/>
                <w:sz w:val="18"/>
                <w:szCs w:val="18"/>
                <w:color w:val="auto"/>
                <w:w w:val="91"/>
              </w:rPr>
              <w:t>Unobservable Inputs (Level 3)</w:t>
            </w: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86"/>
              </w:rPr>
              <w:t>State and Local</w:t>
            </w:r>
          </w:p>
        </w:tc>
        <w:tc>
          <w:tcPr>
            <w:tcW w:w="1460" w:type="dxa"/>
            <w:vAlign w:val="bottom"/>
            <w:gridSpan w:val="4"/>
          </w:tcPr>
          <w:p>
            <w:pPr>
              <w:jc w:val="center"/>
              <w:spacing w:after="0"/>
              <w:rPr>
                <w:sz w:val="20"/>
                <w:szCs w:val="20"/>
                <w:color w:val="auto"/>
              </w:rPr>
            </w:pPr>
            <w:r>
              <w:rPr>
                <w:rFonts w:ascii="Arial" w:cs="Arial" w:eastAsia="Arial" w:hAnsi="Arial"/>
                <w:sz w:val="18"/>
                <w:szCs w:val="18"/>
                <w:color w:val="auto"/>
                <w:w w:val="89"/>
              </w:rPr>
              <w:t>State and Local</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4"/>
              </w:rPr>
              <w:t>Governments</w:t>
            </w:r>
          </w:p>
        </w:tc>
        <w:tc>
          <w:tcPr>
            <w:tcW w:w="20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Governments</w:t>
            </w:r>
          </w:p>
        </w:tc>
        <w:tc>
          <w:tcPr>
            <w:tcW w:w="8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Governments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0"/>
              </w:rPr>
              <w:t>Tax-Exempt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Taxable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2018</w:t>
            </w:r>
          </w:p>
        </w:tc>
        <w:tc>
          <w:tcPr>
            <w:tcW w:w="16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6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30, 2018</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7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30" w:lineRule="exact"/>
        <w:rPr>
          <w:sz w:val="20"/>
          <w:szCs w:val="20"/>
          <w:color w:val="auto"/>
        </w:rPr>
      </w:pPr>
    </w:p>
    <w:p>
      <w:pPr>
        <w:jc w:val="both"/>
        <w:ind w:left="760" w:right="20"/>
        <w:spacing w:after="0" w:line="297" w:lineRule="auto"/>
        <w:rPr>
          <w:sz w:val="20"/>
          <w:szCs w:val="20"/>
          <w:color w:val="auto"/>
        </w:rPr>
      </w:pPr>
      <w:r>
        <w:rPr>
          <w:rFonts w:ascii="Arial" w:cs="Arial" w:eastAsia="Arial" w:hAnsi="Arial"/>
          <w:sz w:val="16"/>
          <w:szCs w:val="16"/>
          <w:color w:val="auto"/>
        </w:rPr>
        <w:t>The Company also has assets that, under certain conditions, are subject to measurement at fair value on a non-recurring basis. At June 30, 2019 and December 31, 2018,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31" w:lineRule="exact"/>
        <w:rPr>
          <w:sz w:val="20"/>
          <w:szCs w:val="20"/>
          <w:color w:val="auto"/>
        </w:rPr>
      </w:pPr>
    </w:p>
    <w:p>
      <w:pPr>
        <w:jc w:val="both"/>
        <w:ind w:left="760" w:right="20"/>
        <w:spacing w:after="0" w:line="264" w:lineRule="auto"/>
        <w:rPr>
          <w:sz w:val="20"/>
          <w:szCs w:val="20"/>
          <w:color w:val="auto"/>
        </w:rPr>
      </w:pPr>
      <w:r>
        <w:rPr>
          <w:rFonts w:ascii="Arial" w:cs="Arial" w:eastAsia="Arial" w:hAnsi="Arial"/>
          <w:sz w:val="18"/>
          <w:szCs w:val="18"/>
          <w:color w:val="auto"/>
        </w:rPr>
        <w:t>At June 30, 2019 and December 31, 2018, fair value of collateral dependent impaired loans categorized as Level 3 was $159 and $215 thousand, respectively. The specific allocation for impaired loans was $50 and $31 thousand as of June 30, 2019 and December 31, 2018, respectively, which are accounted for in the allowance for loan losses (see Note 4).</w:t>
      </w:r>
    </w:p>
    <w:p>
      <w:pPr>
        <w:spacing w:after="0" w:line="141" w:lineRule="exact"/>
        <w:rPr>
          <w:sz w:val="20"/>
          <w:szCs w:val="20"/>
          <w:color w:val="auto"/>
        </w:rPr>
      </w:pPr>
    </w:p>
    <w:p>
      <w:pPr>
        <w:jc w:val="both"/>
        <w:ind w:left="760" w:right="20"/>
        <w:spacing w:after="0" w:line="257" w:lineRule="auto"/>
        <w:rPr>
          <w:sz w:val="20"/>
          <w:szCs w:val="20"/>
          <w:color w:val="auto"/>
        </w:rPr>
      </w:pPr>
      <w:r>
        <w:rPr>
          <w:rFonts w:ascii="Arial" w:cs="Arial" w:eastAsia="Arial" w:hAnsi="Arial"/>
          <w:sz w:val="18"/>
          <w:szCs w:val="18"/>
          <w:color w:val="auto"/>
        </w:rPr>
        <w:t>Other real estate is reported at either the lower of the fair value of the real estate minus the estimated costs to sell the asset or the cost of the asset. The determination of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48"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following table presents quantitative information about unobservable inputs used in recurring and nonrecurring Level 3 fair value measurements: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(In Thousands)</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Range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center"/>
              <w:ind w:right="170"/>
              <w:spacing w:after="0"/>
              <w:rPr>
                <w:sz w:val="20"/>
                <w:szCs w:val="20"/>
                <w:color w:val="auto"/>
              </w:rPr>
            </w:pPr>
            <w:r>
              <w:rPr>
                <w:rFonts w:ascii="Arial" w:cs="Arial" w:eastAsia="Arial" w:hAnsi="Arial"/>
                <w:sz w:val="18"/>
                <w:szCs w:val="18"/>
                <w:color w:val="auto"/>
                <w:w w:val="90"/>
              </w:rPr>
              <w:t>Fair Value at</w:t>
            </w: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center"/>
              <w:ind w:right="170"/>
              <w:spacing w:after="0"/>
              <w:rPr>
                <w:sz w:val="20"/>
                <w:szCs w:val="20"/>
                <w:color w:val="auto"/>
              </w:rPr>
            </w:pPr>
            <w:r>
              <w:rPr>
                <w:rFonts w:ascii="Arial" w:cs="Arial" w:eastAsia="Arial" w:hAnsi="Arial"/>
                <w:sz w:val="18"/>
                <w:szCs w:val="18"/>
                <w:color w:val="auto"/>
                <w:w w:val="87"/>
              </w:rPr>
              <w:t>June 30, 2019</w:t>
            </w:r>
          </w:p>
        </w:tc>
        <w:tc>
          <w:tcPr>
            <w:tcW w:w="240" w:type="dxa"/>
            <w:vAlign w:val="bottom"/>
          </w:tcPr>
          <w:p>
            <w:pPr>
              <w:spacing w:after="0"/>
              <w:rPr>
                <w:sz w:val="20"/>
                <w:szCs w:val="20"/>
                <w:color w:val="auto"/>
              </w:rPr>
            </w:pPr>
          </w:p>
        </w:tc>
        <w:tc>
          <w:tcPr>
            <w:tcW w:w="2020" w:type="dxa"/>
            <w:vAlign w:val="bottom"/>
          </w:tcPr>
          <w:p>
            <w:pPr>
              <w:jc w:val="right"/>
              <w:ind w:right="190"/>
              <w:spacing w:after="0"/>
              <w:rPr>
                <w:sz w:val="20"/>
                <w:szCs w:val="20"/>
                <w:color w:val="auto"/>
              </w:rPr>
            </w:pPr>
            <w:r>
              <w:rPr>
                <w:rFonts w:ascii="Arial" w:cs="Arial" w:eastAsia="Arial" w:hAnsi="Arial"/>
                <w:sz w:val="18"/>
                <w:szCs w:val="18"/>
                <w:color w:val="auto"/>
              </w:rPr>
              <w:t>Valuation Technique</w:t>
            </w:r>
          </w:p>
        </w:tc>
        <w:tc>
          <w:tcPr>
            <w:tcW w:w="140" w:type="dxa"/>
            <w:vAlign w:val="bottom"/>
          </w:tcPr>
          <w:p>
            <w:pPr>
              <w:spacing w:after="0"/>
              <w:rPr>
                <w:sz w:val="20"/>
                <w:szCs w:val="20"/>
                <w:color w:val="auto"/>
              </w:rPr>
            </w:pPr>
          </w:p>
        </w:tc>
        <w:tc>
          <w:tcPr>
            <w:tcW w:w="3720" w:type="dxa"/>
            <w:vAlign w:val="bottom"/>
            <w:gridSpan w:val="2"/>
          </w:tcPr>
          <w:p>
            <w:pPr>
              <w:ind w:left="1040"/>
              <w:spacing w:after="0"/>
              <w:rPr>
                <w:sz w:val="20"/>
                <w:szCs w:val="20"/>
                <w:color w:val="auto"/>
              </w:rPr>
            </w:pPr>
            <w:r>
              <w:rPr>
                <w:rFonts w:ascii="Arial" w:cs="Arial" w:eastAsia="Arial" w:hAnsi="Arial"/>
                <w:sz w:val="18"/>
                <w:szCs w:val="18"/>
                <w:color w:val="auto"/>
              </w:rPr>
              <w:t>Unobservable Inputs</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Average)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strength of underlying project or</w:t>
            </w: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2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Discounted Cash Flow</w:t>
            </w:r>
          </w:p>
        </w:tc>
        <w:tc>
          <w:tcPr>
            <w:tcW w:w="3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entity / Discount rate</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Collateral based</w:t>
            </w:r>
          </w:p>
        </w:tc>
        <w:tc>
          <w:tcPr>
            <w:tcW w:w="3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Discount to reflect current 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impaired loans</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measurements</w:t>
            </w:r>
          </w:p>
        </w:tc>
        <w:tc>
          <w:tcPr>
            <w:tcW w:w="3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conditions and ultimate collectability</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(23.82%)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3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Discount to reflect current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Appraisals</w:t>
            </w:r>
          </w:p>
        </w:tc>
        <w:tc>
          <w:tcPr>
            <w:tcW w:w="3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(48.67%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60" w:type="dxa"/>
            <w:vAlign w:val="bottom"/>
            <w:gridSpan w:val="2"/>
          </w:tcPr>
          <w:p>
            <w:pPr>
              <w:jc w:val="right"/>
              <w:ind w:right="81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0" w:name="page41"/>
    <w:bookmarkEnd w:id="40"/>
    <w:p>
      <w:pPr>
        <w:jc w:val="center"/>
        <w:ind w:right="316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18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 Thousands)</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Range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color w:val="auto"/>
                <w:w w:val="90"/>
              </w:rPr>
              <w:t>Fair Value at</w:t>
            </w: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center"/>
              <w:ind w:right="70"/>
              <w:spacing w:after="0"/>
              <w:rPr>
                <w:sz w:val="20"/>
                <w:szCs w:val="20"/>
                <w:color w:val="auto"/>
              </w:rPr>
            </w:pPr>
            <w:r>
              <w:rPr>
                <w:rFonts w:ascii="Arial" w:cs="Arial" w:eastAsia="Arial" w:hAnsi="Arial"/>
                <w:sz w:val="18"/>
                <w:szCs w:val="18"/>
                <w:color w:val="auto"/>
                <w:w w:val="89"/>
              </w:rPr>
              <w:t>December 31, 2018</w:t>
            </w:r>
          </w:p>
        </w:tc>
        <w:tc>
          <w:tcPr>
            <w:tcW w:w="240" w:type="dxa"/>
            <w:vAlign w:val="bottom"/>
          </w:tcPr>
          <w:p>
            <w:pPr>
              <w:spacing w:after="0"/>
              <w:rPr>
                <w:sz w:val="20"/>
                <w:szCs w:val="20"/>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Valuation Technique</w:t>
            </w:r>
          </w:p>
        </w:tc>
        <w:tc>
          <w:tcPr>
            <w:tcW w:w="140" w:type="dxa"/>
            <w:vAlign w:val="bottom"/>
          </w:tcPr>
          <w:p>
            <w:pPr>
              <w:spacing w:after="0"/>
              <w:rPr>
                <w:sz w:val="20"/>
                <w:szCs w:val="20"/>
                <w:color w:val="auto"/>
              </w:rPr>
            </w:pPr>
          </w:p>
        </w:tc>
        <w:tc>
          <w:tcPr>
            <w:tcW w:w="3720" w:type="dxa"/>
            <w:vAlign w:val="bottom"/>
            <w:gridSpan w:val="2"/>
          </w:tcPr>
          <w:p>
            <w:pPr>
              <w:ind w:left="1040"/>
              <w:spacing w:after="0"/>
              <w:rPr>
                <w:sz w:val="20"/>
                <w:szCs w:val="20"/>
                <w:color w:val="auto"/>
              </w:rPr>
            </w:pPr>
            <w:r>
              <w:rPr>
                <w:rFonts w:ascii="Arial" w:cs="Arial" w:eastAsia="Arial" w:hAnsi="Arial"/>
                <w:sz w:val="18"/>
                <w:szCs w:val="18"/>
                <w:color w:val="auto"/>
              </w:rPr>
              <w:t>Unobservable Inputs</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Average)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strength of underlying project or</w:t>
            </w: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Discounted Cash Flow</w:t>
            </w:r>
          </w:p>
        </w:tc>
        <w:tc>
          <w:tcPr>
            <w:tcW w:w="3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entity / Discount rate</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Collateral based</w:t>
            </w:r>
          </w:p>
        </w:tc>
        <w:tc>
          <w:tcPr>
            <w:tcW w:w="3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Discount to reflect current 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impaired loans</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measurements</w:t>
            </w:r>
          </w:p>
        </w:tc>
        <w:tc>
          <w:tcPr>
            <w:tcW w:w="3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conditions and ultimate collectability</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3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Discount to reflect current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Appraisals</w:t>
            </w:r>
          </w:p>
        </w:tc>
        <w:tc>
          <w:tcPr>
            <w:tcW w:w="3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presents impaired loans and other real estate owned as recorded at fair value on June 30, 2019 and December 31, 2018:</w:t>
      </w:r>
    </w:p>
    <w:p>
      <w:pPr>
        <w:spacing w:after="0" w:line="27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740" w:type="dxa"/>
            <w:vAlign w:val="bottom"/>
            <w:tcBorders>
              <w:bottom w:val="single" w:sz="8" w:color="auto"/>
            </w:tcBorders>
            <w:gridSpan w:val="12"/>
          </w:tcPr>
          <w:p>
            <w:pPr>
              <w:jc w:val="center"/>
              <w:ind w:left="250"/>
              <w:spacing w:after="0"/>
              <w:rPr>
                <w:sz w:val="20"/>
                <w:szCs w:val="20"/>
                <w:color w:val="auto"/>
              </w:rPr>
            </w:pPr>
            <w:r>
              <w:rPr>
                <w:rFonts w:ascii="Arial" w:cs="Arial" w:eastAsia="Arial" w:hAnsi="Arial"/>
                <w:sz w:val="18"/>
                <w:szCs w:val="18"/>
                <w:color w:val="auto"/>
                <w:w w:val="89"/>
              </w:rPr>
              <w:t>Assets Measured at Fair Value on a Nonrecurring Basis at June 30, 2019</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2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00" w:type="dxa"/>
            <w:vAlign w:val="bottom"/>
            <w:gridSpan w:val="4"/>
          </w:tcPr>
          <w:p>
            <w:pPr>
              <w:jc w:val="center"/>
              <w:ind w:left="10"/>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ind w:left="30"/>
              <w:spacing w:after="0"/>
              <w:rPr>
                <w:sz w:val="20"/>
                <w:szCs w:val="20"/>
                <w:color w:val="auto"/>
              </w:rPr>
            </w:pPr>
            <w:r>
              <w:rPr>
                <w:rFonts w:ascii="Arial" w:cs="Arial" w:eastAsia="Arial" w:hAnsi="Arial"/>
                <w:sz w:val="18"/>
                <w:szCs w:val="18"/>
                <w:color w:val="auto"/>
                <w:w w:val="93"/>
              </w:rPr>
              <w:t>Markets for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left="230"/>
              <w:spacing w:after="0"/>
              <w:rPr>
                <w:sz w:val="20"/>
                <w:szCs w:val="20"/>
                <w:color w:val="auto"/>
              </w:rPr>
            </w:pPr>
            <w:r>
              <w:rPr>
                <w:rFonts w:ascii="Arial" w:cs="Arial" w:eastAsia="Arial" w:hAnsi="Arial"/>
                <w:sz w:val="18"/>
                <w:szCs w:val="18"/>
                <w:color w:val="auto"/>
                <w:w w:val="96"/>
              </w:rPr>
              <w:t>Significant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jc w:val="center"/>
              <w:ind w:left="190"/>
              <w:spacing w:after="0"/>
              <w:rPr>
                <w:sz w:val="20"/>
                <w:szCs w:val="20"/>
                <w:color w:val="auto"/>
              </w:rPr>
            </w:pPr>
            <w:r>
              <w:rPr>
                <w:rFonts w:ascii="Arial" w:cs="Arial" w:eastAsia="Arial" w:hAnsi="Arial"/>
                <w:sz w:val="18"/>
                <w:szCs w:val="18"/>
                <w:color w:val="auto"/>
                <w:w w:val="86"/>
              </w:rPr>
              <w:t>Balance at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Observable Inputs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Unobservable Inputs</w:t>
            </w:r>
          </w:p>
        </w:tc>
      </w:tr>
      <w:tr>
        <w:trPr>
          <w:trHeight w:val="230"/>
        </w:trPr>
        <w:tc>
          <w:tcPr>
            <w:tcW w:w="2340" w:type="dxa"/>
            <w:vAlign w:val="bottom"/>
            <w:tcBorders>
              <w:bottom w:val="single" w:sz="8" w:color="CFF0FC"/>
            </w:tcBorders>
          </w:tcPr>
          <w:p>
            <w:pPr>
              <w:spacing w:after="0"/>
              <w:rPr>
                <w:sz w:val="20"/>
                <w:szCs w:val="20"/>
                <w:color w:val="auto"/>
              </w:rPr>
            </w:pPr>
          </w:p>
        </w:tc>
        <w:tc>
          <w:tcPr>
            <w:tcW w:w="74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9"/>
              </w:rPr>
              <w:t>June 30, 2019</w:t>
            </w: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Assets (Level 1)</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4"/>
              </w:rPr>
              <w:t>(Level 2)</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7"/>
              </w:rPr>
              <w:t>(Level 3)</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09"/>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7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2040" w:type="dxa"/>
            <w:vAlign w:val="bottom"/>
            <w:gridSpan w:val="2"/>
            <w:shd w:val="clear" w:color="auto" w:fill="CFF0FC"/>
          </w:tcPr>
          <w:p>
            <w:pPr>
              <w:jc w:val="right"/>
              <w:ind w:right="11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159</w:t>
            </w:r>
          </w:p>
        </w:tc>
        <w:tc>
          <w:tcPr>
            <w:tcW w:w="20" w:type="dxa"/>
            <w:vAlign w:val="bottom"/>
            <w:shd w:val="clear" w:color="auto" w:fill="CFF0FC"/>
          </w:tcPr>
          <w:p>
            <w:pPr>
              <w:spacing w:after="0"/>
              <w:rPr>
                <w:sz w:val="20"/>
                <w:szCs w:val="20"/>
                <w:color w:val="auto"/>
              </w:rPr>
            </w:pPr>
          </w:p>
        </w:tc>
        <w:tc>
          <w:tcPr>
            <w:tcW w:w="1680" w:type="dxa"/>
            <w:vAlign w:val="bottom"/>
            <w:gridSpan w:val="3"/>
            <w:shd w:val="clear" w:color="auto" w:fill="CFF0FC"/>
          </w:tcPr>
          <w:p>
            <w:pPr>
              <w:jc w:val="right"/>
              <w:ind w:right="12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3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FF0FC"/>
          </w:tcPr>
          <w:p>
            <w:pPr>
              <w:spacing w:after="0"/>
              <w:rPr>
                <w:sz w:val="20"/>
                <w:szCs w:val="20"/>
                <w:color w:val="auto"/>
              </w:rPr>
            </w:pP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Other real estate</w:t>
            </w: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40" w:type="dxa"/>
            <w:vAlign w:val="bottom"/>
          </w:tcPr>
          <w:p>
            <w:pPr>
              <w:ind w:left="140"/>
              <w:spacing w:after="0"/>
              <w:rPr>
                <w:sz w:val="20"/>
                <w:szCs w:val="20"/>
                <w:color w:val="auto"/>
              </w:rPr>
            </w:pPr>
            <w:r>
              <w:rPr>
                <w:rFonts w:ascii="Arial" w:cs="Arial" w:eastAsia="Arial" w:hAnsi="Arial"/>
                <w:sz w:val="18"/>
                <w:szCs w:val="18"/>
                <w:color w:val="auto"/>
              </w:rPr>
              <w:t>owned - commercial</w:t>
            </w: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r>
      <w:tr>
        <w:trPr>
          <w:trHeight w:val="473"/>
        </w:trPr>
        <w:tc>
          <w:tcPr>
            <w:tcW w:w="2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40" w:type="dxa"/>
            <w:vAlign w:val="bottom"/>
            <w:tcBorders>
              <w:bottom w:val="single" w:sz="8" w:color="auto"/>
            </w:tcBorders>
            <w:gridSpan w:val="12"/>
          </w:tcPr>
          <w:p>
            <w:pPr>
              <w:jc w:val="center"/>
              <w:ind w:left="230"/>
              <w:spacing w:after="0"/>
              <w:rPr>
                <w:sz w:val="20"/>
                <w:szCs w:val="20"/>
                <w:color w:val="auto"/>
              </w:rPr>
            </w:pPr>
            <w:r>
              <w:rPr>
                <w:rFonts w:ascii="Arial" w:cs="Arial" w:eastAsia="Arial" w:hAnsi="Arial"/>
                <w:sz w:val="18"/>
                <w:szCs w:val="18"/>
                <w:color w:val="auto"/>
                <w:w w:val="89"/>
              </w:rPr>
              <w:t>Assets Measured at Fair Value on a Nonrecurring Basis at December 31, 2018</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00" w:type="dxa"/>
            <w:vAlign w:val="bottom"/>
            <w:gridSpan w:val="4"/>
          </w:tcPr>
          <w:p>
            <w:pPr>
              <w:jc w:val="center"/>
              <w:spacing w:after="0"/>
              <w:rPr>
                <w:sz w:val="20"/>
                <w:szCs w:val="20"/>
                <w:color w:val="auto"/>
              </w:rPr>
            </w:pPr>
            <w:r>
              <w:rPr>
                <w:rFonts w:ascii="Arial" w:cs="Arial" w:eastAsia="Arial" w:hAnsi="Arial"/>
                <w:sz w:val="18"/>
                <w:szCs w:val="18"/>
                <w:color w:val="auto"/>
                <w:w w:val="90"/>
              </w:rPr>
              <w:t>(In Thousands)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5"/>
              </w:rPr>
              <w:t>Markets for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left="230"/>
              <w:spacing w:after="0"/>
              <w:rPr>
                <w:sz w:val="20"/>
                <w:szCs w:val="20"/>
                <w:color w:val="auto"/>
              </w:rPr>
            </w:pPr>
            <w:r>
              <w:rPr>
                <w:rFonts w:ascii="Arial" w:cs="Arial" w:eastAsia="Arial" w:hAnsi="Arial"/>
                <w:sz w:val="18"/>
                <w:szCs w:val="18"/>
                <w:color w:val="auto"/>
                <w:w w:val="96"/>
              </w:rPr>
              <w:t>Significant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jc w:val="center"/>
              <w:ind w:left="170"/>
              <w:spacing w:after="0"/>
              <w:rPr>
                <w:sz w:val="20"/>
                <w:szCs w:val="20"/>
                <w:color w:val="auto"/>
              </w:rPr>
            </w:pPr>
            <w:r>
              <w:rPr>
                <w:rFonts w:ascii="Arial" w:cs="Arial" w:eastAsia="Arial" w:hAnsi="Arial"/>
                <w:sz w:val="18"/>
                <w:szCs w:val="18"/>
                <w:color w:val="auto"/>
                <w:w w:val="89"/>
              </w:rPr>
              <w:t>Balance at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Observable Inputs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Unobservable Inputs</w:t>
            </w:r>
          </w:p>
        </w:tc>
      </w:tr>
      <w:tr>
        <w:trPr>
          <w:trHeight w:val="230"/>
        </w:trPr>
        <w:tc>
          <w:tcPr>
            <w:tcW w:w="2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December 31, 2018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1"/>
              </w:rPr>
              <w:t>Assets (Level 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4"/>
              </w:rPr>
              <w:t>(Level 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left="230"/>
              <w:spacing w:after="0"/>
              <w:rPr>
                <w:sz w:val="20"/>
                <w:szCs w:val="20"/>
                <w:color w:val="auto"/>
              </w:rPr>
            </w:pPr>
            <w:r>
              <w:rPr>
                <w:rFonts w:ascii="Arial" w:cs="Arial" w:eastAsia="Arial" w:hAnsi="Arial"/>
                <w:sz w:val="18"/>
                <w:szCs w:val="18"/>
                <w:color w:val="auto"/>
                <w:w w:val="97"/>
              </w:rPr>
              <w:t>(Level 3)</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74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2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2040" w:type="dxa"/>
            <w:vAlign w:val="bottom"/>
            <w:gridSpan w:val="2"/>
            <w:shd w:val="clear" w:color="auto" w:fill="CFF0FC"/>
          </w:tcPr>
          <w:p>
            <w:pPr>
              <w:jc w:val="right"/>
              <w:ind w:right="11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215</w:t>
            </w:r>
          </w:p>
        </w:tc>
        <w:tc>
          <w:tcPr>
            <w:tcW w:w="20" w:type="dxa"/>
            <w:vAlign w:val="bottom"/>
            <w:shd w:val="clear" w:color="auto" w:fill="CFF0FC"/>
          </w:tcPr>
          <w:p>
            <w:pPr>
              <w:spacing w:after="0"/>
              <w:rPr>
                <w:sz w:val="20"/>
                <w:szCs w:val="20"/>
                <w:color w:val="auto"/>
              </w:rPr>
            </w:pPr>
          </w:p>
        </w:tc>
        <w:tc>
          <w:tcPr>
            <w:tcW w:w="1680" w:type="dxa"/>
            <w:vAlign w:val="bottom"/>
            <w:gridSpan w:val="3"/>
            <w:shd w:val="clear" w:color="auto" w:fill="CFF0FC"/>
          </w:tcPr>
          <w:p>
            <w:pPr>
              <w:jc w:val="right"/>
              <w:ind w:right="12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3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20"/>
                <w:szCs w:val="20"/>
                <w:color w:val="auto"/>
              </w:rPr>
            </w:pP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Other real estate</w:t>
            </w: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40" w:type="dxa"/>
            <w:vAlign w:val="bottom"/>
          </w:tcPr>
          <w:p>
            <w:pPr>
              <w:ind w:left="140"/>
              <w:spacing w:after="0"/>
              <w:rPr>
                <w:sz w:val="20"/>
                <w:szCs w:val="20"/>
                <w:color w:val="auto"/>
              </w:rPr>
            </w:pPr>
            <w:r>
              <w:rPr>
                <w:rFonts w:ascii="Arial" w:cs="Arial" w:eastAsia="Arial" w:hAnsi="Arial"/>
                <w:sz w:val="18"/>
                <w:szCs w:val="18"/>
                <w:color w:val="auto"/>
              </w:rPr>
              <w:t>owned - commercial</w:t>
            </w: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7 FEDERAL FUNDS PURCHASED AND SECURITIES SOLD UNDER AGREEMENTS TO REPURCHASE</w:t>
      </w:r>
    </w:p>
    <w:p>
      <w:pPr>
        <w:spacing w:after="0" w:line="252"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The Company had no Federal Funds purchased as of June 30, 2019 and $6.5 million as of December 31, 2018, respectively. During the same time periods, the company also had $27.1 million and $25.7 million in securities sold under agreement to repurchase.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87"/>
              </w:rPr>
              <w:t>June 30, 2019</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520" w:type="dxa"/>
            <w:vAlign w:val="bottom"/>
            <w:tcBorders>
              <w:bottom w:val="single" w:sz="8" w:color="auto"/>
            </w:tcBorders>
            <w:gridSpan w:val="17"/>
          </w:tcPr>
          <w:p>
            <w:pPr>
              <w:jc w:val="center"/>
              <w:ind w:left="550"/>
              <w:spacing w:after="0"/>
              <w:rPr>
                <w:sz w:val="20"/>
                <w:szCs w:val="20"/>
                <w:color w:val="auto"/>
              </w:rPr>
            </w:pPr>
            <w:r>
              <w:rPr>
                <w:rFonts w:ascii="Arial" w:cs="Arial" w:eastAsia="Arial" w:hAnsi="Arial"/>
                <w:sz w:val="18"/>
                <w:szCs w:val="18"/>
                <w:color w:val="auto"/>
                <w:w w:val="92"/>
              </w:rPr>
              <w:t>Remaining Contractual Maturity of the Agreements (In Thousands)</w:t>
            </w: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8"/>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Overnight &amp;</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9"/>
              </w:rPr>
              <w:t>Greater Than</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Continuous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Up to 30 days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30-90 days</w:t>
            </w:r>
          </w:p>
        </w:tc>
        <w:tc>
          <w:tcPr>
            <w:tcW w:w="18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color w:val="auto"/>
                <w:w w:val="88"/>
              </w:rPr>
              <w:t>90 days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funds purchased</w:t>
            </w:r>
          </w:p>
        </w:tc>
        <w:tc>
          <w:tcPr>
            <w:tcW w:w="1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gridSpan w:val="2"/>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Repurchase agreements</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&amp; agency securities</w:t>
            </w:r>
          </w:p>
        </w:tc>
        <w:tc>
          <w:tcPr>
            <w:tcW w:w="1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25,572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27,102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8"/>
              </w:rPr>
              <w:t>December 31, 2018</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3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520" w:type="dxa"/>
            <w:vAlign w:val="bottom"/>
            <w:tcBorders>
              <w:bottom w:val="single" w:sz="8" w:color="auto"/>
            </w:tcBorders>
            <w:gridSpan w:val="17"/>
          </w:tcPr>
          <w:p>
            <w:pPr>
              <w:jc w:val="center"/>
              <w:ind w:left="550"/>
              <w:spacing w:after="0"/>
              <w:rPr>
                <w:sz w:val="20"/>
                <w:szCs w:val="20"/>
                <w:color w:val="auto"/>
              </w:rPr>
            </w:pPr>
            <w:r>
              <w:rPr>
                <w:rFonts w:ascii="Arial" w:cs="Arial" w:eastAsia="Arial" w:hAnsi="Arial"/>
                <w:sz w:val="18"/>
                <w:szCs w:val="18"/>
                <w:color w:val="auto"/>
                <w:w w:val="92"/>
              </w:rPr>
              <w:t>Remaining Contractual Maturity of the Agreements (In Thousands)</w:t>
            </w:r>
          </w:p>
        </w:tc>
        <w:tc>
          <w:tcPr>
            <w:tcW w:w="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8"/>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Overnight &amp;</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9"/>
              </w:rPr>
              <w:t>Greater Than</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Continuous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Up to 30 days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30-90 days</w:t>
            </w:r>
          </w:p>
        </w:tc>
        <w:tc>
          <w:tcPr>
            <w:tcW w:w="18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color w:val="auto"/>
                <w:w w:val="88"/>
              </w:rPr>
              <w:t>90 days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funds purchased</w:t>
            </w:r>
          </w:p>
        </w:tc>
        <w:tc>
          <w:tcPr>
            <w:tcW w:w="118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6,486</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6,486</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Repurchase agreements</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&amp; agency securities</w:t>
            </w:r>
          </w:p>
        </w:tc>
        <w:tc>
          <w:tcPr>
            <w:tcW w:w="1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24,889</w:t>
            </w:r>
          </w:p>
        </w:tc>
        <w:tc>
          <w:tcPr>
            <w:tcW w:w="2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25,695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78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7,292</w:t>
            </w:r>
          </w:p>
        </w:tc>
        <w:tc>
          <w:tcPr>
            <w:tcW w:w="220" w:type="dxa"/>
            <w:vAlign w:val="bottom"/>
            <w:gridSpan w:val="2"/>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24,889</w:t>
            </w:r>
          </w:p>
        </w:tc>
        <w:tc>
          <w:tcPr>
            <w:tcW w:w="220" w:type="dxa"/>
            <w:vAlign w:val="bottom"/>
          </w:tcPr>
          <w:p>
            <w:pPr>
              <w:spacing w:after="0"/>
              <w:rPr>
                <w:sz w:val="19"/>
                <w:szCs w:val="19"/>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3780" w:type="dxa"/>
            <w:vAlign w:val="bottom"/>
            <w:shd w:val="clear" w:color="auto" w:fill="D9D9D9"/>
          </w:tcPr>
          <w:p>
            <w:pPr>
              <w:spacing w:after="0"/>
              <w:rPr>
                <w:sz w:val="19"/>
                <w:szCs w:val="19"/>
                <w:color w:val="auto"/>
              </w:rPr>
            </w:pPr>
          </w:p>
        </w:tc>
        <w:tc>
          <w:tcPr>
            <w:tcW w:w="116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98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540" w:type="dxa"/>
            <w:vAlign w:val="bottom"/>
            <w:shd w:val="clear" w:color="auto" w:fill="D9D9D9"/>
          </w:tcPr>
          <w:p>
            <w:pPr>
              <w:spacing w:after="0"/>
              <w:rPr>
                <w:sz w:val="19"/>
                <w:szCs w:val="19"/>
                <w:color w:val="auto"/>
              </w:rPr>
            </w:pPr>
          </w:p>
        </w:tc>
        <w:tc>
          <w:tcPr>
            <w:tcW w:w="520" w:type="dxa"/>
            <w:vAlign w:val="bottom"/>
            <w:shd w:val="clear" w:color="auto" w:fill="D9D9D9"/>
          </w:tcPr>
          <w:p>
            <w:pPr>
              <w:spacing w:after="0"/>
              <w:rPr>
                <w:sz w:val="19"/>
                <w:szCs w:val="19"/>
                <w:color w:val="auto"/>
              </w:rPr>
            </w:pPr>
          </w:p>
        </w:tc>
        <w:tc>
          <w:tcPr>
            <w:tcW w:w="4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98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92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340" w:type="dxa"/>
            <w:vAlign w:val="bottom"/>
            <w:shd w:val="clear" w:color="auto" w:fill="D9D9D9"/>
          </w:tcPr>
          <w:p>
            <w:pPr>
              <w:spacing w:after="0"/>
              <w:rPr>
                <w:sz w:val="19"/>
                <w:szCs w:val="19"/>
                <w:color w:val="auto"/>
              </w:rPr>
            </w:pPr>
          </w:p>
        </w:tc>
        <w:tc>
          <w:tcPr>
            <w:tcW w:w="74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8 RECENT ACCOUNTING PRONOUNCEMENTS</w:t>
      </w:r>
    </w:p>
    <w:p>
      <w:pPr>
        <w:spacing w:after="0" w:line="360"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establishes a right of use model that requires a lessee to record a right of use asset and a lease liability for all leases with terms longer than 12 months. Leases will be classified as either finance or operating, with classification affecting the pattern of expense recognition in the income statement. For lessors, the guidance modifies the classification criteria and the accounting for sales-type and direct financing leases. A lease will be treated as sale if it transfers all of the risks and rewards, as well as control of the underlying asset, to the lessee. If risks and rewards are conveyed without the transfer of control, the lease is treated as a financing. If the lessor doesn’t convey risks and rewards or control, an operating lease results. The amendments are effective for fiscal years beginning after December 15, 2018, including interim periods within those fiscal years for public business entities. Entities are required to use a modified retrospective approach for leases that exist or are entered into after the beginning of the earliest comparative period in the financial statements, with certain practical expedients available. Early adoption is permitted. The Company has adopted ASU 2016-02 on January 1, 2019 and recorded a right of use asset and a corresponding liability in the amount of $491.7 thousand. This did not have a significant impact on the company’s financial statements.</w:t>
      </w:r>
    </w:p>
    <w:p>
      <w:pPr>
        <w:spacing w:after="0" w:line="75" w:lineRule="exact"/>
        <w:rPr>
          <w:sz w:val="20"/>
          <w:szCs w:val="20"/>
          <w:color w:val="auto"/>
        </w:rPr>
      </w:pPr>
    </w:p>
    <w:p>
      <w:pPr>
        <w:jc w:val="both"/>
        <w:ind w:left="760"/>
        <w:spacing w:after="0" w:line="270" w:lineRule="auto"/>
        <w:rPr>
          <w:sz w:val="20"/>
          <w:szCs w:val="20"/>
          <w:color w:val="auto"/>
        </w:rPr>
      </w:pPr>
      <w:r>
        <w:rPr>
          <w:rFonts w:ascii="Arial" w:cs="Arial" w:eastAsia="Arial" w:hAnsi="Arial"/>
          <w:sz w:val="17"/>
          <w:szCs w:val="17"/>
          <w:color w:val="auto"/>
        </w:rPr>
        <w:t>In June 2016,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The ASU requires the measurement of all expected credit losses for financial assets held at the reporting date based on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70"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The ASU is effective for SEC filers for fiscal years, and interim periods within those fiscal years, beginning after December 15, 2019 (i.e., January 1, 2020, for calendar year entities). Early application will be permitted for all organizations for fiscal years, and interim periods within those fiscal years, beginning after December 15, 2018. The Company has contracted with an external advisor and has formed a committee to determine the methodology to be used. Most importantly, the Company is gathering as much data as possible to enable review scenarios and determine which calculations will produce the most reliable results. The Company is in the early stages of CECL conversion analysis with use of a third party service provider and is working to run parallel for a minimum of the last two quarters of 2019.</w:t>
      </w:r>
    </w:p>
    <w:p>
      <w:pPr>
        <w:spacing w:after="0" w:line="70" w:lineRule="exact"/>
        <w:rPr>
          <w:sz w:val="20"/>
          <w:szCs w:val="20"/>
          <w:color w:val="auto"/>
        </w:rPr>
      </w:pPr>
    </w:p>
    <w:p>
      <w:pPr>
        <w:jc w:val="both"/>
        <w:ind w:left="760"/>
        <w:spacing w:after="0" w:line="27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 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Impairment.” </w:t>
      </w:r>
      <w:r>
        <w:rPr>
          <w:rFonts w:ascii="Arial" w:cs="Arial" w:eastAsia="Arial" w:hAnsi="Arial"/>
          <w:sz w:val="17"/>
          <w:szCs w:val="17"/>
          <w:color w:val="auto"/>
        </w:rPr>
        <w:t>These amendments eliminate Step 2 from the goodwill impairment test. The amendments also eliminate the requirements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guidance is effective for annual or any interim goodwill impairment tests in fiscal years beginning after December 15, 2019. Early adoption is permitted for interim or annual goodwill impairment test performed on testing dates after January 1, 2017. ASU 2017-04 should be adopted on a prospective basis. The Company does not expect ASU 2017-04 to have a material impact on its financial statements, as goodwill testing has been completed annually without any impairment concerns.</w:t>
      </w:r>
    </w:p>
    <w:p>
      <w:pPr>
        <w:spacing w:after="0" w:line="71"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w:t>
      </w:r>
      <w:r>
        <w:rPr>
          <w:rFonts w:ascii="Arial" w:cs="Arial" w:eastAsia="Arial" w:hAnsi="Arial"/>
          <w:sz w:val="18"/>
          <w:szCs w:val="18"/>
          <w:color w:val="auto"/>
        </w:rPr>
        <w:t>t.” ASU 2018-13 modifies the disclosure requirements on fair value measurements in Topic 820.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this update remove disclosures that no longer are considered cost beneficial, modify/clarify the specific requirements of certain disclosures, and add disclosure requirements identified as relevant. ASU 2018-13 will be effective until years beginning after December 15, 2019, with early adoption permitted. The Company is in the process of evaluating and does not expect ASU 2018-13 to have a material impact on its accounting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The Company focused on returning our operations to the “quarter of execution” for the second quarter of 2019. The first quarter of 2019 was impacted by a very labor-intensive process as we welcomed new employees, customers and shareholders into the F&amp;M family. This followed our merger with Limberlost Bancshares, Inc. on January 1, 2019 and three weeks later the integration of the Bank of Geneva into The Farmers &amp; Merchants State Bank’s core operating system. Financially, the merger is becoming accretive to earnings during 2019, with a larger legal lending limit enabling the expansion of existing customer’s borrowings, and a wider range of product and services now available to all customers. The second quarter has been the time to focus on these new opportunities.</w:t>
      </w:r>
    </w:p>
    <w:p>
      <w:pPr>
        <w:spacing w:after="0" w:line="220" w:lineRule="exact"/>
        <w:rPr>
          <w:sz w:val="20"/>
          <w:szCs w:val="20"/>
          <w:color w:val="auto"/>
        </w:rPr>
      </w:pPr>
    </w:p>
    <w:p>
      <w:pPr>
        <w:jc w:val="both"/>
        <w:ind w:left="760"/>
        <w:spacing w:after="0" w:line="270" w:lineRule="auto"/>
        <w:rPr>
          <w:sz w:val="20"/>
          <w:szCs w:val="20"/>
          <w:color w:val="auto"/>
        </w:rPr>
      </w:pPr>
      <w:r>
        <w:rPr>
          <w:rFonts w:ascii="Arial" w:cs="Arial" w:eastAsia="Arial" w:hAnsi="Arial"/>
          <w:sz w:val="17"/>
          <w:szCs w:val="17"/>
          <w:color w:val="auto"/>
        </w:rPr>
        <w:t>For the farmers in our market, a continuation of a wet first quarter occurred throughout the second quarter. This led to many not being able to plant all or a portion of their crops. Fortunately, most of our agricultural producers utilize crop insurance. Crop insurance is available in different levels of coverage and allows the producer to guarantee a set level of revenue if a crop is planted or if they are unable to plant. Although crop insurance doesn’t make the farmer profitable; however, it does enable them to continue their operations. Those that are involved in livestock production will also likely feel the effect of tighter feed supplies and higher feed cost. This year’s lack of production may aid in future pricing as the excess supply of beans and the abundant supply of corn from prior years will be tapped. This may aid prices and improve profit potential in 2020. Some farmers also have grain from prior years to sell out of storage and may benefit from the recent increase in grain prices. Those most negatively affected this year are the agri-businesses – equipment dealers, grain elevators, seed, fertilizer and chemical suppliers as insurance is not available to them. Possible improved crop prices should brighten the outlook for sales in 2020 as farmers are more likely to replace equipment when futures are higher.</w:t>
      </w:r>
    </w:p>
    <w:p>
      <w:pPr>
        <w:spacing w:after="0" w:line="205"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In our market areas, more of Indiana was planted than Ohio and the mix of what was planted may have changed. As it became too late for corn, some of those acres were planted to soybeans. The biggest unknowns are what government payments and disaster aid might become available. If government payments are received, the farmer may be better off. Either way, as a division of the Company, the agricultural customers remain healthy and while not a stellar year, the farmers should end above break even.</w:t>
      </w:r>
    </w:p>
    <w:p>
      <w:pPr>
        <w:spacing w:after="0" w:line="214"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The labor shortage is still impacting our commercial customers; whether it is slowing existing projects or expanding the use of technology. It remains one of the largest concerns for 2019. Performance is strong and competition is fierce. The strong performance is evidenced by the size of paydowns and payoffs that have occurred. Regional banks in our market area are busy with larger projects and the small to midsize business segment is where our community bank excels. Overall, the commercial division is optimistic on growth. Many loans which closed in the second quarter will be funded in the third, replacing the accelerated paydowns and payoffs of the first half of the year. Two larger relationships which include construction may not be completely drawn until the fourth quarter.</w:t>
      </w:r>
    </w:p>
    <w:p>
      <w:pPr>
        <w:spacing w:after="0" w:line="220"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Nationally, the automotive demand has fallen below 17 million units for the first time since 2014. The Bank currently has an automotive special running and has been able to maintain the portfolio balances in the retail market. The yield on the new loans being generated is also higher than what last year’s loans were, by about 50 basis points. The Bank has been busy contracting with automotive dealers in the newer markets to expand our opportunities. This should help to maintain the balances in the consumer market.</w:t>
      </w:r>
    </w:p>
    <w:p>
      <w:pPr>
        <w:spacing w:after="0" w:line="198" w:lineRule="exact"/>
        <w:rPr>
          <w:sz w:val="20"/>
          <w:szCs w:val="20"/>
          <w:color w:val="auto"/>
        </w:rPr>
      </w:pPr>
    </w:p>
    <w:p>
      <w:pPr>
        <w:jc w:val="both"/>
        <w:ind w:left="760" w:right="20"/>
        <w:spacing w:after="0" w:line="264" w:lineRule="auto"/>
        <w:rPr>
          <w:sz w:val="20"/>
          <w:szCs w:val="20"/>
          <w:color w:val="auto"/>
        </w:rPr>
      </w:pPr>
      <w:r>
        <w:rPr>
          <w:rFonts w:ascii="Arial" w:cs="Arial" w:eastAsia="Arial" w:hAnsi="Arial"/>
          <w:sz w:val="18"/>
          <w:szCs w:val="18"/>
          <w:color w:val="auto"/>
        </w:rPr>
        <w:t>Home loan origination activity improved in the second quarter and the division was focused on execution. One of the biggest impediments to continued improvement is the lack of available housing in our markets, specifically at the moderate level. The Bank is experiencing increased activity in purchases and home improvement.</w:t>
      </w:r>
    </w:p>
    <w:p>
      <w:pPr>
        <w:spacing w:after="0" w:line="208"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Yield on loans is high due to the payoff of two loans, the same relationship, that was a reversal of an estimated credit loss of almost $2 million that was established in the Limberlost acquisition. The payoff totaled approximately $3.8 million as the customer was able to secure financing elsewhere. This enabled the widening of the net interest margin which would have tightened otherwise from the increased cost of funds outpacing the asset yield improvement. Cost of deposits continues to put pressure on the margin.</w:t>
      </w:r>
    </w:p>
    <w:p>
      <w:pPr>
        <w:spacing w:after="0" w:line="214"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Profitability from core operations is on track to match the expectations for 2019 with the acquisition factored in. As additional acquisition costs continue to lessen, the negative impact on ROA, and ROE should also lessen. F&amp;M will continue to operate on the foundation of a strong community bank platform in the communities we serve and are a part of.</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52"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The focus remains on growth for 2019 along with the widening of our footprint from additional offices. Welcoming and developing our newest offices is also important and a priority. The Company is positioned for positive results in 2019 and remains well capitalized.</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NATURE OF ACTIVITIES</w:t>
      </w:r>
    </w:p>
    <w:p>
      <w:pPr>
        <w:spacing w:after="0" w:line="202"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Farmers &amp; Merchants Bancorp, Inc. (the “Company”) is a financial holding company incorporated under the laws of Ohio in 1985. Our subsidiaries are The Farmers &amp; Merchants State Bank (the “Bank”), a community bank operating in Northwest Ohio since 1897, and Farmers &amp; Merchants Risk Management, Inc., a captive insurance company formed in December 2014 and located in Nevada. We report our financial condition and net income on a consolidated basis and we have only one segment.</w:t>
      </w:r>
    </w:p>
    <w:p>
      <w:pPr>
        <w:spacing w:after="0" w:line="146"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Our executive offices are located at 307 North Defiance Street, Archbold, Ohio 43502, and our telephone number is (419) 446-2501. The Bank operates thirty full service banking offices throughout Northwest Ohio and Northeast Indiana.</w:t>
      </w:r>
    </w:p>
    <w:p>
      <w:pPr>
        <w:spacing w:after="0" w:line="130"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On January 1, 2019, six offices of Bank of Geneva, located in the Indiana counties of Adams, Allen and Jay, were merged with and into The Farmers &amp; Merchants State Bank. The Bank has continued its expansion strategy and the new offices are expected to provide new growth opportunities.</w:t>
      </w:r>
    </w:p>
    <w:p>
      <w:pPr>
        <w:spacing w:after="0" w:line="154" w:lineRule="exact"/>
        <w:rPr>
          <w:sz w:val="20"/>
          <w:szCs w:val="20"/>
          <w:color w:val="auto"/>
        </w:rPr>
      </w:pPr>
    </w:p>
    <w:p>
      <w:pPr>
        <w:jc w:val="both"/>
        <w:ind w:left="700"/>
        <w:spacing w:after="0" w:line="272" w:lineRule="auto"/>
        <w:rPr>
          <w:sz w:val="20"/>
          <w:szCs w:val="20"/>
          <w:color w:val="auto"/>
        </w:rPr>
      </w:pPr>
      <w:r>
        <w:rPr>
          <w:rFonts w:ascii="Arial" w:cs="Arial" w:eastAsia="Arial" w:hAnsi="Arial"/>
          <w:sz w:val="17"/>
          <w:szCs w:val="17"/>
          <w:color w:val="auto"/>
        </w:rPr>
        <w:t>The Farmers &amp; Merchants State Bank engages in general commercial banking and savings business including commercial, agricultural and residential mortgage, consumer and credit card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Because the Bank's offices are located in Northwest Ohio and Northeast Indiana, a substantial amount of the loan portfolio is comprised of loans made to customers in the farming industry for such items as farm land, farm equipment, livestock and operating loans for seed, fertilizer, and feed. Other types of lending activities include loans for home improvements, and loans for the purchase of autos, trucks, recreational vehicles, motorcycles, and other consumer goods.</w:t>
      </w:r>
    </w:p>
    <w:p>
      <w:pPr>
        <w:spacing w:after="0" w:line="137" w:lineRule="exact"/>
        <w:rPr>
          <w:sz w:val="20"/>
          <w:szCs w:val="20"/>
          <w:color w:val="auto"/>
        </w:rPr>
      </w:pPr>
    </w:p>
    <w:p>
      <w:pPr>
        <w:jc w:val="both"/>
        <w:ind w:left="700"/>
        <w:spacing w:after="0" w:line="286" w:lineRule="auto"/>
        <w:rPr>
          <w:sz w:val="20"/>
          <w:szCs w:val="20"/>
          <w:color w:val="auto"/>
        </w:rPr>
      </w:pPr>
      <w:r>
        <w:rPr>
          <w:rFonts w:ascii="Arial" w:cs="Arial" w:eastAsia="Arial" w:hAnsi="Arial"/>
          <w:sz w:val="16"/>
          <w:szCs w:val="16"/>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 teller access to assist the user.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Over the past couple of years, the Bank has updated its consumer offerings with “Secure” and “Pure” checking in 2014 and with KASASA Cash Back in 2015. During the second quarter 2017, new business checking products were announced and existing business accounts were converted to one of three new products, Business Essential, Edge or Elite. The new products provided customers with new options to bundle services and for the Bank to utilize the full relationship to determine pricing. This was the next step of implementation for the Bank’s “earn to free” strategic initiative. During second quarter 2019, “Smart 25” checking and Business Money Market savings products were launched. Upgrades to our digital products and services continue to occur in both retail and business lines.</w:t>
      </w:r>
    </w:p>
    <w:p>
      <w:pPr>
        <w:spacing w:after="0" w:line="134" w:lineRule="exact"/>
        <w:rPr>
          <w:sz w:val="20"/>
          <w:szCs w:val="20"/>
          <w:color w:val="auto"/>
        </w:rPr>
      </w:pPr>
    </w:p>
    <w:p>
      <w:pPr>
        <w:jc w:val="both"/>
        <w:ind w:left="700"/>
        <w:spacing w:after="0" w:line="270" w:lineRule="auto"/>
        <w:rPr>
          <w:sz w:val="20"/>
          <w:szCs w:val="20"/>
          <w:color w:val="auto"/>
        </w:rPr>
      </w:pPr>
      <w:r>
        <w:rPr>
          <w:rFonts w:ascii="Arial" w:cs="Arial" w:eastAsia="Arial" w:hAnsi="Arial"/>
          <w:sz w:val="17"/>
          <w:szCs w:val="17"/>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fixed rate mortgage after which the interest rate will adjust annually. The majority of the Bank's adjustable rate mortgages are of this type.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a broker.</w:t>
      </w:r>
    </w:p>
    <w:p>
      <w:pPr>
        <w:spacing w:after="0" w:line="155" w:lineRule="exact"/>
        <w:rPr>
          <w:sz w:val="20"/>
          <w:szCs w:val="20"/>
          <w:color w:val="auto"/>
        </w:rPr>
      </w:pPr>
    </w:p>
    <w:p>
      <w:pPr>
        <w:jc w:val="both"/>
        <w:ind w:left="700" w:right="20"/>
        <w:spacing w:after="0" w:line="277"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Consumer Loans:</w:t>
      </w:r>
    </w:p>
    <w:p>
      <w:pPr>
        <w:spacing w:after="0" w:line="23" w:lineRule="exact"/>
        <w:rPr>
          <w:sz w:val="20"/>
          <w:szCs w:val="20"/>
          <w:color w:val="auto"/>
        </w:rPr>
      </w:pPr>
    </w:p>
    <w:p>
      <w:pPr>
        <w:ind w:left="1460" w:hanging="378"/>
        <w:spacing w:after="0"/>
        <w:tabs>
          <w:tab w:leader="none" w:pos="1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Maximum loan to value (LTV) for cars, trucks and light trucks vary from 90% to 110% depending on whether direct or indirect.</w:t>
      </w:r>
    </w:p>
    <w:p>
      <w:pPr>
        <w:spacing w:after="0" w:line="20" w:lineRule="exact"/>
        <w:rPr>
          <w:rFonts w:ascii="Arial" w:cs="Arial" w:eastAsia="Arial" w:hAnsi="Arial"/>
          <w:sz w:val="17"/>
          <w:szCs w:val="17"/>
          <w:color w:val="auto"/>
        </w:rPr>
      </w:pPr>
    </w:p>
    <w:p>
      <w:pPr>
        <w:ind w:left="1460" w:hanging="378"/>
        <w:spacing w:after="0"/>
        <w:tabs>
          <w:tab w:leader="none" w:pos="1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Loans above 100% are generally the result of additional charges for extended warranties and/or insurance coverage for wage or death.</w:t>
      </w:r>
    </w:p>
    <w:p>
      <w:pPr>
        <w:spacing w:after="0" w:line="32" w:lineRule="exact"/>
        <w:rPr>
          <w:rFonts w:ascii="Arial" w:cs="Arial" w:eastAsia="Arial" w:hAnsi="Arial"/>
          <w:sz w:val="16"/>
          <w:szCs w:val="16"/>
          <w:color w:val="auto"/>
        </w:rPr>
      </w:pPr>
    </w:p>
    <w:p>
      <w:pPr>
        <w:ind w:left="1460" w:hanging="378"/>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Boats, campers, motorcycles, RV's and Motor Coaches range from 80%-90% based on age of vehicle.</w:t>
      </w:r>
    </w:p>
    <w:p>
      <w:pPr>
        <w:spacing w:after="0" w:line="9" w:lineRule="exact"/>
        <w:rPr>
          <w:rFonts w:ascii="Arial" w:cs="Arial" w:eastAsia="Arial" w:hAnsi="Arial"/>
          <w:sz w:val="18"/>
          <w:szCs w:val="18"/>
          <w:color w:val="auto"/>
        </w:rPr>
      </w:pPr>
    </w:p>
    <w:p>
      <w:pPr>
        <w:ind w:left="1460" w:hanging="378"/>
        <w:spacing w:after="0" w:line="250"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1st or 2nd mortgages on 1-4 family homes range from 75%-90% with "in-house" first real estate mortgages requiring private mortgage insurance on those exceeding 80% LTV.</w:t>
      </w:r>
    </w:p>
    <w:p>
      <w:pPr>
        <w:ind w:left="1460" w:hanging="378"/>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Raw land LTV maximum ranges from 65%-75% depending on whether or not the property has been improved.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Commercial/Agriculture/Real Estate:</w:t>
      </w:r>
    </w:p>
    <w:p>
      <w:pPr>
        <w:spacing w:after="0" w:line="23" w:lineRule="exact"/>
        <w:rPr>
          <w:sz w:val="20"/>
          <w:szCs w:val="20"/>
          <w:color w:val="auto"/>
        </w:rPr>
      </w:pPr>
    </w:p>
    <w:p>
      <w:pPr>
        <w:ind w:left="1460" w:hanging="378"/>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Maximum LTVs range from 70%-80% depending on type.</w:t>
      </w:r>
    </w:p>
    <w:p>
      <w:pPr>
        <w:spacing w:after="0" w:line="9" w:lineRule="exact"/>
        <w:rPr>
          <w:rFonts w:ascii="Arial" w:cs="Arial" w:eastAsia="Arial" w:hAnsi="Arial"/>
          <w:sz w:val="18"/>
          <w:szCs w:val="18"/>
          <w:color w:val="auto"/>
        </w:rPr>
      </w:pPr>
    </w:p>
    <w:p>
      <w:pPr>
        <w:ind w:left="1460" w:hanging="378"/>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Accounts Receivable: Up to 80% LTV less retainages and greater than 90 days.</w:t>
      </w:r>
    </w:p>
    <w:p>
      <w:pPr>
        <w:spacing w:after="0" w:line="9" w:lineRule="exact"/>
        <w:rPr>
          <w:rFonts w:ascii="Arial" w:cs="Arial" w:eastAsia="Arial" w:hAnsi="Arial"/>
          <w:sz w:val="18"/>
          <w:szCs w:val="18"/>
          <w:color w:val="auto"/>
        </w:rPr>
      </w:pPr>
    </w:p>
    <w:p>
      <w:pPr>
        <w:ind w:left="1460" w:hanging="378"/>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Maximum LTV on non-traditional loan up to 85%.</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Inventory:</w:t>
      </w:r>
    </w:p>
    <w:p>
      <w:pPr>
        <w:spacing w:after="0" w:line="23" w:lineRule="exact"/>
        <w:rPr>
          <w:sz w:val="20"/>
          <w:szCs w:val="20"/>
          <w:color w:val="auto"/>
        </w:rPr>
      </w:pPr>
    </w:p>
    <w:p>
      <w:pPr>
        <w:ind w:left="1460" w:hanging="378"/>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Agriculture:</w:t>
      </w:r>
    </w:p>
    <w:p>
      <w:pPr>
        <w:spacing w:after="0" w:line="211" w:lineRule="exact"/>
        <w:rPr>
          <w:sz w:val="20"/>
          <w:szCs w:val="20"/>
          <w:color w:val="auto"/>
        </w:rPr>
      </w:pPr>
    </w:p>
    <w:p>
      <w:pPr>
        <w:ind w:left="1460" w:hanging="378"/>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w:t>
      </w:r>
    </w:p>
    <w:p>
      <w:pPr>
        <w:spacing w:after="0" w:line="225" w:lineRule="exact"/>
        <w:rPr>
          <w:sz w:val="20"/>
          <w:szCs w:val="20"/>
          <w:color w:val="auto"/>
        </w:rPr>
      </w:pPr>
    </w:p>
    <w:p>
      <w:pPr>
        <w:ind w:left="1460" w:hanging="378"/>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Floor plan:</w:t>
      </w:r>
    </w:p>
    <w:p>
      <w:pPr>
        <w:spacing w:after="0" w:line="17" w:lineRule="exact"/>
        <w:rPr>
          <w:sz w:val="20"/>
          <w:szCs w:val="20"/>
          <w:color w:val="auto"/>
        </w:rPr>
      </w:pPr>
    </w:p>
    <w:p>
      <w:pPr>
        <w:ind w:left="2220" w:hanging="381"/>
        <w:spacing w:after="0"/>
        <w:tabs>
          <w:tab w:leader="none" w:pos="2220" w:val="left"/>
        </w:tabs>
        <w:numPr>
          <w:ilvl w:val="0"/>
          <w:numId w:val="21"/>
        </w:numPr>
        <w:rPr>
          <w:rFonts w:ascii="Courier New" w:cs="Courier New" w:eastAsia="Courier New" w:hAnsi="Courier New"/>
          <w:sz w:val="18"/>
          <w:szCs w:val="18"/>
          <w:color w:val="auto"/>
        </w:rPr>
      </w:pPr>
      <w:r>
        <w:rPr>
          <w:rFonts w:ascii="Arial" w:cs="Arial" w:eastAsia="Arial" w:hAnsi="Arial"/>
          <w:sz w:val="18"/>
          <w:szCs w:val="18"/>
          <w:color w:val="auto"/>
        </w:rPr>
        <w:t>New/used vehicles to 100% of wholesale.</w:t>
      </w:r>
    </w:p>
    <w:p>
      <w:pPr>
        <w:ind w:left="2220" w:hanging="381"/>
        <w:spacing w:after="0" w:line="232" w:lineRule="auto"/>
        <w:tabs>
          <w:tab w:leader="none" w:pos="2220" w:val="left"/>
        </w:tabs>
        <w:numPr>
          <w:ilvl w:val="0"/>
          <w:numId w:val="21"/>
        </w:numPr>
        <w:rPr>
          <w:rFonts w:ascii="Courier New" w:cs="Courier New" w:eastAsia="Courier New" w:hAnsi="Courier New"/>
          <w:sz w:val="18"/>
          <w:szCs w:val="18"/>
          <w:color w:val="auto"/>
        </w:rPr>
      </w:pPr>
      <w:r>
        <w:rPr>
          <w:rFonts w:ascii="Arial" w:cs="Arial" w:eastAsia="Arial" w:hAnsi="Arial"/>
          <w:sz w:val="18"/>
          <w:szCs w:val="18"/>
          <w:color w:val="auto"/>
        </w:rPr>
        <w:t>New/Used recreational vehicles and manufactured homes to 80% of wholesale.</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Equipment:</w:t>
      </w:r>
    </w:p>
    <w:p>
      <w:pPr>
        <w:spacing w:after="0" w:line="23" w:lineRule="exact"/>
        <w:rPr>
          <w:sz w:val="20"/>
          <w:szCs w:val="20"/>
          <w:color w:val="auto"/>
        </w:rPr>
      </w:pPr>
    </w:p>
    <w:p>
      <w:pPr>
        <w:ind w:left="1460" w:hanging="378"/>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not to exceed 80% of invoice, used NTE 50% of listed book or 75% of appraised value.</w:t>
      </w:r>
    </w:p>
    <w:p>
      <w:pPr>
        <w:spacing w:after="0" w:line="9" w:lineRule="exact"/>
        <w:rPr>
          <w:rFonts w:ascii="Arial" w:cs="Arial" w:eastAsia="Arial" w:hAnsi="Arial"/>
          <w:sz w:val="18"/>
          <w:szCs w:val="18"/>
          <w:color w:val="auto"/>
        </w:rPr>
      </w:pPr>
    </w:p>
    <w:p>
      <w:pPr>
        <w:ind w:left="1460" w:hanging="378"/>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Restaurant equipment up to 35% of market value.</w:t>
      </w:r>
    </w:p>
    <w:p>
      <w:pPr>
        <w:spacing w:after="0" w:line="9" w:lineRule="exact"/>
        <w:rPr>
          <w:rFonts w:ascii="Arial" w:cs="Arial" w:eastAsia="Arial" w:hAnsi="Arial"/>
          <w:sz w:val="18"/>
          <w:szCs w:val="18"/>
          <w:color w:val="auto"/>
        </w:rPr>
      </w:pPr>
    </w:p>
    <w:p>
      <w:pPr>
        <w:ind w:left="1460" w:hanging="378"/>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Heavy trucks, titled trailers up to NTE 75% LTV and aircraft up to 75% of appraised value.</w:t>
      </w:r>
    </w:p>
    <w:p>
      <w:pPr>
        <w:spacing w:after="0" w:line="170"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F&amp;M Investment Services, the brokerage department of the Bank, opened for business in April 1999. Securities are offered through Raymond James Financial Services, Inc.</w:t>
      </w:r>
    </w:p>
    <w:p>
      <w:pPr>
        <w:spacing w:after="0" w:line="130" w:lineRule="exact"/>
        <w:rPr>
          <w:sz w:val="20"/>
          <w:szCs w:val="20"/>
          <w:color w:val="auto"/>
        </w:rPr>
      </w:pPr>
    </w:p>
    <w:p>
      <w:pPr>
        <w:jc w:val="both"/>
        <w:ind w:left="700"/>
        <w:spacing w:after="0" w:line="297" w:lineRule="auto"/>
        <w:rPr>
          <w:sz w:val="20"/>
          <w:szCs w:val="20"/>
          <w:color w:val="auto"/>
        </w:rPr>
      </w:pPr>
      <w:r>
        <w:rPr>
          <w:rFonts w:ascii="Arial" w:cs="Arial" w:eastAsia="Arial" w:hAnsi="Arial"/>
          <w:sz w:val="16"/>
          <w:szCs w:val="16"/>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which is located in Nevada and regulated by the State of Nevada Division of Insurance.</w:t>
      </w:r>
    </w:p>
    <w:p>
      <w:pPr>
        <w:spacing w:after="0" w:line="131"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The Bank’s primary market includes communities located in the Ohio counties of Defiance, Fulton, Hancock, Henry, Lucas, Williams, Wood and in the Indiana counties of Adams, Allen, DeKalb, Jay and Steuben.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48" w:lineRule="exact"/>
        <w:rPr>
          <w:sz w:val="20"/>
          <w:szCs w:val="20"/>
          <w:color w:val="auto"/>
        </w:rPr>
      </w:pPr>
    </w:p>
    <w:p>
      <w:pPr>
        <w:jc w:val="both"/>
        <w:ind w:left="700"/>
        <w:spacing w:after="0" w:line="308" w:lineRule="auto"/>
        <w:rPr>
          <w:sz w:val="20"/>
          <w:szCs w:val="20"/>
          <w:color w:val="auto"/>
        </w:rPr>
      </w:pPr>
      <w:r>
        <w:rPr>
          <w:rFonts w:ascii="Arial" w:cs="Arial" w:eastAsia="Arial" w:hAnsi="Arial"/>
          <w:sz w:val="17"/>
          <w:szCs w:val="17"/>
          <w:color w:val="auto"/>
        </w:rPr>
        <w:t>At June 30, 2019, we had 347 full time equivalent employees. The employees are not represented by a collective bargaining unit. We provide our employees with a comprehensive benefit program, some of which are contributory. We consider our employee relations to be good.</w:t>
      </w:r>
    </w:p>
    <w:p>
      <w:pPr>
        <w:spacing w:after="0" w:line="14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REGULATORY DEVELOPMENTS</w:t>
      </w:r>
    </w:p>
    <w:p>
      <w:pPr>
        <w:spacing w:after="0" w:line="202"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The Bank remains attentive to the current regulatory environment in light of the regulatory agencies’ risk-based approach to examinations. Regulatory changes and the complexity of new and amended rules have resulted in lack of clarity and uncertainties which could pose an increased risk of noncompliance. Various significant mortgage rules require monitoring by means of testing, validation of results, additional training, and further research or consultation to assist with ongoing compliance.</w:t>
      </w:r>
    </w:p>
    <w:p>
      <w:pPr>
        <w:spacing w:after="0" w:line="146" w:lineRule="exact"/>
        <w:rPr>
          <w:sz w:val="20"/>
          <w:szCs w:val="20"/>
          <w:color w:val="auto"/>
        </w:rPr>
      </w:pPr>
    </w:p>
    <w:p>
      <w:pPr>
        <w:jc w:val="both"/>
        <w:ind w:left="700"/>
        <w:spacing w:after="0" w:line="272" w:lineRule="auto"/>
        <w:rPr>
          <w:sz w:val="20"/>
          <w:szCs w:val="20"/>
          <w:color w:val="auto"/>
        </w:rPr>
      </w:pPr>
      <w:r>
        <w:rPr>
          <w:rFonts w:ascii="Arial" w:cs="Arial" w:eastAsia="Arial" w:hAnsi="Arial"/>
          <w:sz w:val="17"/>
          <w:szCs w:val="17"/>
          <w:color w:val="auto"/>
        </w:rPr>
        <w:t>The Economic Growth Regulatory Relief and Consumer Protection Act (EGRRCPA) was signed into law in May 2018. EGRRCPA was intended to pave the way for banks to lend to creditworthy borrowers and better serve their communities. Rollback of some burdensome requirements resulting from the Dodd-Frank Wall Street Reform and Consumer Protection Act was welcomed by community banks. Regulatory relief has not been immediate, as guidance and new rulemaking remains to be completed to implement various provisions. Sections in the EGRRCPA address access to mortgage credit; consumer access to credit; protections for veterans, consumers, and homeowners; rules for certain bank holding companies, capital access; and protections for student borrowers. Implementation of the rules and guidance for the various provisions of the EGRRCPA will commence as rulemaking occurs.</w:t>
      </w:r>
    </w:p>
    <w:p>
      <w:pPr>
        <w:spacing w:after="0" w:line="205" w:lineRule="exact"/>
        <w:rPr>
          <w:sz w:val="20"/>
          <w:szCs w:val="20"/>
          <w:color w:val="auto"/>
        </w:rPr>
      </w:pPr>
    </w:p>
    <w:p>
      <w:pPr>
        <w:jc w:val="both"/>
        <w:ind w:left="700"/>
        <w:spacing w:after="0" w:line="297" w:lineRule="auto"/>
        <w:rPr>
          <w:sz w:val="20"/>
          <w:szCs w:val="20"/>
          <w:color w:val="auto"/>
        </w:rPr>
      </w:pPr>
      <w:r>
        <w:rPr>
          <w:rFonts w:ascii="Arial" w:cs="Arial" w:eastAsia="Arial" w:hAnsi="Arial"/>
          <w:sz w:val="16"/>
          <w:szCs w:val="16"/>
          <w:color w:val="auto"/>
        </w:rPr>
        <w:t>The Bank is subject to numerous laws, rules, regulations and guidance which include, but are not limited to, the following significant matters: deposit insurance coverage; equal credit opportunity; fair lending; community reinvestment; anti-money laundering; suspicious activity reporting; identity theft identification and prevention; protections for military members and their dependents; flood disaster protection; integrated mortgage disclosures; mortgage servicing rights; legal lending limits; electronic fund transfers; consumer privacy; and unfair and deceptive acts and practices. Extensive training and training resources are necessary to develop and maintain expertise on the various regulatory matters.</w:t>
      </w:r>
    </w:p>
    <w:p>
      <w:pPr>
        <w:spacing w:after="0" w:line="118" w:lineRule="exact"/>
        <w:rPr>
          <w:sz w:val="20"/>
          <w:szCs w:val="20"/>
          <w:color w:val="auto"/>
        </w:rPr>
      </w:pPr>
    </w:p>
    <w:p>
      <w:pPr>
        <w:jc w:val="both"/>
        <w:ind w:left="700"/>
        <w:spacing w:after="0" w:line="297" w:lineRule="auto"/>
        <w:rPr>
          <w:sz w:val="20"/>
          <w:szCs w:val="20"/>
          <w:color w:val="auto"/>
        </w:rPr>
      </w:pPr>
      <w:r>
        <w:rPr>
          <w:rFonts w:ascii="Arial" w:cs="Arial" w:eastAsia="Arial" w:hAnsi="Arial"/>
          <w:sz w:val="16"/>
          <w:szCs w:val="16"/>
          <w:color w:val="auto"/>
        </w:rPr>
        <w:t>The U.S. Department of the Treasury’s final rules on Customer Due Diligence (CDD) and Beneficial Ownership added a fifth core element to the original core elements necessary for an effective Bank Secrecy Act and Anti-Money Laundering compliance program. These rules were effective in May 2018. The CDD Final Rule is a significant step toward greater financial transparency. Prior to these new rules, the ability for individuals to hide financial activity through anonymous ownership of business entities was a weakness in the fight against financial crime. By gaining a more complete profile of entity customers, financial institutions can help further reduce the flow of illicit funds through the US banking system.</w:t>
      </w:r>
    </w:p>
    <w:p>
      <w:pPr>
        <w:spacing w:after="0" w:line="131"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The Company has implemented Basel III capital rules which began to be phased in for the Company on January 1, 2015. These rules may impact the ability of some financial institutions to pay dividends, though the Company believes itself to be able to maintain its strong capital position and not be limited in that regard.</w:t>
      </w:r>
    </w:p>
    <w:p>
      <w:pPr>
        <w:spacing w:after="0" w:line="141"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With regard to all regulatory matters, the Bank remains committed in making good faith efforts to comply with technical requirements of the laws, rules, regulations, and guidance from both federal and state agencies which govern its activities.</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46" w:lineRule="exact"/>
        <w:rPr>
          <w:sz w:val="20"/>
          <w:szCs w:val="20"/>
          <w:color w:val="auto"/>
        </w:rPr>
      </w:pPr>
    </w:p>
    <w:p>
      <w:pPr>
        <w:jc w:val="both"/>
        <w:ind w:left="700"/>
        <w:spacing w:after="0" w:line="269" w:lineRule="auto"/>
        <w:rPr>
          <w:sz w:val="20"/>
          <w:szCs w:val="20"/>
          <w:color w:val="auto"/>
        </w:rPr>
      </w:pPr>
      <w:r>
        <w:rPr>
          <w:rFonts w:ascii="Arial" w:cs="Arial" w:eastAsia="Arial" w:hAnsi="Arial"/>
          <w:sz w:val="17"/>
          <w:szCs w:val="17"/>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ALLL, the valuation of its Mortgage Servicing Rights and the valuation of real estate acquired through</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or in lieu of; loan foreclosures (“OREO Property”) as the accounting areas that require the most subjective or complex judgments, and as such could be the most subject to revision as new information becomes available.</w:t>
      </w:r>
    </w:p>
    <w:p>
      <w:pPr>
        <w:spacing w:after="0" w:line="143"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OREO Property held for sale and is initially recorded at fair value at the date of foreclosure. Subsequent to foreclosure, valuations are periodically performed by management and the assets are carried at the lower of cost or fair value minus estimated costs to sell.</w:t>
      </w:r>
    </w:p>
    <w:p>
      <w:pPr>
        <w:spacing w:after="0" w:line="130"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w:t>
      </w:r>
    </w:p>
    <w:p>
      <w:pPr>
        <w:spacing w:after="0" w:line="141"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The net income from operations of foreclosed real estate held for sale is reported either in noninterest income or noninterest expense depending upon whether the property is in a gain or loss position overall. At June 30, 2019 OREO property holdings were $329 thousand. OREO totaled $600 thousand and $649 thousand as of December 31, 2018 and June 30, 2018 respectively.</w:t>
      </w:r>
    </w:p>
    <w:p>
      <w:pPr>
        <w:spacing w:after="0" w:line="154"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The ALLL and ACL represents management’s estimate of probable credit losses inherent in the Bank’s loan portfolio, unfunded loan commitments, and letters of credit at the report date. The ALLL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46" w:lineRule="exact"/>
        <w:rPr>
          <w:sz w:val="20"/>
          <w:szCs w:val="20"/>
          <w:color w:val="auto"/>
        </w:rPr>
      </w:pPr>
    </w:p>
    <w:p>
      <w:pPr>
        <w:jc w:val="both"/>
        <w:ind w:left="700"/>
        <w:spacing w:after="0" w:line="279" w:lineRule="auto"/>
        <w:rPr>
          <w:sz w:val="20"/>
          <w:szCs w:val="20"/>
          <w:color w:val="auto"/>
        </w:rPr>
      </w:pPr>
      <w:r>
        <w:rPr>
          <w:rFonts w:ascii="Arial" w:cs="Arial" w:eastAsia="Arial" w:hAnsi="Arial"/>
          <w:sz w:val="17"/>
          <w:szCs w:val="17"/>
          <w:color w:val="auto"/>
        </w:rPr>
        <w:t>The Bank’s methodology provides an estimate of the probable credit losses either by calculating a specific loss per credit or by applying a composite of historical factors over a relevant period of time with current internal and external factors which may affect credit collectability. Such factors which may influence estimated losses are the conditions of the local and national economy, local unemployment trends, and abilities of lending staff, valuation trends of fixed assets, and trends in credit delinquency, classified credits, and credit losses.</w:t>
      </w:r>
    </w:p>
    <w:p>
      <w:pPr>
        <w:spacing w:after="0" w:line="131"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Inherent in most estimates is imprecision. The Bank’s ALLL provides a margin for imprecision with an unallocated portion. Bank regulatory agencies and external auditors periodically review the Bank’s methodology and adequacy of the ALLL. Any required changes in the ALLL or loan charge-offs by these agencies or auditors may have a material effect on the ALLL.</w:t>
      </w:r>
    </w:p>
    <w:p>
      <w:pPr>
        <w:spacing w:after="0" w:line="154" w:lineRule="exact"/>
        <w:rPr>
          <w:sz w:val="20"/>
          <w:szCs w:val="20"/>
          <w:color w:val="auto"/>
        </w:rPr>
      </w:pPr>
    </w:p>
    <w:p>
      <w:pPr>
        <w:jc w:val="both"/>
        <w:ind w:left="700" w:right="20"/>
        <w:spacing w:after="0" w:line="264" w:lineRule="auto"/>
        <w:rPr>
          <w:sz w:val="20"/>
          <w:szCs w:val="20"/>
          <w:color w:val="auto"/>
        </w:rPr>
      </w:pPr>
      <w:r>
        <w:rPr>
          <w:rFonts w:ascii="Arial" w:cs="Arial" w:eastAsia="Arial" w:hAnsi="Arial"/>
          <w:sz w:val="18"/>
          <w:szCs w:val="18"/>
          <w:color w:val="auto"/>
        </w:rPr>
        <w:t>The Bank is also required to estimate the value of its mortgage servicing rights. The Bank’s mortgage servicing rights relating to fixed rate single-family mortgage loans that is has sold without recourse but services for others for a fee represent an asset on the Bank’s balance sheet. The valuation is completed by an independent third party.</w:t>
      </w:r>
    </w:p>
    <w:p>
      <w:pPr>
        <w:spacing w:after="0" w:line="141"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41" w:lineRule="exact"/>
        <w:rPr>
          <w:sz w:val="20"/>
          <w:szCs w:val="20"/>
          <w:color w:val="auto"/>
        </w:rPr>
      </w:pPr>
    </w:p>
    <w:p>
      <w:pPr>
        <w:jc w:val="both"/>
        <w:ind w:left="700"/>
        <w:spacing w:after="0" w:line="285" w:lineRule="auto"/>
        <w:rPr>
          <w:sz w:val="20"/>
          <w:szCs w:val="20"/>
          <w:color w:val="auto"/>
        </w:rPr>
      </w:pPr>
      <w:r>
        <w:rPr>
          <w:rFonts w:ascii="Arial" w:cs="Arial" w:eastAsia="Arial" w:hAnsi="Arial"/>
          <w:sz w:val="16"/>
          <w:szCs w:val="16"/>
          <w:color w:val="auto"/>
        </w:rPr>
        <w:t>The Bank’s mortgage servicing rights relating to loans serviced for others represent an asset. This asset is initially capitalized and included in other assets on the Company's consolidated balance sheet. The mortgage servicing rights are then amortized against noninterest income in proportion to, and over the period of the estimated future net servicing income of the underlying mortgage servicing rights using the level yield method. The amortization thereof is recorded in non-interest expense. There are a number of factors, however, that can affect the ultimate value of the mortgage servicing rights to the Bank. 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 meaning that the present value of the mortgage servicing rights is less than the carrying value of those rights on the Bank's balance sheet. Therefore, in an attempt to reflect an accurate expected value to the Bank of the mortgage servicing rights, the Bank receives a valuation of its mortgage servicing rights from an independent third party. The independent third party's valuation of the mortgage servicing rights is based on relevant characteristics of the Bank's loan servicing portfolio, such as loan terms, interest rates and recent national prepayment experience, as well as current national market interest rate levels, market forecasts and other economic conditions. For purposes of determining impairment, the mortgage servicing assets are stratified into like groups based on loan type, term, new versus seasoned and interest rate. Management, with the advice from its third party valuation firm, reviewed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Bank's mortgage servicing rights, management then establishes a valuation allowance by each strata, if necessary, to quantify the likely impairment of the value of the mortgage servicing</w:t>
      </w:r>
    </w:p>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60" w:right="20"/>
        <w:spacing w:after="0" w:line="297" w:lineRule="auto"/>
        <w:rPr>
          <w:sz w:val="20"/>
          <w:szCs w:val="20"/>
          <w:color w:val="auto"/>
        </w:rPr>
      </w:pPr>
      <w:r>
        <w:rPr>
          <w:rFonts w:ascii="Arial" w:cs="Arial" w:eastAsia="Arial" w:hAnsi="Arial"/>
          <w:sz w:val="16"/>
          <w:szCs w:val="16"/>
          <w:color w:val="auto"/>
        </w:rPr>
        <w:t>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w:t>
      </w:r>
    </w:p>
    <w:p>
      <w:pPr>
        <w:spacing w:after="0" w:line="131"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For more information regarding the estimates and calculations used to establish the ALLL please see Note 4 to the consolidated financial statements provided herewith.</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MATERIAL CHANGES IN FINANCIAL CONDITION, LIQUIDITY AND CAPITAL RESOURCES</w:t>
      </w:r>
    </w:p>
    <w:p>
      <w:pPr>
        <w:spacing w:after="0" w:line="189" w:lineRule="exact"/>
        <w:rPr>
          <w:sz w:val="20"/>
          <w:szCs w:val="20"/>
          <w:color w:val="auto"/>
        </w:rPr>
      </w:pPr>
    </w:p>
    <w:p>
      <w:pPr>
        <w:jc w:val="both"/>
        <w:ind w:left="760" w:right="20"/>
        <w:spacing w:after="0" w:line="276" w:lineRule="auto"/>
        <w:rPr>
          <w:sz w:val="20"/>
          <w:szCs w:val="20"/>
          <w:color w:val="auto"/>
        </w:rPr>
      </w:pPr>
      <w:r>
        <w:rPr>
          <w:rFonts w:ascii="Arial" w:cs="Arial" w:eastAsia="Arial" w:hAnsi="Arial"/>
          <w:sz w:val="17"/>
          <w:szCs w:val="17"/>
          <w:color w:val="auto"/>
        </w:rPr>
        <w:t>The Company plans to continue in its growth mode in 2019 led by loan growth from within our newer markets. The Bank is focused on funding the loan growth with the least expensive source of deposits, sale of securities or borrowings. Growing deposits will also be a focus especially in our newer markets. The Bank offers the Insured Cash Sweep (“ICS”) product accessed through the Promontory network of financial institutions which helps to reduce the amount of pledged securities. This has provided more availability for runoff of securities by the Bank if warranted to fund loan growth. Competition for deposits is intense with most competitors offering “special” rates for specific terms.</w:t>
      </w:r>
    </w:p>
    <w:p>
      <w:pPr>
        <w:spacing w:after="0" w:line="146" w:lineRule="exact"/>
        <w:rPr>
          <w:sz w:val="20"/>
          <w:szCs w:val="20"/>
          <w:color w:val="auto"/>
        </w:rPr>
      </w:pPr>
    </w:p>
    <w:p>
      <w:pPr>
        <w:jc w:val="both"/>
        <w:ind w:left="760" w:right="20"/>
        <w:spacing w:after="0" w:line="279" w:lineRule="auto"/>
        <w:rPr>
          <w:sz w:val="20"/>
          <w:szCs w:val="20"/>
          <w:color w:val="auto"/>
        </w:rPr>
      </w:pPr>
      <w:r>
        <w:rPr>
          <w:rFonts w:ascii="Arial" w:cs="Arial" w:eastAsia="Arial" w:hAnsi="Arial"/>
          <w:sz w:val="17"/>
          <w:szCs w:val="17"/>
          <w:color w:val="auto"/>
        </w:rPr>
        <w:t>Liquidity in terms of cash and cash equivalents ended $84.9 million higher as of June 30, 2019 than it was at yearend December 31, 2018. An increase in securities held along with increased deposits funded the $244.8 million increase in net loans since yearend 2018. All loan portfolios increased as a result of the Limberlost acquisition with the largest loan growth having occurred in agricultural real estate and consumer real estate portfolios. Commercial real estate and commercial and industrial portfolios also experienced large increases.</w:t>
      </w:r>
    </w:p>
    <w:p>
      <w:pPr>
        <w:spacing w:after="0" w:line="131" w:lineRule="exact"/>
        <w:rPr>
          <w:sz w:val="20"/>
          <w:szCs w:val="20"/>
          <w:color w:val="auto"/>
        </w:rPr>
      </w:pPr>
    </w:p>
    <w:p>
      <w:pPr>
        <w:jc w:val="both"/>
        <w:ind w:left="760" w:right="20"/>
        <w:spacing w:after="0" w:line="273" w:lineRule="auto"/>
        <w:rPr>
          <w:sz w:val="20"/>
          <w:szCs w:val="20"/>
          <w:color w:val="auto"/>
        </w:rPr>
      </w:pPr>
      <w:r>
        <w:rPr>
          <w:rFonts w:ascii="Arial" w:cs="Arial" w:eastAsia="Arial" w:hAnsi="Arial"/>
          <w:sz w:val="17"/>
          <w:szCs w:val="17"/>
          <w:color w:val="auto"/>
        </w:rPr>
        <w:t>In comparing to the same prior year period, the June 30, 2019 (net of deferred fees and cost) loan balances of $1.1 billion accounted for $260.1 million or 31.3% increase when compared to 2018’s $831.0 million. The year over year improvement in all loan categories was made up of a combined increase of 186.4% in agricultural related loans (comprised of 177.9% in agricultural real estate loans and 8.5% in non-real estate agricultural loans). Consumer real estate loans increased by 93.0%, consumer loans by 21.0%, other loans by 20.9%, and commercial and industrial related loans by 15.6%. The Company credits the growth not only to the Limberlost acquisition, but also the strong team of lenders focused on providing customers valuable localized services and thereby increasing our market share.</w:t>
      </w:r>
    </w:p>
    <w:p>
      <w:pPr>
        <w:spacing w:after="0" w:line="138" w:lineRule="exact"/>
        <w:rPr>
          <w:sz w:val="20"/>
          <w:szCs w:val="20"/>
          <w:color w:val="auto"/>
        </w:rPr>
      </w:pPr>
    </w:p>
    <w:p>
      <w:pPr>
        <w:ind w:left="8280" w:right="820" w:hanging="7503"/>
        <w:spacing w:after="0" w:line="294" w:lineRule="auto"/>
        <w:rPr>
          <w:sz w:val="20"/>
          <w:szCs w:val="20"/>
          <w:color w:val="auto"/>
        </w:rPr>
      </w:pPr>
      <w:r>
        <w:rPr>
          <w:rFonts w:ascii="Arial" w:cs="Arial" w:eastAsia="Arial" w:hAnsi="Arial"/>
          <w:sz w:val="17"/>
          <w:szCs w:val="17"/>
          <w:color w:val="auto"/>
        </w:rPr>
        <w:t>The chart below shows the breakdown of the loan portfolio category as of June 30, for the last three years, net of deferred fees and costs. (In Thousands)</w:t>
      </w: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3"/>
          </w:tcPr>
          <w:p>
            <w:pPr>
              <w:jc w:val="center"/>
              <w:ind w:right="440"/>
              <w:spacing w:after="0" w:line="203" w:lineRule="exact"/>
              <w:rPr>
                <w:sz w:val="20"/>
                <w:szCs w:val="20"/>
                <w:color w:val="auto"/>
              </w:rPr>
            </w:pPr>
            <w:r>
              <w:rPr>
                <w:rFonts w:ascii="Arial" w:cs="Arial" w:eastAsia="Arial" w:hAnsi="Arial"/>
                <w:sz w:val="18"/>
                <w:szCs w:val="18"/>
                <w:color w:val="auto"/>
                <w:w w:val="87"/>
              </w:rPr>
              <w:t>June 30, 2019</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2"/>
              </w:rPr>
              <w:t>June 30, 2018</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90"/>
              <w:spacing w:after="0" w:line="203" w:lineRule="exact"/>
              <w:rPr>
                <w:sz w:val="20"/>
                <w:szCs w:val="20"/>
                <w:color w:val="auto"/>
              </w:rPr>
            </w:pPr>
            <w:r>
              <w:rPr>
                <w:rFonts w:ascii="Arial" w:cs="Arial" w:eastAsia="Arial" w:hAnsi="Arial"/>
                <w:sz w:val="18"/>
                <w:szCs w:val="18"/>
                <w:color w:val="auto"/>
                <w:w w:val="89"/>
              </w:rPr>
              <w:t>June 30, 2017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3"/>
          </w:tcPr>
          <w:p>
            <w:pPr>
              <w:jc w:val="center"/>
              <w:ind w:right="440"/>
              <w:spacing w:after="0"/>
              <w:rPr>
                <w:sz w:val="20"/>
                <w:szCs w:val="20"/>
                <w:color w:val="auto"/>
              </w:rPr>
            </w:pPr>
            <w:r>
              <w:rPr>
                <w:rFonts w:ascii="Arial" w:cs="Arial" w:eastAsia="Arial" w:hAnsi="Arial"/>
                <w:sz w:val="18"/>
                <w:szCs w:val="18"/>
                <w:color w:val="auto"/>
                <w:w w:val="96"/>
              </w:rPr>
              <w:t>Amount</w:t>
            </w:r>
          </w:p>
        </w:tc>
        <w:tc>
          <w:tcPr>
            <w:tcW w:w="160" w:type="dxa"/>
            <w:vAlign w:val="bottom"/>
          </w:tcPr>
          <w:p>
            <w:pPr>
              <w:spacing w:after="0"/>
              <w:rPr>
                <w:sz w:val="20"/>
                <w:szCs w:val="20"/>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Amount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5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158,957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82,368</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83,903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193,616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69,676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64,003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113,906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104,980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83,771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442,538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410,886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394,051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125,673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116,439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123,058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Consumer</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49,100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40,595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35,435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5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Loans, net</w:t>
            </w:r>
          </w:p>
        </w:tc>
        <w:tc>
          <w:tcPr>
            <w:tcW w:w="27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1,091,131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831,015</w:t>
            </w:r>
          </w:p>
        </w:tc>
        <w:tc>
          <w:tcPr>
            <w:tcW w:w="4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790,838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2580" w:type="dxa"/>
            <w:vAlign w:val="bottom"/>
            <w:tcBorders>
              <w:top w:val="single" w:sz="8" w:color="CFF0FC"/>
              <w:bottom w:val="single" w:sz="8" w:color="CFF0FC"/>
            </w:tcBorders>
            <w:vMerge w:val="restart"/>
          </w:tcPr>
          <w:p>
            <w:pPr>
              <w:jc w:val="right"/>
              <w:ind w:right="470"/>
              <w:spacing w:after="0"/>
              <w:rPr>
                <w:sz w:val="20"/>
                <w:szCs w:val="20"/>
                <w:color w:val="auto"/>
              </w:rPr>
            </w:pPr>
            <w:r>
              <w:rPr>
                <w:rFonts w:ascii="Arial" w:cs="Arial" w:eastAsia="Arial" w:hAnsi="Arial"/>
                <w:sz w:val="18"/>
                <w:szCs w:val="18"/>
                <w:color w:val="auto"/>
              </w:rPr>
              <w:t>49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8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95" w:lineRule="exact"/>
        <w:rPr>
          <w:sz w:val="20"/>
          <w:szCs w:val="20"/>
          <w:color w:val="auto"/>
        </w:rPr>
      </w:pPr>
    </w:p>
    <w:p>
      <w:pPr>
        <w:ind w:left="8460" w:right="1320" w:hanging="7698"/>
        <w:spacing w:after="0" w:line="294" w:lineRule="auto"/>
        <w:rPr>
          <w:sz w:val="20"/>
          <w:szCs w:val="20"/>
          <w:color w:val="auto"/>
        </w:rPr>
      </w:pPr>
      <w:r>
        <w:rPr>
          <w:rFonts w:ascii="Arial" w:cs="Arial" w:eastAsia="Arial" w:hAnsi="Arial"/>
          <w:sz w:val="17"/>
          <w:szCs w:val="17"/>
          <w:color w:val="auto"/>
        </w:rPr>
        <w:t>The following is a contractual maturity schedule by major category of loans excluding fair value adjustments as of June 30, 2019. (In Thousands)</w:t>
      </w: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center"/>
              <w:ind w:right="280"/>
              <w:spacing w:after="0" w:line="203" w:lineRule="exact"/>
              <w:rPr>
                <w:sz w:val="20"/>
                <w:szCs w:val="20"/>
                <w:color w:val="auto"/>
              </w:rPr>
            </w:pPr>
            <w:r>
              <w:rPr>
                <w:rFonts w:ascii="Arial" w:cs="Arial" w:eastAsia="Arial" w:hAnsi="Arial"/>
                <w:sz w:val="18"/>
                <w:szCs w:val="18"/>
                <w:color w:val="auto"/>
                <w:w w:val="95"/>
              </w:rPr>
              <w:t>After One</w:t>
            </w: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Within</w:t>
            </w:r>
          </w:p>
        </w:tc>
        <w:tc>
          <w:tcPr>
            <w:tcW w:w="32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Year Within</w:t>
            </w:r>
          </w:p>
        </w:tc>
        <w:tc>
          <w:tcPr>
            <w:tcW w:w="34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After</w:t>
            </w:r>
          </w:p>
        </w:tc>
      </w:tr>
      <w:tr>
        <w:trPr>
          <w:trHeight w:val="230"/>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One Year</w:t>
            </w:r>
          </w:p>
        </w:tc>
        <w:tc>
          <w:tcPr>
            <w:tcW w:w="32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Five Years</w:t>
            </w:r>
          </w:p>
        </w:tc>
        <w:tc>
          <w:tcPr>
            <w:tcW w:w="34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Five Years</w:t>
            </w: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5,513</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17,240</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136,990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188,881</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67,076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32,929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13,787</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168,640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246,708</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56,947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56,108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12,542</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Consumer</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10,642</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6,581</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While the security portfolio has been utilized to fund loan growth for the last three years, additional sources have been cultivated during 2017, 2018, and 2019. The security portfolio increased $36.0 million in the first six months 2019 from yearend 2018. The amount of pledged investment securities increased by $4.4 million as compared to yearend and increased $3.0 million as compared to June 30, 2018. The difference in the growth and consequently pledged securities, improves liquidity with the additional option of selling unpledged investment securities if needed to fund loan growth or other initiatives. As of June 30, 2019, pledged investment securities totaled $86.2 million. The current portfolio is in a net unrealized gain position of $1.0 million.</w:t>
      </w:r>
    </w:p>
    <w:p>
      <w:pPr>
        <w:spacing w:after="0" w:line="220"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For the Bank, an additional $14.5 million is also available from the Federal Home Loan Bank based on current collateral pledging with up to $97 million available provided adequate collateral is pledged.</w:t>
      </w:r>
    </w:p>
    <w:p>
      <w:pPr>
        <w:spacing w:after="0" w:line="130"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With the exception of FHLB stocks, carried at cost, which is shown as other securities, all of the Company’s security portfolio is categorized as “available-for-sale” and as such is recorded at fair value.</w:t>
      </w:r>
    </w:p>
    <w:p>
      <w:pPr>
        <w:spacing w:after="0" w:line="143"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Management feels confident that liquidity needs for future growth can be met through additional maturities and/or sales from the security portfolio, increased deposits and additional borrowings. For short term needs, the Bank has $123.4 million of unsecured borrowing capacity through its correspondent banks.</w:t>
      </w:r>
    </w:p>
    <w:p>
      <w:pPr>
        <w:spacing w:after="0" w:line="141"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Overall total assets increased 37.1% since yearend 2018 and grew 38.5% since June 30, 2018. The largest growth in both periods was in the loan portfolios followed by goodwill.</w:t>
      </w:r>
    </w:p>
    <w:p>
      <w:pPr>
        <w:spacing w:after="0" w:line="130"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Deposits accounted for the largest growth within liabilities, up 33.8% or $313.6 million since yearend and 33.5% or $311.6 million over June 30, 2018 balances. Core deposits continue to drive the increase which provide the opportunity to generate additional noninterest income. This growth aided the increased liquidity position and funded the loan growth for the periods along with usage of purchased Federal Funds for daily borrowings.</w:t>
      </w:r>
    </w:p>
    <w:p>
      <w:pPr>
        <w:spacing w:after="0" w:line="160" w:lineRule="exact"/>
        <w:rPr>
          <w:sz w:val="20"/>
          <w:szCs w:val="20"/>
          <w:color w:val="auto"/>
        </w:rPr>
      </w:pPr>
    </w:p>
    <w:p>
      <w:pPr>
        <w:jc w:val="both"/>
        <w:ind w:left="760"/>
        <w:spacing w:after="0" w:line="276" w:lineRule="auto"/>
        <w:rPr>
          <w:sz w:val="20"/>
          <w:szCs w:val="20"/>
          <w:color w:val="auto"/>
        </w:rPr>
      </w:pPr>
      <w:r>
        <w:rPr>
          <w:rFonts w:ascii="Arial" w:cs="Arial" w:eastAsia="Arial" w:hAnsi="Arial"/>
          <w:sz w:val="17"/>
          <w:szCs w:val="17"/>
          <w:color w:val="auto"/>
        </w:rPr>
        <w:t>Shareholders’ equity increased by $80.8 million as of the second quarter of 2019 compared to yearend 2018, as the acquisition of Limberlost, which included stock in the transaction, was completed on January 1, 2019 along with earnings exceeding dividend declarations in the first quarter. Accumulated other comprehensive loss decreased in loss position by $3.8 million from December 2018 to $806 thousand. Dividends declared were the same as the first quarter at $0.15 per share. Compared to June 30, 2018, shareholders’ equity increased 62.9% or $86.5 million. Profits are higher year-to-date June 2019 than year-to-date June 2018 by $1.5 million with the Limberlost acquisition.</w:t>
      </w:r>
    </w:p>
    <w:p>
      <w:pPr>
        <w:spacing w:after="0" w:line="132" w:lineRule="exact"/>
        <w:rPr>
          <w:sz w:val="20"/>
          <w:szCs w:val="20"/>
          <w:color w:val="auto"/>
        </w:rPr>
      </w:pPr>
    </w:p>
    <w:p>
      <w:pPr>
        <w:jc w:val="both"/>
        <w:ind w:left="760"/>
        <w:spacing w:after="0" w:line="297" w:lineRule="auto"/>
        <w:rPr>
          <w:sz w:val="20"/>
          <w:szCs w:val="20"/>
          <w:color w:val="auto"/>
        </w:rPr>
      </w:pPr>
      <w:r>
        <w:rPr>
          <w:rFonts w:ascii="Arial" w:cs="Arial" w:eastAsia="Arial" w:hAnsi="Arial"/>
          <w:sz w:val="16"/>
          <w:szCs w:val="16"/>
          <w:color w:val="auto"/>
        </w:rPr>
        <w:t>Basel III regulatory capital requirements became effective in 2016. The Bank and Company include a capital conservation buffer as a part of the transition provision. For calendar year 2016, the applicable required capital conservation buffer percentage of 0.625% was the base above which institutions avoid limitations on distributions and certain discretionary bonus payments. For the calendar year 2017, the applicable required capital conservation buffer percentage was 1.25%. For 2018, the capital conservation buffer percentage increased to 1.875%. The total buffer requirement increased to 2.5% for calendar year 2019. As of June 30, 2019, the Company and the Bank are both positioned well above the 2019 requirement.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Bank continues to be well-capitalized in accordance with Federal regulatory capital requirements as the capital ratios below show:</w:t>
      </w:r>
    </w:p>
    <w:p>
      <w:pPr>
        <w:spacing w:after="0" w:line="278" w:lineRule="exact"/>
        <w:rPr>
          <w:sz w:val="20"/>
          <w:szCs w:val="20"/>
          <w:color w:val="auto"/>
        </w:rPr>
      </w:pPr>
    </w:p>
    <w:tbl>
      <w:tblPr>
        <w:tblLayout w:type="fixed"/>
        <w:tblInd w:w="2240" w:type="dxa"/>
        <w:tblCellMar>
          <w:top w:w="0" w:type="dxa"/>
          <w:left w:w="0" w:type="dxa"/>
          <w:bottom w:w="0" w:type="dxa"/>
          <w:right w:w="0" w:type="dxa"/>
        </w:tblCellMar>
      </w:tblP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Tier I Leverage Ratio</w:t>
            </w:r>
          </w:p>
        </w:tc>
        <w:tc>
          <w:tcPr>
            <w:tcW w:w="2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Risk Based Capital Tier I</w:t>
            </w:r>
          </w:p>
        </w:tc>
        <w:tc>
          <w:tcPr>
            <w:tcW w:w="2500" w:type="dxa"/>
            <w:vAlign w:val="bottom"/>
          </w:tcPr>
          <w:p>
            <w:pPr>
              <w:jc w:val="right"/>
              <w:spacing w:after="0"/>
              <w:rPr>
                <w:sz w:val="20"/>
                <w:szCs w:val="20"/>
                <w:color w:val="auto"/>
              </w:rPr>
            </w:pPr>
            <w:r>
              <w:rPr>
                <w:rFonts w:ascii="Arial" w:cs="Arial" w:eastAsia="Arial" w:hAnsi="Arial"/>
                <w:sz w:val="18"/>
                <w:szCs w:val="18"/>
                <w:color w:val="auto"/>
              </w:rPr>
              <w:t>14.98%</w:t>
            </w: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Total Risk Based Capital</w:t>
            </w:r>
          </w:p>
        </w:tc>
        <w:tc>
          <w:tcPr>
            <w:tcW w:w="2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Stockholders' Equity/Total Assets</w:t>
            </w:r>
          </w:p>
        </w:tc>
        <w:tc>
          <w:tcPr>
            <w:tcW w:w="2500" w:type="dxa"/>
            <w:vAlign w:val="bottom"/>
          </w:tcPr>
          <w:p>
            <w:pPr>
              <w:jc w:val="right"/>
              <w:spacing w:after="0"/>
              <w:rPr>
                <w:sz w:val="20"/>
                <w:szCs w:val="20"/>
                <w:color w:val="auto"/>
              </w:rPr>
            </w:pPr>
            <w:r>
              <w:rPr>
                <w:rFonts w:ascii="Arial" w:cs="Arial" w:eastAsia="Arial" w:hAnsi="Arial"/>
                <w:sz w:val="18"/>
                <w:szCs w:val="18"/>
                <w:color w:val="auto"/>
              </w:rPr>
              <w:t>14.64%</w:t>
            </w: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Capital Conservation Buffer</w:t>
            </w:r>
          </w:p>
        </w:tc>
        <w:tc>
          <w:tcPr>
            <w:tcW w:w="2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r>
    </w:tbl>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Comparison of Results of Interest Earnings and Expenses for three month periods ended June 30, 2019 and 2018</w:t>
      </w:r>
    </w:p>
    <w:p>
      <w:pPr>
        <w:spacing w:after="0" w:line="189"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When comparing second quarter 2019 to second quarter 2018, average loan balances with the acquisition of Limberlost grew $273.3 million. This represented a 32.8% increase in a one year time period. Interest income on loan balances also experienced an increase of $6.2 million as compared to the quarter ended June 30, 2018. Loan interest income for the quarter included $2.0 million for the reversal of the estimated credit loss associated with the payoff of two purchase credit-impaired loans as discussed in Note 2. Increases in the prime lending rate between the periods also contributed to the improvement in interest income and rate yield.</w:t>
      </w:r>
    </w:p>
    <w:p>
      <w:pPr>
        <w:spacing w:after="0" w:line="148" w:lineRule="exact"/>
        <w:rPr>
          <w:sz w:val="20"/>
          <w:szCs w:val="20"/>
          <w:color w:val="auto"/>
        </w:rPr>
      </w:pPr>
    </w:p>
    <w:p>
      <w:pPr>
        <w:jc w:val="both"/>
        <w:ind w:left="700"/>
        <w:spacing w:after="0" w:line="286" w:lineRule="auto"/>
        <w:rPr>
          <w:sz w:val="20"/>
          <w:szCs w:val="20"/>
          <w:color w:val="auto"/>
        </w:rPr>
      </w:pPr>
      <w:r>
        <w:rPr>
          <w:rFonts w:ascii="Arial" w:cs="Arial" w:eastAsia="Arial" w:hAnsi="Arial"/>
          <w:sz w:val="17"/>
          <w:szCs w:val="17"/>
          <w:color w:val="auto"/>
        </w:rPr>
        <w:t>The available-for-sale securities portfolio increased in average balances by $3.5 million when comparing to the previous year while the income increased $149 thousand over second quarter. Fed Funds sold and interest bearing deposits increased in average balances by $65.8 million as compared to the same quarter in 2018 which resulted in increased income of $395 thousand for the current quarter.</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Overall total interest income for the quarter comparisons was higher for second quarter 2019 by 58.5% or $6.7 million as to second quarter 2018.</w:t>
      </w:r>
    </w:p>
    <w:p>
      <w:pPr>
        <w:spacing w:after="0" w:line="208" w:lineRule="exact"/>
        <w:rPr>
          <w:sz w:val="20"/>
          <w:szCs w:val="20"/>
          <w:color w:val="auto"/>
        </w:rPr>
      </w:pPr>
    </w:p>
    <w:p>
      <w:pPr>
        <w:jc w:val="both"/>
        <w:ind w:left="700"/>
        <w:spacing w:after="0" w:line="312" w:lineRule="auto"/>
        <w:rPr>
          <w:sz w:val="20"/>
          <w:szCs w:val="20"/>
          <w:color w:val="auto"/>
        </w:rPr>
      </w:pPr>
      <w:r>
        <w:rPr>
          <w:rFonts w:ascii="Arial" w:cs="Arial" w:eastAsia="Arial" w:hAnsi="Arial"/>
          <w:sz w:val="16"/>
          <w:szCs w:val="16"/>
          <w:color w:val="auto"/>
        </w:rPr>
        <w:t>In terms of annualized yield, for the quarter ended June 30, 2019, it was 5.25% which compares to a year ago second quarter ended June 30, 2018 of 4.41%. The following chart demonstrates the value of increased loan balances in the balance sheet mix. The yields on tax-exempt securities and the portion of the tax-exempt IDB loans included in loans have been tax adjusted based on a 21% tax rate in the charts to follow.</w:t>
      </w:r>
    </w:p>
    <w:p>
      <w:pPr>
        <w:spacing w:after="0" w:line="18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7"/>
          </w:tcPr>
          <w:p>
            <w:pPr>
              <w:jc w:val="right"/>
              <w:ind w:right="395"/>
              <w:spacing w:after="0"/>
              <w:rPr>
                <w:sz w:val="20"/>
                <w:szCs w:val="20"/>
                <w:color w:val="auto"/>
              </w:rPr>
            </w:pPr>
            <w:r>
              <w:rPr>
                <w:rFonts w:ascii="Arial" w:cs="Arial" w:eastAsia="Arial" w:hAnsi="Arial"/>
                <w:sz w:val="18"/>
                <w:szCs w:val="18"/>
                <w:color w:val="auto"/>
                <w:w w:val="98"/>
              </w:rPr>
              <w:t>Quarter to Date Ended June 30, 2019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Yield/Rate</w:t>
            </w:r>
          </w:p>
        </w:tc>
      </w:tr>
      <w:tr>
        <w:trPr>
          <w:trHeight w:val="223"/>
        </w:trPr>
        <w:tc>
          <w:tcPr>
            <w:tcW w:w="31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Interest Earning Assets:</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265"/>
              <w:spacing w:after="0"/>
              <w:rPr>
                <w:sz w:val="20"/>
                <w:szCs w:val="20"/>
                <w:color w:val="auto"/>
              </w:rPr>
            </w:pPr>
            <w:r>
              <w:rPr>
                <w:rFonts w:ascii="Arial" w:cs="Arial" w:eastAsia="Arial" w:hAnsi="Arial"/>
                <w:sz w:val="18"/>
                <w:szCs w:val="18"/>
                <w:color w:val="auto"/>
                <w:w w:val="93"/>
              </w:rPr>
              <w:t>Average Balance</w:t>
            </w: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8"/>
                <w:szCs w:val="18"/>
                <w:color w:val="auto"/>
              </w:rPr>
              <w:t>Interest/Dividends</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w w:val="99"/>
              </w:rPr>
              <w:t>June 30, 2019</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9"/>
              </w:rPr>
              <w:t>June 30, 2018</w:t>
            </w:r>
          </w:p>
        </w:tc>
      </w:tr>
      <w:tr>
        <w:trPr>
          <w:trHeight w:val="223"/>
        </w:trPr>
        <w:tc>
          <w:tcPr>
            <w:tcW w:w="3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1,107,271</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0"/>
              </w:rPr>
              <w:t>16,723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16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5.05%</w:t>
            </w: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Taxable investment securities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169,776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640" w:type="dxa"/>
            <w:vAlign w:val="bottom"/>
            <w:gridSpan w:val="3"/>
          </w:tcPr>
          <w:p>
            <w:pPr>
              <w:jc w:val="right"/>
              <w:ind w:right="40"/>
              <w:spacing w:after="0"/>
              <w:rPr>
                <w:sz w:val="20"/>
                <w:szCs w:val="20"/>
                <w:color w:val="auto"/>
              </w:rPr>
            </w:pPr>
            <w:r>
              <w:rPr>
                <w:rFonts w:ascii="Arial" w:cs="Arial" w:eastAsia="Arial" w:hAnsi="Arial"/>
                <w:sz w:val="18"/>
                <w:szCs w:val="18"/>
                <w:color w:val="auto"/>
              </w:rPr>
              <w:t>1.89%</w:t>
            </w:r>
          </w:p>
        </w:tc>
      </w:tr>
      <w:tr>
        <w:trPr>
          <w:trHeight w:val="230"/>
        </w:trPr>
        <w:tc>
          <w:tcPr>
            <w:tcW w:w="3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33,622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6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2.47%</w:t>
            </w: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Fed funds sold &amp; other</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85,145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640" w:type="dxa"/>
            <w:vAlign w:val="bottom"/>
            <w:gridSpan w:val="3"/>
          </w:tcPr>
          <w:p>
            <w:pPr>
              <w:jc w:val="right"/>
              <w:ind w:right="40"/>
              <w:spacing w:after="0"/>
              <w:rPr>
                <w:sz w:val="20"/>
                <w:szCs w:val="20"/>
                <w:color w:val="auto"/>
              </w:rPr>
            </w:pPr>
            <w:r>
              <w:rPr>
                <w:rFonts w:ascii="Arial" w:cs="Arial" w:eastAsia="Arial" w:hAnsi="Arial"/>
                <w:sz w:val="18"/>
                <w:szCs w:val="18"/>
                <w:color w:val="auto"/>
              </w:rPr>
              <w:t>1.28%</w:t>
            </w:r>
          </w:p>
        </w:tc>
      </w:tr>
      <w:tr>
        <w:trPr>
          <w:trHeight w:val="223"/>
        </w:trPr>
        <w:tc>
          <w:tcPr>
            <w:tcW w:w="31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1,395,814</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9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0"/>
              </w:rPr>
              <w:t>18,283</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4.41%</w:t>
            </w:r>
          </w:p>
        </w:tc>
      </w:tr>
      <w:tr>
        <w:trPr>
          <w:trHeight w:val="20"/>
        </w:trPr>
        <w:tc>
          <w:tcPr>
            <w:tcW w:w="58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440"/>
        </w:trPr>
        <w:tc>
          <w:tcPr>
            <w:tcW w:w="580" w:type="dxa"/>
            <w:vAlign w:val="bottom"/>
          </w:tcPr>
          <w:p>
            <w:pPr>
              <w:spacing w:after="0"/>
              <w:rPr>
                <w:sz w:val="24"/>
                <w:szCs w:val="24"/>
                <w:color w:val="auto"/>
              </w:rPr>
            </w:pPr>
          </w:p>
        </w:tc>
        <w:tc>
          <w:tcPr>
            <w:tcW w:w="9700" w:type="dxa"/>
            <w:vAlign w:val="bottom"/>
            <w:gridSpan w:val="18"/>
          </w:tcPr>
          <w:p>
            <w:pPr>
              <w:jc w:val="right"/>
              <w:ind w:right="1480"/>
              <w:spacing w:after="0"/>
              <w:rPr>
                <w:sz w:val="20"/>
                <w:szCs w:val="20"/>
                <w:color w:val="auto"/>
              </w:rPr>
            </w:pPr>
            <w:r>
              <w:rPr>
                <w:rFonts w:ascii="Arial" w:cs="Arial" w:eastAsia="Arial" w:hAnsi="Arial"/>
                <w:sz w:val="18"/>
                <w:szCs w:val="18"/>
                <w:b w:val="1"/>
                <w:bCs w:val="1"/>
                <w:color w:val="auto"/>
              </w:rPr>
              <w:t>Change in Interest Income Quarter to Date June 30, 2019 Compared to June 30, 2018</w:t>
            </w:r>
          </w:p>
        </w:tc>
      </w:tr>
      <w:tr>
        <w:trPr>
          <w:trHeight w:val="473"/>
        </w:trPr>
        <w:tc>
          <w:tcPr>
            <w:tcW w:w="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right="1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center"/>
              <w:ind w:right="30"/>
              <w:spacing w:after="0"/>
              <w:rPr>
                <w:sz w:val="20"/>
                <w:szCs w:val="20"/>
                <w:color w:val="auto"/>
              </w:rPr>
            </w:pPr>
            <w:r>
              <w:rPr>
                <w:rFonts w:ascii="Arial" w:cs="Arial" w:eastAsia="Arial" w:hAnsi="Arial"/>
                <w:sz w:val="18"/>
                <w:szCs w:val="18"/>
                <w:color w:val="auto"/>
                <w:w w:val="89"/>
              </w:rPr>
              <w:t>Change Due</w:t>
            </w:r>
          </w:p>
        </w:tc>
        <w:tc>
          <w:tcPr>
            <w:tcW w:w="160" w:type="dxa"/>
            <w:vAlign w:val="bottom"/>
          </w:tcPr>
          <w:p>
            <w:pPr>
              <w:spacing w:after="0"/>
              <w:rPr>
                <w:sz w:val="18"/>
                <w:szCs w:val="18"/>
                <w:color w:val="auto"/>
              </w:rPr>
            </w:pPr>
          </w:p>
        </w:tc>
        <w:tc>
          <w:tcPr>
            <w:tcW w:w="1480" w:type="dxa"/>
            <w:vAlign w:val="bottom"/>
            <w:gridSpan w:val="3"/>
          </w:tcPr>
          <w:p>
            <w:pPr>
              <w:jc w:val="right"/>
              <w:ind w:right="270"/>
              <w:spacing w:after="0"/>
              <w:rPr>
                <w:sz w:val="20"/>
                <w:szCs w:val="20"/>
                <w:color w:val="auto"/>
              </w:rPr>
            </w:pPr>
            <w:r>
              <w:rPr>
                <w:rFonts w:ascii="Arial" w:cs="Arial" w:eastAsia="Arial" w:hAnsi="Arial"/>
                <w:sz w:val="18"/>
                <w:szCs w:val="18"/>
                <w:color w:val="auto"/>
              </w:rPr>
              <w:t>Change Due</w:t>
            </w:r>
          </w:p>
        </w:tc>
        <w:tc>
          <w:tcPr>
            <w:tcW w:w="580" w:type="dxa"/>
            <w:vAlign w:val="bottom"/>
          </w:tcPr>
          <w:p>
            <w:pPr>
              <w:spacing w:after="0"/>
              <w:rPr>
                <w:sz w:val="18"/>
                <w:szCs w:val="18"/>
                <w:color w:val="auto"/>
              </w:rPr>
            </w:pPr>
          </w:p>
        </w:tc>
      </w:tr>
      <w:tr>
        <w:trPr>
          <w:trHeight w:val="230"/>
        </w:trPr>
        <w:tc>
          <w:tcPr>
            <w:tcW w:w="3140" w:type="dxa"/>
            <w:vAlign w:val="bottom"/>
            <w:gridSpan w:val="2"/>
          </w:tcPr>
          <w:p>
            <w:pPr>
              <w:ind w:left="560"/>
              <w:spacing w:after="0"/>
              <w:rPr>
                <w:sz w:val="20"/>
                <w:szCs w:val="20"/>
                <w:color w:val="auto"/>
              </w:rPr>
            </w:pPr>
            <w:r>
              <w:rPr>
                <w:rFonts w:ascii="Arial" w:cs="Arial" w:eastAsia="Arial" w:hAnsi="Arial"/>
                <w:sz w:val="18"/>
                <w:szCs w:val="18"/>
                <w:color w:val="auto"/>
              </w:rPr>
              <w:t>Interest Earning Assets: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w w:val="96"/>
              </w:rPr>
              <w:t>Total Change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3"/>
          </w:tcPr>
          <w:p>
            <w:pPr>
              <w:jc w:val="center"/>
              <w:ind w:right="330"/>
              <w:spacing w:after="0"/>
              <w:rPr>
                <w:sz w:val="20"/>
                <w:szCs w:val="20"/>
                <w:color w:val="auto"/>
              </w:rPr>
            </w:pPr>
            <w:r>
              <w:rPr>
                <w:rFonts w:ascii="Arial" w:cs="Arial" w:eastAsia="Arial" w:hAnsi="Arial"/>
                <w:sz w:val="18"/>
                <w:szCs w:val="18"/>
                <w:color w:val="auto"/>
                <w:w w:val="91"/>
              </w:rPr>
              <w:t>to Volume</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gridSpan w:val="3"/>
          </w:tcPr>
          <w:p>
            <w:pPr>
              <w:jc w:val="right"/>
              <w:ind w:right="1120"/>
              <w:spacing w:after="0"/>
              <w:rPr>
                <w:sz w:val="20"/>
                <w:szCs w:val="20"/>
                <w:color w:val="auto"/>
              </w:rPr>
            </w:pPr>
            <w:r>
              <w:rPr>
                <w:rFonts w:ascii="Arial" w:cs="Arial" w:eastAsia="Arial" w:hAnsi="Arial"/>
                <w:sz w:val="18"/>
                <w:szCs w:val="18"/>
                <w:color w:val="auto"/>
                <w:w w:val="86"/>
              </w:rPr>
              <w:t>to Rate</w:t>
            </w:r>
          </w:p>
        </w:tc>
      </w:tr>
      <w:tr>
        <w:trPr>
          <w:trHeight w:val="223"/>
        </w:trPr>
        <w:tc>
          <w:tcPr>
            <w:tcW w:w="580" w:type="dxa"/>
            <w:vAlign w:val="bottom"/>
          </w:tcPr>
          <w:p>
            <w:pPr>
              <w:spacing w:after="0"/>
              <w:rPr>
                <w:sz w:val="19"/>
                <w:szCs w:val="19"/>
                <w:color w:val="auto"/>
              </w:rPr>
            </w:pPr>
          </w:p>
        </w:tc>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Loans</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6,202</w:t>
            </w:r>
          </w:p>
        </w:tc>
        <w:tc>
          <w:tcPr>
            <w:tcW w:w="540" w:type="dxa"/>
            <w:vAlign w:val="bottom"/>
            <w:tcBorders>
              <w:top w:val="single" w:sz="8" w:color="auto"/>
            </w:tcBorders>
            <w:gridSpan w:val="3"/>
            <w:shd w:val="clear" w:color="auto" w:fill="CFF0FC"/>
          </w:tcPr>
          <w:p>
            <w:pPr>
              <w:jc w:val="right"/>
              <w:ind w:right="135"/>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4,129</w:t>
            </w:r>
          </w:p>
        </w:tc>
        <w:tc>
          <w:tcPr>
            <w:tcW w:w="580" w:type="dxa"/>
            <w:vAlign w:val="bottom"/>
            <w:tcBorders>
              <w:top w:val="single" w:sz="8" w:color="auto"/>
            </w:tcBorders>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2,073</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113</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w w:val="94"/>
              </w:rPr>
              <w:t>Tax-exempt investment securities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Fed funds sold &amp; other</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353</w:t>
            </w: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6,746</w:t>
            </w: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4,486</w:t>
            </w: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2,260</w:t>
            </w: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Offsetting some of the increase in interest income for the quarter was the increase in cost of funds in 2019. Second quarter 2019 was higher by $2.2 million than second quarter 2018. Since 2018 with the Limberlost acquisition, average interest-bearing deposit balances have increased $243.4 million and resulted in approximately $2.0 million more in interest expense</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52"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for the most recent quarter. During the quarter, the Smart 25 checking account was launched for individuals under 25 years of age along with a new Business Money Market savings product. Additionally, interest expense on FHLB borrowings was up $249 thousand in the second quarter 2019 over the same time frame in 2018 due to borrowings taken on from the acquisition.</w:t>
      </w:r>
    </w:p>
    <w:p>
      <w:pPr>
        <w:spacing w:after="0" w:line="222"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8"/>
                <w:szCs w:val="18"/>
                <w:color w:val="auto"/>
              </w:rPr>
              <w:t>(In Thousands)</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3"/>
        </w:trPr>
        <w:tc>
          <w:tcPr>
            <w:tcW w:w="3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Quarter to Date Ended June 30, 2019</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color w:val="auto"/>
              </w:rPr>
              <w:t>Yield/Rate</w:t>
            </w:r>
          </w:p>
        </w:tc>
      </w:tr>
      <w:tr>
        <w:trPr>
          <w:trHeight w:val="223"/>
        </w:trPr>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Bearing Liabilities:</w:t>
            </w:r>
          </w:p>
        </w:tc>
        <w:tc>
          <w:tcPr>
            <w:tcW w:w="5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1"/>
              </w:rPr>
              <w:t>Average Balance</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Interest</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June 30, 2019</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1"/>
              </w:rPr>
              <w:t>June 30, 2018</w:t>
            </w:r>
          </w:p>
        </w:tc>
      </w:tr>
      <w:tr>
        <w:trPr>
          <w:trHeight w:val="223"/>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718,731</w:t>
            </w:r>
          </w:p>
        </w:tc>
        <w:tc>
          <w:tcPr>
            <w:tcW w:w="1340" w:type="dxa"/>
            <w:vAlign w:val="bottom"/>
            <w:gridSpan w:val="2"/>
            <w:shd w:val="clear" w:color="auto" w:fill="CFF0FC"/>
          </w:tcPr>
          <w:p>
            <w:pPr>
              <w:jc w:val="right"/>
              <w:ind w:right="1057"/>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4"/>
              </w:rPr>
              <w:t>2,006</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0.60%</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Other time deposits</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265,113</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1,333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24,668</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sold under agreement to repurchase</w:t>
            </w:r>
          </w:p>
        </w:tc>
        <w:tc>
          <w:tcPr>
            <w:tcW w:w="5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26,231</w:t>
            </w:r>
          </w:p>
        </w:tc>
        <w:tc>
          <w:tcPr>
            <w:tcW w:w="1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Total Interest Bearing Liabilities</w:t>
            </w:r>
          </w:p>
        </w:tc>
        <w:tc>
          <w:tcPr>
            <w:tcW w:w="5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1,034,743</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105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3,749</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r>
      <w:tr>
        <w:trPr>
          <w:trHeight w:val="20"/>
        </w:trPr>
        <w:tc>
          <w:tcPr>
            <w:tcW w:w="3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Change in Interest Expense Quarter to Date June 30, 2019 Compared to June 30, 2018</w:t>
      </w:r>
    </w:p>
    <w:p>
      <w:pPr>
        <w:spacing w:after="0" w:line="270"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(In Thousands)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Change Due</w:t>
            </w:r>
          </w:p>
        </w:tc>
        <w:tc>
          <w:tcPr>
            <w:tcW w:w="2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w w:val="92"/>
              </w:rPr>
              <w:t>Change Due</w:t>
            </w: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Interest Bearing Liabilities:</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Total Change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to Volume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w w:val="99"/>
              </w:rPr>
              <w:t>to Rate</w:t>
            </w: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360" w:type="dxa"/>
            <w:vAlign w:val="bottom"/>
            <w:tcBorders>
              <w:top w:val="single" w:sz="8" w:color="auto"/>
            </w:tcBorders>
            <w:shd w:val="clear" w:color="auto" w:fill="CFF0FC"/>
          </w:tcPr>
          <w:p>
            <w:pPr>
              <w:jc w:val="right"/>
              <w:ind w:right="20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1,171</w:t>
            </w:r>
          </w:p>
        </w:tc>
        <w:tc>
          <w:tcPr>
            <w:tcW w:w="240" w:type="dxa"/>
            <w:vAlign w:val="bottom"/>
            <w:tcBorders>
              <w:top w:val="single" w:sz="8" w:color="auto"/>
            </w:tcBorders>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446</w:t>
            </w:r>
          </w:p>
        </w:tc>
        <w:tc>
          <w:tcPr>
            <w:tcW w:w="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725</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time deposits</w:t>
            </w:r>
          </w:p>
        </w:tc>
        <w:tc>
          <w:tcPr>
            <w:tcW w:w="3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359</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sold under agreement to repurchase</w:t>
            </w: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23</w:t>
            </w: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Total Interest Bearing Liabilities</w:t>
            </w:r>
          </w:p>
        </w:tc>
        <w:tc>
          <w:tcPr>
            <w:tcW w:w="360" w:type="dxa"/>
            <w:vAlign w:val="bottom"/>
            <w:tcBorders>
              <w:bottom w:val="single" w:sz="8" w:color="auto"/>
            </w:tcBorders>
          </w:tcPr>
          <w:p>
            <w:pPr>
              <w:jc w:val="right"/>
              <w:ind w:right="20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1,080</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1,142</w:t>
            </w: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00" w:right="20"/>
        <w:spacing w:after="0" w:line="342" w:lineRule="auto"/>
        <w:rPr>
          <w:sz w:val="20"/>
          <w:szCs w:val="20"/>
          <w:color w:val="auto"/>
        </w:rPr>
      </w:pPr>
      <w:r>
        <w:rPr>
          <w:rFonts w:ascii="Arial" w:cs="Arial" w:eastAsia="Arial" w:hAnsi="Arial"/>
          <w:sz w:val="16"/>
          <w:szCs w:val="16"/>
          <w:color w:val="auto"/>
        </w:rPr>
        <w:t>Overall, net interest spread for the second quarter 2019 is 18 basis points higher than last year. As the following chart illustrates, higher yields on interest and dividend income did offset the higher interest expense in the most recent quarter when comparing to the same period a year ago.</w:t>
      </w:r>
    </w:p>
    <w:p>
      <w:pPr>
        <w:spacing w:after="0" w:line="164"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June 30, 2019</w:t>
            </w:r>
          </w:p>
        </w:tc>
        <w:tc>
          <w:tcPr>
            <w:tcW w:w="3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7"/>
              </w:rPr>
              <w:t>June 30, 2018</w:t>
            </w:r>
          </w:p>
        </w:tc>
        <w:tc>
          <w:tcPr>
            <w:tcW w:w="32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June 30, 2017</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Interest/Dividend income/yield</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5.25%</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4.41%</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Interest Expense/cost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0.79%</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3.80%</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3.62%</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Net Interest Margin</w:t>
            </w: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4.18%</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3.83%</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Net interest income was up $4.5 million for the second quarter 2019 over the same time frame in 2018 due to the increase in loan interest income and partially offset by higher interest expense, as previously mentioned. As the new loans added in 2018 and 2019 generate more income, management expects the benefits of the Company’s strategy of repositioning the balance sheet to continue to widen this margin as measured in dollars. In terms of net interest margin rate, the Bank recognizes competition for deposits have and will continue to put pressure on the margin which may lead to a tightening.</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Comparison of Noninterest Results of Operations - First Quarter 2019 to First Quarter 2018</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Provision Expense</w:t>
      </w:r>
    </w:p>
    <w:p>
      <w:pPr>
        <w:spacing w:after="0" w:line="185" w:lineRule="exact"/>
        <w:rPr>
          <w:sz w:val="20"/>
          <w:szCs w:val="20"/>
          <w:color w:val="auto"/>
        </w:rPr>
      </w:pPr>
    </w:p>
    <w:p>
      <w:pPr>
        <w:jc w:val="both"/>
        <w:ind w:left="700"/>
        <w:spacing w:after="0" w:line="297" w:lineRule="auto"/>
        <w:rPr>
          <w:sz w:val="20"/>
          <w:szCs w:val="20"/>
          <w:color w:val="auto"/>
        </w:rPr>
      </w:pPr>
      <w:r>
        <w:rPr>
          <w:rFonts w:ascii="Arial" w:cs="Arial" w:eastAsia="Arial" w:hAnsi="Arial"/>
          <w:sz w:val="16"/>
          <w:szCs w:val="16"/>
          <w:color w:val="auto"/>
        </w:rPr>
        <w:t>The ALLL has a direct impact on the provision expense. The increase in the ALLL is funded through recoveries and provision expense. The following tables both deal with the allowance for credit losses. The first table breaks down the activity within ALLL for each loan portfolio class and shows the contribution provided by both the recoveries and the provision along with the reduction of the allowance caused by charge-offs. The second table discloses how much of the ALLL is attributed to each class of the loan portfolio, as well as the percent that each particular class of the loan portfolio represents to the entire loan portfolio in the aggregate. The consumer loan portfolios accounted for the largest component of</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charge-offs and recoveries for second quarter of 2019 as compared to the commercial and consumer portfolios which comprised the majority of the charge-offs and recoveries for second quarter 2018. The commercial real estate portfolio is currently creating a large impact on the ALLL due to the loan growth.</w:t>
      </w:r>
    </w:p>
    <w:p>
      <w:pPr>
        <w:spacing w:after="0" w:line="154"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Total provision for loan losses was $1 thousand higher for the second quarter 2019 as compared to the same quarter 2018. Management continues to monitor asset quality, making adjustments to the provision as necessary. Loan charge-offs were $54 thousand lower in second quarter 2019 than the same quarter 2018. Recoveries were $3 thousand higher in second quarter 2019 as compared to second quarter 2018. Combined net charge-offs were $57 thousand lower in second quarter 2019 than the same time period 2018. Past due loans increased $3.5 million from June 30, 2018 as compared to June 30, 2019. The majority of the change is attributed to the increase of past due balances in the agricultural, consumer real estate, and agricultural real estate portfolios.</w:t>
      </w:r>
    </w:p>
    <w:p>
      <w:pPr>
        <w:spacing w:after="0" w:line="153"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three months ended June 30, 2019, 2018, and 2017.</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(In Thousands)</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color w:val="auto"/>
                <w:w w:val="92"/>
              </w:rPr>
              <w:t>Three Months Ended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color w:val="auto"/>
                <w:w w:val="92"/>
              </w:rPr>
              <w:t>Three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color w:val="auto"/>
                <w:w w:val="89"/>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Borders>
              <w:bottom w:val="single" w:sz="8" w:color="CFF0FC"/>
            </w:tcBorders>
          </w:tcPr>
          <w:p>
            <w:pPr>
              <w:spacing w:after="0"/>
              <w:rPr>
                <w:sz w:val="20"/>
                <w:szCs w:val="20"/>
                <w:color w:val="auto"/>
              </w:rPr>
            </w:pPr>
          </w:p>
        </w:tc>
        <w:tc>
          <w:tcPr>
            <w:tcW w:w="6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June 30, 2019</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June 30, 2018</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June 30,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Loans, net</w:t>
            </w:r>
          </w:p>
        </w:tc>
        <w:tc>
          <w:tcPr>
            <w:tcW w:w="6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1,091,131</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831,015</w:t>
            </w:r>
          </w:p>
        </w:tc>
        <w:tc>
          <w:tcPr>
            <w:tcW w:w="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790,838</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74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gridSpan w:val="2"/>
            <w:vMerge w:val="continue"/>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1,107,271</w:t>
            </w:r>
          </w:p>
        </w:tc>
        <w:tc>
          <w:tcPr>
            <w:tcW w:w="3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833,932</w:t>
            </w:r>
          </w:p>
        </w:tc>
        <w:tc>
          <w:tcPr>
            <w:tcW w:w="3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777,649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9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Allowance for Loan Losses - Apr 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6,636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6,800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6,850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Charged off:</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6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9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128</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182</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 Recoveries:</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6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9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Net Charge Offs</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143</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ind w:left="980"/>
              <w:spacing w:after="0"/>
              <w:rPr>
                <w:sz w:val="20"/>
                <w:szCs w:val="20"/>
                <w:color w:val="auto"/>
              </w:rPr>
            </w:pPr>
            <w:r>
              <w:rPr>
                <w:rFonts w:ascii="Arial" w:cs="Arial" w:eastAsia="Arial" w:hAnsi="Arial"/>
                <w:sz w:val="18"/>
                <w:szCs w:val="18"/>
                <w:color w:val="auto"/>
              </w:rPr>
              <w:t>Provision for loan loss</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Acquisition provision for loan loss</w:t>
            </w:r>
          </w:p>
        </w:tc>
        <w:tc>
          <w:tcPr>
            <w:tcW w:w="6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9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Allowance for Loan &amp; Lease Losses - June 30,</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6,683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6,789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&amp; Letters of Credit - June 30,</w:t>
            </w:r>
          </w:p>
        </w:tc>
        <w:tc>
          <w:tcPr>
            <w:tcW w:w="6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9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370</w:t>
            </w:r>
          </w:p>
        </w:tc>
        <w:tc>
          <w:tcPr>
            <w:tcW w:w="3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9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315</w:t>
            </w:r>
          </w:p>
        </w:tc>
        <w:tc>
          <w:tcPr>
            <w:tcW w:w="3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63"/>
        </w:trPr>
        <w:tc>
          <w:tcPr>
            <w:tcW w:w="4100" w:type="dxa"/>
            <w:vAlign w:val="bottom"/>
            <w:gridSpan w:val="2"/>
          </w:tcPr>
          <w:p>
            <w:pPr>
              <w:spacing w:after="0"/>
              <w:rPr>
                <w:sz w:val="20"/>
                <w:szCs w:val="20"/>
                <w:color w:val="auto"/>
              </w:rPr>
            </w:pPr>
            <w:r>
              <w:rPr>
                <w:rFonts w:ascii="Arial" w:cs="Arial" w:eastAsia="Arial" w:hAnsi="Arial"/>
                <w:sz w:val="18"/>
                <w:szCs w:val="18"/>
                <w:color w:val="auto"/>
              </w:rPr>
              <w:t>Total Allowance for Credit Losses - June 30,</w:t>
            </w:r>
          </w:p>
        </w:tc>
        <w:tc>
          <w:tcPr>
            <w:tcW w:w="6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7,053</w:t>
            </w:r>
          </w:p>
        </w:tc>
        <w:tc>
          <w:tcPr>
            <w:tcW w:w="3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7,104</w:t>
            </w:r>
          </w:p>
        </w:tc>
        <w:tc>
          <w:tcPr>
            <w:tcW w:w="3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Ratio of net charge-offs to average</w:t>
            </w:r>
          </w:p>
        </w:tc>
        <w:tc>
          <w:tcPr>
            <w:tcW w:w="6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96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94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8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Loans outstanding</w:t>
            </w:r>
          </w:p>
        </w:tc>
        <w:tc>
          <w:tcPr>
            <w:tcW w:w="6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3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Ratio of the Allowance for Loan Loss to</w:t>
            </w: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Nonperforming Loans*</w:t>
            </w:r>
          </w:p>
        </w:tc>
        <w:tc>
          <w:tcPr>
            <w:tcW w:w="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375.51%</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751.49%</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20" w:right="2540" w:hanging="4856"/>
        <w:spacing w:after="0" w:line="528" w:lineRule="auto"/>
        <w:tabs>
          <w:tab w:leader="none" w:pos="11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past 90 days not on nonaccrual.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291" w:lineRule="auto"/>
        <w:rPr>
          <w:sz w:val="20"/>
          <w:szCs w:val="20"/>
          <w:color w:val="auto"/>
        </w:rPr>
      </w:pPr>
      <w:r>
        <w:rPr>
          <w:rFonts w:ascii="Arial" w:cs="Arial" w:eastAsia="Arial" w:hAnsi="Arial"/>
          <w:sz w:val="16"/>
          <w:szCs w:val="16"/>
          <w:color w:val="auto"/>
        </w:rPr>
        <w:t>The Bank uses the following guidelines as stated in policy to determine when to realize a charge-off of a loan, whether partial loan balance or full loan balance.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charge-offs may be realized as further unsecured positions are recognized.</w:t>
      </w:r>
    </w:p>
    <w:p>
      <w:pPr>
        <w:spacing w:after="0" w:line="140"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Loans classified as nonaccrual were higher as of June 30, 2019 at $1.3 million as compared to $903 thousand as of June 30, 2018. The majority of the increase is in the agricultural real estate, consumer real estate and agricultural portfolios.</w:t>
      </w:r>
    </w:p>
    <w:p>
      <w:pPr>
        <w:spacing w:after="0" w:line="130"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In determining the allocation for impaired loans the Bank applies the appraised market value of the collateral securing the asset, reduced by applying a discount for estimated costs of collateral liquidation. In some instances where the discounted market value is less than the loan amount, a specific impairment allocation is assigned, which may be reduced or eliminated by the write down of the credit’s active principal outstanding balance.</w:t>
      </w:r>
    </w:p>
    <w:p>
      <w:pPr>
        <w:spacing w:after="0" w:line="146"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For the majority of the Bank’s impaired loans, including all collateral dependent loans, the Bank will apply the appraised market value methodology. However, the Bank may also utilize a measurement incorporating the present value of expected future cash flows discounted at the loan's effective rate of interest. To determine appraised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presents the balances for allowance of loan losses by loan type for six months ended June 30, 2019 and June 30, 2018.</w:t>
      </w:r>
    </w:p>
    <w:p>
      <w:pPr>
        <w:spacing w:after="0" w:line="266"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color w:val="auto"/>
                <w:w w:val="90"/>
              </w:rPr>
              <w:t>(In Thousands)</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color w:val="auto"/>
                <w:w w:val="90"/>
              </w:rPr>
              <w:t>(In Thousands)</w:t>
            </w:r>
          </w:p>
        </w:tc>
        <w:tc>
          <w:tcPr>
            <w:tcW w:w="1480" w:type="dxa"/>
            <w:vAlign w:val="bottom"/>
          </w:tcPr>
          <w:p>
            <w:pPr>
              <w:spacing w:after="0"/>
              <w:rPr>
                <w:sz w:val="19"/>
                <w:szCs w:val="19"/>
                <w:color w:val="auto"/>
              </w:rPr>
            </w:pPr>
          </w:p>
        </w:tc>
      </w:tr>
      <w:tr>
        <w:trPr>
          <w:trHeight w:val="230"/>
        </w:trPr>
        <w:tc>
          <w:tcPr>
            <w:tcW w:w="4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89"/>
              </w:rPr>
              <w:t>June 30, 2019</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color w:val="auto"/>
                <w:w w:val="87"/>
              </w:rPr>
              <w:t>June 30, 2018</w:t>
            </w:r>
          </w:p>
        </w:tc>
        <w:tc>
          <w:tcPr>
            <w:tcW w:w="1480" w:type="dxa"/>
            <w:vAlign w:val="bottom"/>
          </w:tcPr>
          <w:p>
            <w:pPr>
              <w:spacing w:after="0"/>
              <w:rPr>
                <w:sz w:val="20"/>
                <w:szCs w:val="20"/>
                <w:color w:val="auto"/>
              </w:rPr>
            </w:pPr>
          </w:p>
        </w:tc>
      </w:tr>
      <w:tr>
        <w:trPr>
          <w:trHeight w:val="209"/>
        </w:trPr>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 of Loan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 of Loan</w:t>
            </w:r>
          </w:p>
        </w:tc>
      </w:tr>
      <w:tr>
        <w:trPr>
          <w:trHeight w:val="230"/>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End of Period Applicable To:</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Amount</w:t>
            </w:r>
          </w:p>
        </w:tc>
        <w:tc>
          <w:tcPr>
            <w:tcW w:w="1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Category</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Amount</w:t>
            </w: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Category</w:t>
            </w: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320" w:type="dxa"/>
            <w:vAlign w:val="bottom"/>
            <w:gridSpan w:val="2"/>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232</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14.57%</w:t>
            </w:r>
          </w:p>
        </w:tc>
        <w:tc>
          <w:tcPr>
            <w:tcW w:w="200" w:type="dxa"/>
            <w:vAlign w:val="bottom"/>
            <w:gridSpan w:val="2"/>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251</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340</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17.74%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1480" w:type="dxa"/>
            <w:vAlign w:val="bottom"/>
          </w:tcPr>
          <w:p>
            <w:pPr>
              <w:jc w:val="right"/>
              <w:spacing w:after="0"/>
              <w:rPr>
                <w:sz w:val="20"/>
                <w:szCs w:val="20"/>
                <w:color w:val="auto"/>
              </w:rPr>
            </w:pPr>
            <w:r>
              <w:rPr>
                <w:rFonts w:ascii="Arial" w:cs="Arial" w:eastAsia="Arial" w:hAnsi="Arial"/>
                <w:sz w:val="18"/>
                <w:szCs w:val="18"/>
                <w:color w:val="auto"/>
              </w:rPr>
              <w:t>8.39%</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756</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10.44%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751</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3,320</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40.56%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3,260</w:t>
            </w:r>
          </w:p>
        </w:tc>
        <w:tc>
          <w:tcPr>
            <w:tcW w:w="1480" w:type="dxa"/>
            <w:vAlign w:val="bottom"/>
          </w:tcPr>
          <w:p>
            <w:pPr>
              <w:jc w:val="right"/>
              <w:spacing w:after="0"/>
              <w:rPr>
                <w:sz w:val="20"/>
                <w:szCs w:val="20"/>
                <w:color w:val="auto"/>
              </w:rPr>
            </w:pPr>
            <w:r>
              <w:rPr>
                <w:rFonts w:ascii="Arial" w:cs="Arial" w:eastAsia="Arial" w:hAnsi="Arial"/>
                <w:sz w:val="18"/>
                <w:szCs w:val="18"/>
                <w:color w:val="auto"/>
              </w:rPr>
              <w:t>49.44%</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1,461</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12.19%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1,420</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569</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459</w:t>
            </w:r>
          </w:p>
        </w:tc>
        <w:tc>
          <w:tcPr>
            <w:tcW w:w="1480" w:type="dxa"/>
            <w:vAlign w:val="bottom"/>
          </w:tcPr>
          <w:p>
            <w:pPr>
              <w:jc w:val="right"/>
              <w:spacing w:after="0"/>
              <w:rPr>
                <w:sz w:val="20"/>
                <w:szCs w:val="20"/>
                <w:color w:val="auto"/>
              </w:rPr>
            </w:pPr>
            <w:r>
              <w:rPr>
                <w:rFonts w:ascii="Arial" w:cs="Arial" w:eastAsia="Arial" w:hAnsi="Arial"/>
                <w:sz w:val="18"/>
                <w:szCs w:val="18"/>
                <w:color w:val="auto"/>
              </w:rPr>
              <w:t>4.89%</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Unallocated</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393</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Allowance for Loan &amp; Lease Losses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6,683</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6,789</w:t>
            </w:r>
          </w:p>
        </w:tc>
        <w:tc>
          <w:tcPr>
            <w:tcW w:w="1480" w:type="dxa"/>
            <w:vAlign w:val="bottom"/>
          </w:tcPr>
          <w:p>
            <w:pPr>
              <w:spacing w:after="0"/>
              <w:rPr>
                <w:sz w:val="19"/>
                <w:szCs w:val="19"/>
                <w:color w:val="auto"/>
              </w:rPr>
            </w:pP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Off Balance Sheet Commitments</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370</w:t>
            </w:r>
          </w:p>
        </w:tc>
        <w:tc>
          <w:tcPr>
            <w:tcW w:w="1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315</w:t>
            </w:r>
          </w:p>
        </w:tc>
        <w:tc>
          <w:tcPr>
            <w:tcW w:w="1480" w:type="dxa"/>
            <w:vAlign w:val="bottom"/>
            <w:shd w:val="clear" w:color="auto" w:fill="CFF0FC"/>
          </w:tcPr>
          <w:p>
            <w:pPr>
              <w:spacing w:after="0"/>
              <w:rPr>
                <w:sz w:val="19"/>
                <w:szCs w:val="19"/>
                <w:color w:val="auto"/>
              </w:rPr>
            </w:pPr>
          </w:p>
        </w:tc>
      </w:tr>
      <w:tr>
        <w:trPr>
          <w:trHeight w:val="223"/>
        </w:trPr>
        <w:tc>
          <w:tcPr>
            <w:tcW w:w="4520" w:type="dxa"/>
            <w:vAlign w:val="bottom"/>
          </w:tcPr>
          <w:p>
            <w:pPr>
              <w:ind w:left="500"/>
              <w:spacing w:after="0"/>
              <w:rPr>
                <w:sz w:val="20"/>
                <w:szCs w:val="20"/>
                <w:color w:val="auto"/>
              </w:rPr>
            </w:pPr>
            <w:r>
              <w:rPr>
                <w:rFonts w:ascii="Arial" w:cs="Arial" w:eastAsia="Arial" w:hAnsi="Arial"/>
                <w:sz w:val="18"/>
                <w:szCs w:val="18"/>
                <w:color w:val="auto"/>
              </w:rPr>
              <w:t>Total Allowance for Credit Losses</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7,053</w:t>
            </w:r>
          </w:p>
        </w:tc>
        <w:tc>
          <w:tcPr>
            <w:tcW w:w="1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7,104</w:t>
            </w:r>
          </w:p>
        </w:tc>
        <w:tc>
          <w:tcPr>
            <w:tcW w:w="148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Noninterest Income</w:t>
      </w:r>
    </w:p>
    <w:p>
      <w:pPr>
        <w:spacing w:after="0" w:line="185"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Noninterest income was up $175 thousand for the second quarter 2019 over the same time frame in 2018. The Company has seen a decrease in its mortgage production volume and the gain on the sale of these loans was $105 thousand lower for the second quarter 2019 over the same period in 2018. Loan originations on loans held for sale for the second quarter 2019 were $17.3 million with proceeds from sale at $15.9 million for 2019 compared to 2018’s second quarter activity of $15.6 million in originations and $17.6 million in sales. The mortgages sold were both 1-4 family and agricultural real estate loans originated for sale.</w:t>
      </w:r>
    </w:p>
    <w:p>
      <w:pPr>
        <w:spacing w:after="0" w:line="148"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The largest fluctuation in noninterest income was in the combined service fee lines, which was $280 thousand higher than the same quarter last year. The increase was due to multiple small increments in all areas rather than in one service.</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271" w:lineRule="auto"/>
        <w:rPr>
          <w:sz w:val="20"/>
          <w:szCs w:val="20"/>
          <w:color w:val="auto"/>
        </w:rPr>
      </w:pPr>
      <w:r>
        <w:rPr>
          <w:rFonts w:ascii="Arial" w:cs="Arial" w:eastAsia="Arial" w:hAnsi="Arial"/>
          <w:sz w:val="17"/>
          <w:szCs w:val="17"/>
          <w:color w:val="auto"/>
        </w:rPr>
        <w:t>The impact of mortgage servicing rights, both to income and expense, is shown in the following table which reconciles the value of mortgage servicing rights. The capitalization runs through noninterest income while the amortization thereof is included in non-interest expense. For the second quarter of 2019, mortgage servicing rights caused a net $68 thousand in income, in comparison to a net $43 thousand income for the second quarter of 2018. The higher capitalized additions for 2019 are attributed to a slightly higher loan origination level of 1-4 families combined with a higher mortgage servicing rights value being applied to originations of 1-4 families in 2019 as compared to 2018. For loans of 15 years and less, the value was 1.19% in the second quarter 2019 versus 0.988% in second quarter 2018. For loans over 15 years, the value was 1.34% versus 1.168% for the same periods respectively. The carrying value is well below the market value of $3.5 million which indicates any large expense to fund the valuation allowance to be unlikely in 2019.</w:t>
      </w:r>
    </w:p>
    <w:p>
      <w:pPr>
        <w:spacing w:after="0" w:line="219"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2018</w:t>
            </w:r>
          </w:p>
        </w:tc>
        <w:tc>
          <w:tcPr>
            <w:tcW w:w="80" w:type="dxa"/>
            <w:vAlign w:val="bottom"/>
            <w:tcBorders>
              <w:bottom w:val="single" w:sz="8" w:color="CFF0FC"/>
            </w:tcBorders>
          </w:tcPr>
          <w:p>
            <w:pPr>
              <w:spacing w:after="0"/>
              <w:rPr>
                <w:sz w:val="19"/>
                <w:szCs w:val="19"/>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 January 1,</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w:t>
            </w:r>
          </w:p>
        </w:tc>
        <w:tc>
          <w:tcPr>
            <w:tcW w:w="8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Capitalized Additions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(180)</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Ending Balance, June 30,</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8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Mortgage Servicing Rights net, June 30,</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8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Noninterest Expense</w:t>
      </w:r>
    </w:p>
    <w:p>
      <w:pPr>
        <w:spacing w:after="0" w:line="198"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For the second quarter 2019, noninterest expenses were $2.1 million higher than for the same quarter in 2018. Salaries, wages, and employee benefits increased $980 thousand, with the addition of the acquired offices, normal merit increases, increased medical costs and slightly higher incentive accrual. Furniture and equipment expenses increased $198 thousand from the prior year primarily due to an increase in depreciation of $90 thousand and maintenance contracts of $98 thousand. Data processing charges only increased $71 thousand for second quarter 2019 while advertising increased $135 thousand for the quarter. Other general and administrative expenses were up $458 thousand compared to second quarter 2018. Core deposit intangible increased $140 thousand, legal fees increased $56 thousand and subscription and membership increased $42 thousand.</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Income</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Results overall, net income in the second quarter of 2019 was up $2.1 million as compared to the same quarter last year.</w:t>
      </w:r>
    </w:p>
    <w:p>
      <w:pPr>
        <w:spacing w:after="0" w:line="198"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The Company has done an exceptional job of growing loans while keeping past dues low. The Company remains strong, stable, and well capitalized and has the capacity to continue to cover the increased costs of expansion.</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Comparison of Results of Interest Earnings and Expenses for six month periods ended June 30, 2019 and 2018</w:t>
      </w:r>
    </w:p>
    <w:p>
      <w:pPr>
        <w:spacing w:after="0" w:line="26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Interest Income</w:t>
      </w:r>
    </w:p>
    <w:p>
      <w:pPr>
        <w:spacing w:after="0" w:line="252" w:lineRule="exact"/>
        <w:rPr>
          <w:sz w:val="20"/>
          <w:szCs w:val="20"/>
          <w:color w:val="auto"/>
        </w:rPr>
      </w:pPr>
    </w:p>
    <w:p>
      <w:pPr>
        <w:jc w:val="both"/>
        <w:ind w:left="700"/>
        <w:spacing w:after="0" w:line="293" w:lineRule="auto"/>
        <w:rPr>
          <w:sz w:val="20"/>
          <w:szCs w:val="20"/>
          <w:color w:val="auto"/>
        </w:rPr>
      </w:pPr>
      <w:r>
        <w:rPr>
          <w:rFonts w:ascii="Arial" w:cs="Arial" w:eastAsia="Arial" w:hAnsi="Arial"/>
          <w:sz w:val="16"/>
          <w:szCs w:val="16"/>
          <w:color w:val="auto"/>
        </w:rPr>
        <w:t>Higher loan balances created the improvement in the interest income for the first six months of 2019 as compared to the first six months of 2018. Interest income rose 50.6% or $11.5 million while interest income from loans accounted for the majority of the increase. Contributing to the improvement was an increase in securities income of $202 thousand and an increase in income from Fed Funds sold and interest bearing deposits of $490 thousand over 2018. The change in the balance sheet mix along with the loan growth caused the asset yield to improve by 68 basis points to 5.03% for the first six months of 2019 compared to first six months of 2018’s 4.35%. The improvement of the yield was favorably impacted by the $2.0 million reversal of the estimated credit loss from the payoff of the purchased credit-impaired loans as discussed in Note 2.</w:t>
      </w:r>
    </w:p>
    <w:p>
      <w:pPr>
        <w:spacing w:after="0" w:line="192"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With each quarter of 2019, the loan growth and prime rate increases contribute to the continued improvement in asset yield. The growth factor contribution is shown in the charts which follow.</w:t>
      </w:r>
    </w:p>
    <w:p>
      <w:pPr>
        <w:spacing w:after="0" w:line="197"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The average interest earning asset base was $312.4 million higher in first six months 2019 than the first six months of 2018, an increase of approximately 29.8%.</w:t>
      </w:r>
    </w:p>
    <w:p>
      <w:pPr>
        <w:spacing w:after="0" w:line="200" w:lineRule="exact"/>
        <w:rPr>
          <w:sz w:val="20"/>
          <w:szCs w:val="20"/>
          <w:color w:val="auto"/>
        </w:rPr>
      </w:pP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52"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yields on tax-exempt securities and the portion of the tax-exempt IDB loans included in loans have been tax adjusted based on a 21% tax rate in the charts to follow.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(In Thousands)</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color w:val="auto"/>
                <w:w w:val="98"/>
              </w:rPr>
              <w:t>Year to Date Ended June 30, 2019</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6"/>
          </w:tcPr>
          <w:p>
            <w:pPr>
              <w:ind w:left="1260"/>
              <w:spacing w:after="0"/>
              <w:rPr>
                <w:sz w:val="20"/>
                <w:szCs w:val="20"/>
                <w:color w:val="auto"/>
              </w:rPr>
            </w:pPr>
            <w:r>
              <w:rPr>
                <w:rFonts w:ascii="Arial" w:cs="Arial" w:eastAsia="Arial" w:hAnsi="Arial"/>
                <w:sz w:val="18"/>
                <w:szCs w:val="18"/>
                <w:color w:val="auto"/>
                <w:w w:val="91"/>
              </w:rPr>
              <w:t>Yield/Rate</w:t>
            </w:r>
          </w:p>
        </w:tc>
        <w:tc>
          <w:tcPr>
            <w:tcW w:w="1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Earning Assets:</w:t>
            </w:r>
          </w:p>
        </w:tc>
        <w:tc>
          <w:tcPr>
            <w:tcW w:w="20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88"/>
              </w:rPr>
              <w:t>Average Balance</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5"/>
          </w:tcPr>
          <w:p>
            <w:pPr>
              <w:jc w:val="right"/>
              <w:ind w:right="25"/>
              <w:spacing w:after="0"/>
              <w:rPr>
                <w:sz w:val="20"/>
                <w:szCs w:val="20"/>
                <w:color w:val="auto"/>
              </w:rPr>
            </w:pPr>
            <w:r>
              <w:rPr>
                <w:rFonts w:ascii="Arial" w:cs="Arial" w:eastAsia="Arial" w:hAnsi="Arial"/>
                <w:sz w:val="18"/>
                <w:szCs w:val="18"/>
                <w:color w:val="auto"/>
                <w:w w:val="95"/>
              </w:rPr>
              <w:t>Interest/Dividends</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June 30, 2019</w:t>
            </w: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30, 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Loans</w:t>
            </w:r>
          </w:p>
        </w:tc>
        <w:tc>
          <w:tcPr>
            <w:tcW w:w="20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1,107,649</w:t>
            </w: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17"/>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31,403</w:t>
            </w:r>
          </w:p>
        </w:tc>
        <w:tc>
          <w:tcPr>
            <w:tcW w:w="100" w:type="dxa"/>
            <w:vAlign w:val="bottom"/>
            <w:shd w:val="clear" w:color="auto" w:fill="CFF0FC"/>
          </w:tcPr>
          <w:p>
            <w:pPr>
              <w:spacing w:after="0"/>
              <w:rPr>
                <w:sz w:val="19"/>
                <w:szCs w:val="19"/>
                <w:color w:val="auto"/>
              </w:rPr>
            </w:pPr>
          </w:p>
        </w:tc>
        <w:tc>
          <w:tcPr>
            <w:tcW w:w="17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160,830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1,775</w:t>
            </w:r>
          </w:p>
        </w:tc>
        <w:tc>
          <w:tcPr>
            <w:tcW w:w="1880" w:type="dxa"/>
            <w:vAlign w:val="bottom"/>
            <w:gridSpan w:val="5"/>
          </w:tcPr>
          <w:p>
            <w:pPr>
              <w:jc w:val="right"/>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w w:val="90"/>
              </w:rPr>
              <w:t>Tax-exempt investment securities</w:t>
            </w:r>
          </w:p>
        </w:tc>
        <w:tc>
          <w:tcPr>
            <w:tcW w:w="2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34,067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340</w:t>
            </w:r>
          </w:p>
        </w:tc>
        <w:tc>
          <w:tcPr>
            <w:tcW w:w="188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Fed funds sold &amp; other</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59,526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9"/>
              </w:rPr>
              <w:t>627</w:t>
            </w:r>
          </w:p>
        </w:tc>
        <w:tc>
          <w:tcPr>
            <w:tcW w:w="240" w:type="dxa"/>
            <w:vAlign w:val="bottom"/>
            <w:gridSpan w:val="2"/>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4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20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40" w:type="dxa"/>
            <w:vAlign w:val="bottom"/>
            <w:vMerge w:val="continue"/>
            <w:shd w:val="clear" w:color="auto" w:fill="CFF0FC"/>
          </w:tcPr>
          <w:p>
            <w:pPr>
              <w:spacing w:after="0"/>
              <w:rPr>
                <w:sz w:val="19"/>
                <w:szCs w:val="19"/>
                <w:color w:val="auto"/>
              </w:rPr>
            </w:pPr>
          </w:p>
        </w:tc>
        <w:tc>
          <w:tcPr>
            <w:tcW w:w="20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1,362,072</w:t>
            </w:r>
          </w:p>
        </w:tc>
        <w:tc>
          <w:tcPr>
            <w:tcW w:w="10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480" w:type="dxa"/>
            <w:vAlign w:val="bottom"/>
            <w:shd w:val="clear" w:color="auto" w:fill="CFF0FC"/>
          </w:tcPr>
          <w:p>
            <w:pPr>
              <w:jc w:val="right"/>
              <w:ind w:right="317"/>
              <w:spacing w:after="0"/>
              <w:rPr>
                <w:sz w:val="20"/>
                <w:szCs w:val="20"/>
                <w:color w:val="auto"/>
              </w:rPr>
            </w:pPr>
            <w:r>
              <w:rPr>
                <w:rFonts w:ascii="Arial" w:cs="Arial" w:eastAsia="Arial" w:hAnsi="Arial"/>
                <w:sz w:val="15"/>
                <w:szCs w:val="15"/>
                <w:color w:val="auto"/>
                <w:w w:val="71"/>
              </w:rPr>
              <w:t>$</w:t>
            </w:r>
          </w:p>
        </w:tc>
        <w:tc>
          <w:tcPr>
            <w:tcW w:w="10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34,145</w:t>
            </w:r>
          </w:p>
        </w:tc>
        <w:tc>
          <w:tcPr>
            <w:tcW w:w="10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2440" w:type="dxa"/>
            <w:vAlign w:val="bottom"/>
            <w:tcBorders>
              <w:top w:val="single" w:sz="8" w:color="CFF0FC"/>
            </w:tcBorders>
          </w:tcPr>
          <w:p>
            <w:pPr>
              <w:spacing w:after="0" w:line="20" w:lineRule="exact"/>
              <w:rPr>
                <w:sz w:val="1"/>
                <w:szCs w:val="1"/>
                <w:color w:val="auto"/>
              </w:rPr>
            </w:pPr>
          </w:p>
        </w:tc>
        <w:tc>
          <w:tcPr>
            <w:tcW w:w="20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440" w:type="dxa"/>
            <w:vAlign w:val="bottom"/>
          </w:tcPr>
          <w:p>
            <w:pPr>
              <w:spacing w:after="0"/>
              <w:rPr>
                <w:sz w:val="24"/>
                <w:szCs w:val="24"/>
                <w:color w:val="auto"/>
              </w:rPr>
            </w:pPr>
          </w:p>
        </w:tc>
        <w:tc>
          <w:tcPr>
            <w:tcW w:w="7140" w:type="dxa"/>
            <w:vAlign w:val="bottom"/>
            <w:gridSpan w:val="16"/>
          </w:tcPr>
          <w:p>
            <w:pPr>
              <w:jc w:val="right"/>
              <w:ind w:right="580"/>
              <w:spacing w:after="0"/>
              <w:rPr>
                <w:sz w:val="20"/>
                <w:szCs w:val="20"/>
                <w:color w:val="auto"/>
              </w:rPr>
            </w:pPr>
            <w:r>
              <w:rPr>
                <w:rFonts w:ascii="Arial" w:cs="Arial" w:eastAsia="Arial" w:hAnsi="Arial"/>
                <w:sz w:val="18"/>
                <w:szCs w:val="18"/>
                <w:b w:val="1"/>
                <w:bCs w:val="1"/>
                <w:color w:val="auto"/>
                <w:w w:val="90"/>
              </w:rPr>
              <w:t>Change in Interest Income Quarter to Date June 30, 2019 Compared to June 30, 2018</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4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8"/>
                <w:szCs w:val="18"/>
                <w:color w:val="auto"/>
                <w:w w:val="90"/>
              </w:rPr>
              <w:t>(In Thousands)</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3"/>
          </w:tcPr>
          <w:p>
            <w:pPr>
              <w:jc w:val="center"/>
              <w:ind w:right="700"/>
              <w:spacing w:after="0"/>
              <w:rPr>
                <w:sz w:val="20"/>
                <w:szCs w:val="20"/>
                <w:color w:val="auto"/>
              </w:rPr>
            </w:pPr>
            <w:r>
              <w:rPr>
                <w:rFonts w:ascii="Arial" w:cs="Arial" w:eastAsia="Arial" w:hAnsi="Arial"/>
                <w:sz w:val="18"/>
                <w:szCs w:val="18"/>
                <w:color w:val="auto"/>
                <w:w w:val="89"/>
              </w:rPr>
              <w:t>Change Due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Change Due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Interest Earning Assets:</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20" w:type="dxa"/>
            <w:vAlign w:val="bottom"/>
            <w:gridSpan w:val="6"/>
          </w:tcPr>
          <w:p>
            <w:pPr>
              <w:jc w:val="right"/>
              <w:ind w:right="500"/>
              <w:spacing w:after="0"/>
              <w:rPr>
                <w:sz w:val="20"/>
                <w:szCs w:val="20"/>
                <w:color w:val="auto"/>
              </w:rPr>
            </w:pPr>
            <w:r>
              <w:rPr>
                <w:rFonts w:ascii="Arial" w:cs="Arial" w:eastAsia="Arial" w:hAnsi="Arial"/>
                <w:sz w:val="18"/>
                <w:szCs w:val="18"/>
                <w:color w:val="auto"/>
              </w:rPr>
              <w:t>Total Change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3"/>
          </w:tcPr>
          <w:p>
            <w:pPr>
              <w:jc w:val="center"/>
              <w:ind w:right="700"/>
              <w:spacing w:after="0"/>
              <w:rPr>
                <w:sz w:val="20"/>
                <w:szCs w:val="20"/>
                <w:color w:val="auto"/>
              </w:rPr>
            </w:pPr>
            <w:r>
              <w:rPr>
                <w:rFonts w:ascii="Arial" w:cs="Arial" w:eastAsia="Arial" w:hAnsi="Arial"/>
                <w:sz w:val="18"/>
                <w:szCs w:val="18"/>
                <w:color w:val="auto"/>
                <w:w w:val="91"/>
              </w:rPr>
              <w:t>to Volume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to Rate</w:t>
            </w:r>
          </w:p>
        </w:tc>
        <w:tc>
          <w:tcPr>
            <w:tcW w:w="0" w:type="dxa"/>
            <w:vAlign w:val="bottom"/>
          </w:tcPr>
          <w:p>
            <w:pPr>
              <w:spacing w:after="0"/>
              <w:rPr>
                <w:sz w:val="1"/>
                <w:szCs w:val="1"/>
                <w:color w:val="auto"/>
              </w:rPr>
            </w:pPr>
          </w:p>
        </w:tc>
      </w:tr>
      <w:tr>
        <w:trPr>
          <w:trHeight w:val="223"/>
        </w:trPr>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Loans</w:t>
            </w:r>
          </w:p>
        </w:tc>
        <w:tc>
          <w:tcPr>
            <w:tcW w:w="20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10,780</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7,888</w:t>
            </w:r>
          </w:p>
        </w:tc>
        <w:tc>
          <w:tcPr>
            <w:tcW w:w="160" w:type="dxa"/>
            <w:vAlign w:val="bottom"/>
            <w:tcBorders>
              <w:top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2,892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w w:val="90"/>
              </w:rPr>
              <w:t>Tax-exempt investment securities</w:t>
            </w:r>
          </w:p>
        </w:tc>
        <w:tc>
          <w:tcPr>
            <w:tcW w:w="2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tcBorders>
              <w:right w:val="single" w:sz="8" w:color="CFF0FC"/>
            </w:tcBorders>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Fed funds sold &amp; other</w:t>
            </w:r>
          </w:p>
        </w:tc>
        <w:tc>
          <w:tcPr>
            <w:tcW w:w="20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422</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2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0"/>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11,472</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8,220</w:t>
            </w:r>
          </w:p>
        </w:tc>
        <w:tc>
          <w:tcPr>
            <w:tcW w:w="160" w:type="dxa"/>
            <w:vAlign w:val="bottom"/>
            <w:tcBorders>
              <w:bottom w:val="single" w:sz="8" w:color="CFF0FC"/>
              <w:right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3,252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Interest Expense</w:t>
      </w:r>
    </w:p>
    <w:p>
      <w:pPr>
        <w:spacing w:after="0" w:line="252" w:lineRule="exact"/>
        <w:rPr>
          <w:sz w:val="20"/>
          <w:szCs w:val="20"/>
          <w:color w:val="auto"/>
        </w:rPr>
      </w:pPr>
    </w:p>
    <w:p>
      <w:pPr>
        <w:jc w:val="both"/>
        <w:ind w:left="760" w:right="40"/>
        <w:spacing w:after="0" w:line="277" w:lineRule="auto"/>
        <w:rPr>
          <w:sz w:val="20"/>
          <w:szCs w:val="20"/>
          <w:color w:val="auto"/>
        </w:rPr>
      </w:pPr>
      <w:r>
        <w:rPr>
          <w:rFonts w:ascii="Arial" w:cs="Arial" w:eastAsia="Arial" w:hAnsi="Arial"/>
          <w:sz w:val="18"/>
          <w:szCs w:val="18"/>
          <w:color w:val="auto"/>
        </w:rPr>
        <w:t>Interest expense was also higher for the first six months of 2019 compared to the first six months of 2018. At $6.8 million, the first six months of 2019 was up $3.8 million as compared to same time period 2018 or 128.6%.</w:t>
      </w:r>
    </w:p>
    <w:p>
      <w:pPr>
        <w:spacing w:after="0" w:line="197" w:lineRule="exact"/>
        <w:rPr>
          <w:sz w:val="20"/>
          <w:szCs w:val="20"/>
          <w:color w:val="auto"/>
        </w:rPr>
      </w:pPr>
    </w:p>
    <w:p>
      <w:pPr>
        <w:jc w:val="both"/>
        <w:ind w:left="760" w:right="20"/>
        <w:spacing w:after="0" w:line="259" w:lineRule="auto"/>
        <w:rPr>
          <w:sz w:val="20"/>
          <w:szCs w:val="20"/>
          <w:color w:val="auto"/>
        </w:rPr>
      </w:pPr>
      <w:r>
        <w:rPr>
          <w:rFonts w:ascii="Arial" w:cs="Arial" w:eastAsia="Arial" w:hAnsi="Arial"/>
          <w:sz w:val="18"/>
          <w:szCs w:val="18"/>
          <w:color w:val="auto"/>
        </w:rPr>
        <w:t>The average balance of interest-bearing liabilities was higher by $235.1 million in 2019 than the first six months of 2018. Interest bearing deposits increased $210.4 million while Fed Funds purchased and securities sold under agreement to repurchase increased by $3.3 million. The higher balance coupled with the slight variation of the balance sheet mix, resulted in a 58 basis points increase in the cost of funds at 1.36% for the first six months of 2019 as compared to 2018’s 0.78%.</w:t>
      </w:r>
    </w:p>
    <w:p>
      <w:pPr>
        <w:spacing w:after="0" w:line="214"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Competition has caused deposits to price higher. The change chart on the following page shows the increased cost is only slightly driven more by rate than volume.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(In Thousands)</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80" w:type="dxa"/>
            <w:vAlign w:val="bottom"/>
            <w:gridSpan w:val="5"/>
          </w:tcPr>
          <w:p>
            <w:pPr>
              <w:jc w:val="right"/>
              <w:ind w:right="570"/>
              <w:spacing w:after="0"/>
              <w:rPr>
                <w:sz w:val="20"/>
                <w:szCs w:val="20"/>
                <w:color w:val="auto"/>
              </w:rPr>
            </w:pPr>
            <w:r>
              <w:rPr>
                <w:rFonts w:ascii="Arial" w:cs="Arial" w:eastAsia="Arial" w:hAnsi="Arial"/>
                <w:sz w:val="18"/>
                <w:szCs w:val="18"/>
                <w:color w:val="auto"/>
              </w:rPr>
              <w:t>Year to Date Ended June 30, 2019</w:t>
            </w:r>
          </w:p>
        </w:tc>
        <w:tc>
          <w:tcPr>
            <w:tcW w:w="220" w:type="dxa"/>
            <w:vAlign w:val="bottom"/>
            <w:gridSpan w:val="2"/>
          </w:tcPr>
          <w:p>
            <w:pPr>
              <w:spacing w:after="0"/>
              <w:rPr>
                <w:sz w:val="19"/>
                <w:szCs w:val="19"/>
                <w:color w:val="auto"/>
              </w:rPr>
            </w:pPr>
          </w:p>
        </w:tc>
        <w:tc>
          <w:tcPr>
            <w:tcW w:w="3260" w:type="dxa"/>
            <w:vAlign w:val="bottom"/>
            <w:gridSpan w:val="5"/>
          </w:tcPr>
          <w:p>
            <w:pPr>
              <w:jc w:val="right"/>
              <w:ind w:right="1340"/>
              <w:spacing w:after="0"/>
              <w:rPr>
                <w:sz w:val="20"/>
                <w:szCs w:val="20"/>
                <w:color w:val="auto"/>
              </w:rPr>
            </w:pPr>
            <w:r>
              <w:rPr>
                <w:rFonts w:ascii="Arial" w:cs="Arial" w:eastAsia="Arial" w:hAnsi="Arial"/>
                <w:sz w:val="18"/>
                <w:szCs w:val="18"/>
                <w:color w:val="auto"/>
              </w:rPr>
              <w:t>Yield/Rate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Bearing Liabilities:</w:t>
            </w:r>
          </w:p>
        </w:tc>
        <w:tc>
          <w:tcPr>
            <w:tcW w:w="7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Average Balance</w:t>
            </w:r>
          </w:p>
        </w:tc>
        <w:tc>
          <w:tcPr>
            <w:tcW w:w="10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Interest</w:t>
            </w: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June 30, 2019</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June 30, 2018</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695,302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Other time deposits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253,991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26,424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sold under agreement to repurchase</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30,012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Total Interest Bearing Liabilities</w:t>
            </w:r>
          </w:p>
        </w:tc>
        <w:tc>
          <w:tcPr>
            <w:tcW w:w="7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1,005,729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6,834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0.78%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Interest Expense Year to Date June 30, 2019 Compared to June 30, 2018</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8"/>
                <w:szCs w:val="18"/>
                <w:color w:val="auto"/>
                <w:w w:val="90"/>
              </w:rPr>
              <w:t>(In Thousands)</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3"/>
          </w:tcPr>
          <w:p>
            <w:pPr>
              <w:jc w:val="center"/>
              <w:ind w:right="520"/>
              <w:spacing w:after="0"/>
              <w:rPr>
                <w:sz w:val="20"/>
                <w:szCs w:val="20"/>
                <w:color w:val="auto"/>
              </w:rPr>
            </w:pPr>
            <w:r>
              <w:rPr>
                <w:rFonts w:ascii="Arial" w:cs="Arial" w:eastAsia="Arial" w:hAnsi="Arial"/>
                <w:sz w:val="18"/>
                <w:szCs w:val="18"/>
                <w:color w:val="auto"/>
                <w:w w:val="89"/>
              </w:rPr>
              <w:t>Change Due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ind w:right="190"/>
              <w:spacing w:after="0"/>
              <w:rPr>
                <w:sz w:val="20"/>
                <w:szCs w:val="20"/>
                <w:color w:val="auto"/>
              </w:rPr>
            </w:pPr>
            <w:r>
              <w:rPr>
                <w:rFonts w:ascii="Arial" w:cs="Arial" w:eastAsia="Arial" w:hAnsi="Arial"/>
                <w:sz w:val="18"/>
                <w:szCs w:val="18"/>
                <w:color w:val="auto"/>
                <w:w w:val="89"/>
              </w:rPr>
              <w:t>Change Due</w:t>
            </w:r>
          </w:p>
        </w:tc>
        <w:tc>
          <w:tcPr>
            <w:tcW w:w="120" w:type="dxa"/>
            <w:vAlign w:val="bottom"/>
          </w:tcPr>
          <w:p>
            <w:pPr>
              <w:spacing w:after="0"/>
              <w:rPr>
                <w:sz w:val="18"/>
                <w:szCs w:val="18"/>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Interest Bearing Liabilities:</w:t>
            </w:r>
          </w:p>
        </w:tc>
        <w:tc>
          <w:tcPr>
            <w:tcW w:w="220" w:type="dxa"/>
            <w:vAlign w:val="bottom"/>
          </w:tcPr>
          <w:p>
            <w:pPr>
              <w:spacing w:after="0"/>
              <w:rPr>
                <w:sz w:val="20"/>
                <w:szCs w:val="20"/>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w w:val="99"/>
              </w:rPr>
              <w:t>Total Change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3"/>
          </w:tcPr>
          <w:p>
            <w:pPr>
              <w:jc w:val="center"/>
              <w:ind w:right="520"/>
              <w:spacing w:after="0"/>
              <w:rPr>
                <w:sz w:val="20"/>
                <w:szCs w:val="20"/>
                <w:color w:val="auto"/>
              </w:rPr>
            </w:pPr>
            <w:r>
              <w:rPr>
                <w:rFonts w:ascii="Arial" w:cs="Arial" w:eastAsia="Arial" w:hAnsi="Arial"/>
                <w:sz w:val="18"/>
                <w:szCs w:val="18"/>
                <w:color w:val="auto"/>
                <w:w w:val="91"/>
              </w:rPr>
              <w:t>to Volume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 Rate</w:t>
            </w: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1,957</w:t>
            </w: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Other time deposits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sold under agreement to repurchase</w:t>
            </w: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Total Interest Bearing Liabilities</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12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Net Interest Income</w:t>
      </w:r>
    </w:p>
    <w:p>
      <w:pPr>
        <w:spacing w:after="0" w:line="185"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Overall, net interest spread figures for the first six months of 2019 are up from 2018 by 10 basis points and up 28 basis points from 2017. Net interest margin for the first six months of 2019 is higher than the same period 2018 and 2017. As the chart below illustrates, both higher yields on interest and dividend income, were offset by higher interest expense resulting in total net interest margin up 25 basis points since the first six months of 2018 and over first six months of 2017 by 47 basis points.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7"/>
              </w:rPr>
              <w:t>June 30, 2019</w:t>
            </w:r>
          </w:p>
        </w:tc>
        <w:tc>
          <w:tcPr>
            <w:tcW w:w="340" w:type="dxa"/>
            <w:vAlign w:val="bottom"/>
            <w:tcBorders>
              <w:bottom w:val="single" w:sz="8" w:color="auto"/>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7"/>
              </w:rPr>
              <w:t>June 30, 2018</w:t>
            </w:r>
          </w:p>
        </w:tc>
        <w:tc>
          <w:tcPr>
            <w:tcW w:w="340" w:type="dxa"/>
            <w:vAlign w:val="bottom"/>
            <w:tcBorders>
              <w:bottom w:val="single" w:sz="8" w:color="auto"/>
            </w:tcBorders>
          </w:tcPr>
          <w:p>
            <w:pPr>
              <w:spacing w:after="0"/>
              <w:rPr>
                <w:sz w:val="20"/>
                <w:szCs w:val="20"/>
                <w:color w:val="auto"/>
              </w:rPr>
            </w:pPr>
          </w:p>
        </w:tc>
        <w:tc>
          <w:tcPr>
            <w:tcW w:w="380" w:type="dxa"/>
            <w:vAlign w:val="bottom"/>
            <w:tcBorders>
              <w:bottom w:val="single" w:sz="8" w:color="CFF0FC"/>
            </w:tcBorders>
          </w:tcPr>
          <w:p>
            <w:pPr>
              <w:spacing w:after="0"/>
              <w:rPr>
                <w:sz w:val="20"/>
                <w:szCs w:val="20"/>
                <w:color w:val="auto"/>
              </w:rPr>
            </w:pPr>
          </w:p>
        </w:tc>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June 30, 2017</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Interest/Dividend income/yield</w:t>
            </w:r>
          </w:p>
        </w:tc>
        <w:tc>
          <w:tcPr>
            <w:tcW w:w="13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0"/>
              </w:rPr>
              <w:t>5.03%</w:t>
            </w:r>
          </w:p>
        </w:tc>
        <w:tc>
          <w:tcPr>
            <w:tcW w:w="13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0"/>
              </w:rPr>
              <w:t>4.35%</w:t>
            </w:r>
          </w:p>
        </w:tc>
        <w:tc>
          <w:tcPr>
            <w:tcW w:w="1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Interest Expense/cost</w:t>
            </w:r>
          </w:p>
        </w:tc>
        <w:tc>
          <w:tcPr>
            <w:tcW w:w="136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1.36%</w:t>
            </w:r>
          </w:p>
        </w:tc>
        <w:tc>
          <w:tcPr>
            <w:tcW w:w="136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0.78%</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1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vMerge w:val="continue"/>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0"/>
              </w:rPr>
              <w:t>3.67%</w:t>
            </w:r>
          </w:p>
        </w:tc>
        <w:tc>
          <w:tcPr>
            <w:tcW w:w="13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0"/>
              </w:rPr>
              <w:t>3.57%</w:t>
            </w:r>
          </w:p>
        </w:tc>
        <w:tc>
          <w:tcPr>
            <w:tcW w:w="1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Net Interest Margin</w:t>
            </w:r>
          </w:p>
        </w:tc>
        <w:tc>
          <w:tcPr>
            <w:tcW w:w="13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4.03%</w:t>
            </w:r>
          </w:p>
        </w:tc>
        <w:tc>
          <w:tcPr>
            <w:tcW w:w="13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3.78%</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Net interest income was up $7.6 million in the first six months of 2019 over the same time frame in 2018 due to the increase in loan income even with higher interest expense, as previously mentioned. New loans added in 2018 and 2019 will continue to generate more income, while deposit pressure is expected to continue to increase on the expense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4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Comparison of Results of Noninterest Earnings and Expenses for six month periods ended June 30, 2019 and 2018</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Provision Expense</w:t>
      </w:r>
    </w:p>
    <w:p>
      <w:pPr>
        <w:spacing w:after="0" w:line="252"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Total provision for loan losses was $9 thousand lower for six months 2019 than for the first six months 2018. While loan growth continued in the first six months, strong asset quality continued also. The strong asset quality along with only $4 thousand higher net charge-offs offset any need for additional provision above the $163 thousand that was expensed.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color w:val="auto"/>
              </w:rPr>
              <w:t>(In Thousands)</w:t>
            </w: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Six Months Ended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4"/>
          </w:tcPr>
          <w:p>
            <w:pPr>
              <w:ind w:left="80"/>
              <w:spacing w:after="0"/>
              <w:rPr>
                <w:sz w:val="20"/>
                <w:szCs w:val="20"/>
                <w:color w:val="auto"/>
              </w:rPr>
            </w:pPr>
            <w:r>
              <w:rPr>
                <w:rFonts w:ascii="Arial" w:cs="Arial" w:eastAsia="Arial" w:hAnsi="Arial"/>
                <w:sz w:val="18"/>
                <w:szCs w:val="18"/>
                <w:color w:val="auto"/>
              </w:rPr>
              <w:t>Six Months Ended</w:t>
            </w:r>
          </w:p>
        </w:tc>
        <w:tc>
          <w:tcPr>
            <w:tcW w:w="200" w:type="dxa"/>
            <w:vAlign w:val="bottom"/>
          </w:tcPr>
          <w:p>
            <w:pPr>
              <w:spacing w:after="0"/>
              <w:rPr>
                <w:sz w:val="18"/>
                <w:szCs w:val="18"/>
                <w:color w:val="auto"/>
              </w:rPr>
            </w:pPr>
          </w:p>
        </w:tc>
        <w:tc>
          <w:tcPr>
            <w:tcW w:w="1780" w:type="dxa"/>
            <w:vAlign w:val="bottom"/>
          </w:tcPr>
          <w:p>
            <w:pPr>
              <w:jc w:val="right"/>
              <w:ind w:right="230"/>
              <w:spacing w:after="0"/>
              <w:rPr>
                <w:sz w:val="20"/>
                <w:szCs w:val="20"/>
                <w:color w:val="auto"/>
              </w:rPr>
            </w:pPr>
            <w:r>
              <w:rPr>
                <w:rFonts w:ascii="Arial" w:cs="Arial" w:eastAsia="Arial" w:hAnsi="Arial"/>
                <w:sz w:val="18"/>
                <w:szCs w:val="18"/>
                <w:color w:val="auto"/>
                <w:w w:val="98"/>
              </w:rPr>
              <w:t>Six Months Ended</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June 30, 2019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4"/>
          </w:tcPr>
          <w:p>
            <w:pPr>
              <w:ind w:left="240"/>
              <w:spacing w:after="0"/>
              <w:rPr>
                <w:sz w:val="20"/>
                <w:szCs w:val="20"/>
                <w:color w:val="auto"/>
              </w:rPr>
            </w:pPr>
            <w:r>
              <w:rPr>
                <w:rFonts w:ascii="Arial" w:cs="Arial" w:eastAsia="Arial" w:hAnsi="Arial"/>
                <w:sz w:val="18"/>
                <w:szCs w:val="18"/>
                <w:color w:val="auto"/>
              </w:rPr>
              <w:t>June 30, 2018</w:t>
            </w:r>
          </w:p>
        </w:tc>
        <w:tc>
          <w:tcPr>
            <w:tcW w:w="200" w:type="dxa"/>
            <w:vAlign w:val="bottom"/>
          </w:tcPr>
          <w:p>
            <w:pPr>
              <w:spacing w:after="0"/>
              <w:rPr>
                <w:sz w:val="20"/>
                <w:szCs w:val="20"/>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rPr>
              <w:t>June 30,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Loans, net</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1,091,131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831,015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790,838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gridSpan w:val="2"/>
            <w:vMerge w:val="continue"/>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1,107,649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829,545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769,931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Allowance for Loan Losses - January 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6,775</w:t>
            </w:r>
          </w:p>
        </w:tc>
        <w:tc>
          <w:tcPr>
            <w:tcW w:w="18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6,868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6,784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Charged off:</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1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 Recoveries:</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1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Net Charge Offs</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980"/>
              <w:spacing w:after="0"/>
              <w:rPr>
                <w:sz w:val="20"/>
                <w:szCs w:val="20"/>
                <w:color w:val="auto"/>
              </w:rPr>
            </w:pPr>
            <w:r>
              <w:rPr>
                <w:rFonts w:ascii="Arial" w:cs="Arial" w:eastAsia="Arial" w:hAnsi="Arial"/>
                <w:sz w:val="18"/>
                <w:szCs w:val="18"/>
                <w:color w:val="auto"/>
              </w:rPr>
              <w:t>Provision for loan loss</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Acquisition provision for loan loss</w:t>
            </w:r>
          </w:p>
        </w:tc>
        <w:tc>
          <w:tcPr>
            <w:tcW w:w="1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color w:val="auto"/>
              </w:rPr>
              <w:t>Allowance for Loan &amp; Lease Losses - June 30,</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6,683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6,789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6,858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&amp; Letters of Credit - June 30,</w:t>
            </w:r>
          </w:p>
        </w:tc>
        <w:tc>
          <w:tcPr>
            <w:tcW w:w="16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560" w:type="dxa"/>
            <w:vAlign w:val="bottom"/>
            <w:gridSpan w:val="2"/>
          </w:tcPr>
          <w:p>
            <w:pPr>
              <w:spacing w:after="0"/>
              <w:rPr>
                <w:sz w:val="20"/>
                <w:szCs w:val="20"/>
                <w:color w:val="auto"/>
              </w:rPr>
            </w:pPr>
            <w:r>
              <w:rPr>
                <w:rFonts w:ascii="Arial" w:cs="Arial" w:eastAsia="Arial" w:hAnsi="Arial"/>
                <w:sz w:val="18"/>
                <w:szCs w:val="18"/>
                <w:color w:val="auto"/>
              </w:rPr>
              <w:t>Total Allowance for Credit Losses - June 30,</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7,053</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7,104</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7,077</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Ratio of net charge-offs to average</w:t>
            </w:r>
          </w:p>
        </w:tc>
        <w:tc>
          <w:tcPr>
            <w:tcW w:w="160" w:type="dxa"/>
            <w:vAlign w:val="bottom"/>
            <w:tcBorders>
              <w:top w:val="single" w:sz="8" w:color="auto"/>
            </w:tcBorders>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Loans outstanding</w:t>
            </w:r>
          </w:p>
        </w:tc>
        <w:tc>
          <w:tcPr>
            <w:tcW w:w="16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Ratio of the Allowance for Loan Loss to</w:t>
            </w: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Nonperforming Loans*</w:t>
            </w:r>
          </w:p>
        </w:tc>
        <w:tc>
          <w:tcPr>
            <w:tcW w:w="160" w:type="dxa"/>
            <w:vAlign w:val="bottom"/>
          </w:tcPr>
          <w:p>
            <w:pPr>
              <w:spacing w:after="0"/>
              <w:rPr>
                <w:sz w:val="20"/>
                <w:szCs w:val="20"/>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375.51%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751.49%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502.23%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40" w:hanging="376"/>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past 90 days not on nonaccrual.</w:t>
      </w:r>
    </w:p>
    <w:p>
      <w:pPr>
        <w:spacing w:after="0" w:line="252"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color w:val="auto"/>
        </w:rPr>
        <w:t>In comparing past due balances of loans 30+ days, June 30, 2019 balances were $3.5 million higher than June 30, 2018 balances. Net charge-offs were also slightly higher at $255 thousand for the first six months of 2019 compared to the first six months of 2018’s $251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Noninterest Income</w:t>
      </w:r>
    </w:p>
    <w:p>
      <w:pPr>
        <w:spacing w:after="0" w:line="252"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Noninterest income for the first six months 2019 increased over the first six months of 2018 by $260 thousand. Combined service fees increased by $421 thousand and gain on sale of loans showed a $135 thousand decrease over the first six months of 2018. The Company did sell some of its available-for-sale securities in first quarter 2019 and recognized a loss of $26 thousand.</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Noninterest Expense</w:t>
      </w:r>
    </w:p>
    <w:p>
      <w:pPr>
        <w:spacing w:after="0" w:line="252"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Through the first six months of 2019, noninterest expenses were $5.9 million higher than in the first six months of 2018. Of this increase, $1.2 million was third party acquisition related costs incurred with the Limberlost transaction. The effect of an increase of $1.6 million in salaries and wages was combined with an increase of $833 thousand in employee benefits. The addition of the acquired offices, normal merit increases, increased medical costs, increased employer taxes related to the vesting of restricted stock awards and slightly higher incentive accrual have impacted 2019. Acquisition costs included in these categories were $145 thousand.</w:t>
      </w:r>
    </w:p>
    <w:p>
      <w:pPr>
        <w:spacing w:after="0" w:line="215" w:lineRule="exact"/>
        <w:rPr>
          <w:sz w:val="20"/>
          <w:szCs w:val="20"/>
          <w:color w:val="auto"/>
        </w:rPr>
      </w:pPr>
    </w:p>
    <w:p>
      <w:pPr>
        <w:jc w:val="both"/>
        <w:ind w:left="700"/>
        <w:spacing w:after="0" w:line="276" w:lineRule="auto"/>
        <w:rPr>
          <w:sz w:val="20"/>
          <w:szCs w:val="20"/>
          <w:color w:val="auto"/>
        </w:rPr>
      </w:pPr>
      <w:r>
        <w:rPr>
          <w:rFonts w:ascii="Arial" w:cs="Arial" w:eastAsia="Arial" w:hAnsi="Arial"/>
          <w:sz w:val="17"/>
          <w:szCs w:val="17"/>
          <w:color w:val="auto"/>
        </w:rPr>
        <w:t>Data processing fees were $1.0 million higher than last year with $868 thousand of the increase acquisition related. A seven year contract extension was signed in the third quarter of 2016 which has helped reduce the expense while adding new products and services to better align with our customers’ expectations in the coming years. We have already added additional products in 2019, mainly focused on mobile services and business deposit accounts. Furniture and equipment was $387 thousand higher than 2018. Increased depreciation for new offices and office transformations, along with maintenance costs have led to this expense to increase over 2018.</w:t>
      </w:r>
    </w:p>
    <w:p>
      <w:pPr>
        <w:spacing w:after="0" w:line="200" w:lineRule="exact"/>
        <w:rPr>
          <w:sz w:val="20"/>
          <w:szCs w:val="20"/>
          <w:color w:val="auto"/>
        </w:rPr>
      </w:pPr>
    </w:p>
    <w:p>
      <w:pPr>
        <w:jc w:val="both"/>
        <w:ind w:left="700"/>
        <w:spacing w:after="0" w:line="279" w:lineRule="auto"/>
        <w:rPr>
          <w:sz w:val="20"/>
          <w:szCs w:val="20"/>
          <w:color w:val="auto"/>
        </w:rPr>
      </w:pPr>
      <w:r>
        <w:rPr>
          <w:rFonts w:ascii="Arial" w:cs="Arial" w:eastAsia="Arial" w:hAnsi="Arial"/>
          <w:sz w:val="17"/>
          <w:szCs w:val="17"/>
          <w:color w:val="auto"/>
        </w:rPr>
        <w:t>General and administrative expenses were up $1.2 million over the first six months of 2018 with $182 thousand incurred from the acquisition. The largest increase was $280 thousand for core deposit intangible. Miscellaneous expenses were $178 thousand more than 2018 with acquisition expenses totaling $37 thousand. The next largest increase for 2019 was in legal expenses. These two line items on the income statement were up by $156 thousand over the first six months of 2018 with acquisition expenses accounting for $83 thousand of the increase.</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Income</w:t>
      </w:r>
    </w:p>
    <w:p>
      <w:pPr>
        <w:spacing w:after="0" w:line="252" w:lineRule="exact"/>
        <w:rPr>
          <w:sz w:val="20"/>
          <w:szCs w:val="20"/>
          <w:color w:val="auto"/>
        </w:rPr>
      </w:pPr>
    </w:p>
    <w:p>
      <w:pPr>
        <w:jc w:val="both"/>
        <w:ind w:left="700"/>
        <w:spacing w:after="0" w:line="308" w:lineRule="auto"/>
        <w:rPr>
          <w:sz w:val="20"/>
          <w:szCs w:val="20"/>
          <w:color w:val="auto"/>
        </w:rPr>
      </w:pPr>
      <w:r>
        <w:rPr>
          <w:rFonts w:ascii="Arial" w:cs="Arial" w:eastAsia="Arial" w:hAnsi="Arial"/>
          <w:sz w:val="17"/>
          <w:szCs w:val="17"/>
          <w:color w:val="auto"/>
        </w:rPr>
        <w:t>Overall, net income through the first six months of 2019 was up $1.5 million as compared to the first six months of 2018. Excluding tax adjusted acquisition costs, net income would have been approximately $10.4 million, an increase of $1.0 million as shown below in the table.</w:t>
      </w:r>
    </w:p>
    <w:p>
      <w:pPr>
        <w:spacing w:after="0" w:line="187"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80" w:type="dxa"/>
            <w:vAlign w:val="bottom"/>
            <w:gridSpan w:val="6"/>
          </w:tcPr>
          <w:p>
            <w:pPr>
              <w:jc w:val="center"/>
              <w:ind w:right="360"/>
              <w:spacing w:after="0"/>
              <w:rPr>
                <w:sz w:val="20"/>
                <w:szCs w:val="20"/>
                <w:color w:val="auto"/>
              </w:rPr>
            </w:pPr>
            <w:r>
              <w:rPr>
                <w:rFonts w:ascii="Arial" w:cs="Arial" w:eastAsia="Arial" w:hAnsi="Arial"/>
                <w:sz w:val="18"/>
                <w:szCs w:val="18"/>
                <w:color w:val="auto"/>
                <w:w w:val="90"/>
              </w:rPr>
              <w:t>(in thousands of dollars)</w:t>
            </w: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80" w:type="dxa"/>
            <w:vAlign w:val="bottom"/>
            <w:gridSpan w:val="6"/>
          </w:tcPr>
          <w:p>
            <w:pPr>
              <w:jc w:val="center"/>
              <w:ind w:right="36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Non-GAAP Reconciliation of Net Income</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w w:val="99"/>
              </w:rPr>
              <w:t>June 30, 2019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June 30, 2018</w:t>
            </w: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gridSpan w:val="4"/>
          </w:tcPr>
          <w:p>
            <w:pPr>
              <w:jc w:val="center"/>
              <w:ind w:left="1130"/>
              <w:spacing w:after="0"/>
              <w:rPr>
                <w:sz w:val="20"/>
                <w:szCs w:val="20"/>
                <w:color w:val="auto"/>
              </w:rPr>
            </w:pPr>
            <w:r>
              <w:rPr>
                <w:rFonts w:ascii="Arial" w:cs="Arial" w:eastAsia="Arial" w:hAnsi="Arial"/>
                <w:sz w:val="18"/>
                <w:szCs w:val="18"/>
                <w:color w:val="auto"/>
                <w:w w:val="91"/>
              </w:rPr>
              <w:t>(Unaudited)</w:t>
            </w:r>
          </w:p>
        </w:tc>
        <w:tc>
          <w:tcPr>
            <w:tcW w:w="1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Net income as reported</w:t>
            </w:r>
          </w:p>
        </w:tc>
        <w:tc>
          <w:tcPr>
            <w:tcW w:w="12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9,404</w:t>
            </w:r>
          </w:p>
        </w:tc>
        <w:tc>
          <w:tcPr>
            <w:tcW w:w="2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30"/>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Acquisition expenses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1,246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Tax effect</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(248)</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Net income excluding acquisition expenses</w:t>
            </w:r>
          </w:p>
        </w:tc>
        <w:tc>
          <w:tcPr>
            <w:tcW w:w="10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00"/>
        <w:spacing w:after="0" w:line="312" w:lineRule="auto"/>
        <w:rPr>
          <w:sz w:val="20"/>
          <w:szCs w:val="20"/>
          <w:color w:val="auto"/>
        </w:rPr>
      </w:pPr>
      <w:r>
        <w:rPr>
          <w:rFonts w:ascii="Arial" w:cs="Arial" w:eastAsia="Arial" w:hAnsi="Arial"/>
          <w:sz w:val="16"/>
          <w:szCs w:val="16"/>
          <w:color w:val="auto"/>
        </w:rPr>
        <w:t>The Company continues to grow loans while keeping past dues low. The growth in loans has spurred the increase in net interest income that has flowed through to the bottom line. The asset quality has kept loan provision down as the allowance for loan loss remains adequate for the level of credit risk. The opening of the new offices has hampered earnings in the short term; however, the Company remains focused on the long term.</w:t>
      </w:r>
    </w:p>
    <w:p>
      <w:pPr>
        <w:spacing w:after="0" w:line="174" w:lineRule="exact"/>
        <w:rPr>
          <w:sz w:val="20"/>
          <w:szCs w:val="20"/>
          <w:color w:val="auto"/>
        </w:rPr>
      </w:pPr>
    </w:p>
    <w:p>
      <w:pPr>
        <w:jc w:val="both"/>
        <w:ind w:left="700" w:right="20"/>
        <w:spacing w:after="0" w:line="277" w:lineRule="auto"/>
        <w:rPr>
          <w:sz w:val="20"/>
          <w:szCs w:val="20"/>
          <w:color w:val="auto"/>
        </w:rPr>
      </w:pPr>
      <w:r>
        <w:rPr>
          <w:rFonts w:ascii="Arial" w:cs="Arial" w:eastAsia="Arial" w:hAnsi="Arial"/>
          <w:sz w:val="18"/>
          <w:szCs w:val="18"/>
          <w:color w:val="auto"/>
        </w:rPr>
        <w:t>The Company continues to look for new opportunities to generate and protect revenue and provide additional channels through which to serve our customers and maintain our high level of customer satisfaction.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FORWARD LOOKING STATEMENTS</w:t>
      </w:r>
    </w:p>
    <w:p>
      <w:pPr>
        <w:spacing w:after="0" w:line="198" w:lineRule="exact"/>
        <w:rPr>
          <w:sz w:val="20"/>
          <w:szCs w:val="20"/>
          <w:color w:val="auto"/>
        </w:rPr>
      </w:pPr>
    </w:p>
    <w:p>
      <w:pPr>
        <w:jc w:val="both"/>
        <w:ind w:left="700"/>
        <w:spacing w:after="0" w:line="287" w:lineRule="auto"/>
        <w:rPr>
          <w:sz w:val="20"/>
          <w:szCs w:val="20"/>
          <w:color w:val="auto"/>
        </w:rPr>
      </w:pPr>
      <w:r>
        <w:rPr>
          <w:rFonts w:ascii="Arial" w:cs="Arial" w:eastAsia="Arial" w:hAnsi="Arial"/>
          <w:sz w:val="16"/>
          <w:szCs w:val="16"/>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ITEM 3 QUALITATIVE AND QUANTITATIVE DISCLOSURES ABOUT MARKET RISK</w:t>
      </w:r>
    </w:p>
    <w:p>
      <w:pPr>
        <w:spacing w:after="0" w:line="252" w:lineRule="exact"/>
        <w:rPr>
          <w:sz w:val="20"/>
          <w:szCs w:val="20"/>
          <w:color w:val="auto"/>
        </w:rPr>
      </w:pPr>
    </w:p>
    <w:p>
      <w:pPr>
        <w:jc w:val="both"/>
        <w:ind w:left="760"/>
        <w:spacing w:after="0" w:line="297" w:lineRule="auto"/>
        <w:rPr>
          <w:sz w:val="20"/>
          <w:szCs w:val="20"/>
          <w:color w:val="auto"/>
        </w:rPr>
      </w:pPr>
      <w:r>
        <w:rPr>
          <w:rFonts w:ascii="Arial" w:cs="Arial" w:eastAsia="Arial" w:hAnsi="Arial"/>
          <w:sz w:val="16"/>
          <w:szCs w:val="16"/>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18"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Interest rate risk is managed within an overall asset/liability framework. The principal objectives of asset/liability management are to manage sensitivity of net interest spreads and net income to potential changes in interest rates.</w:t>
      </w:r>
    </w:p>
    <w:p>
      <w:pPr>
        <w:spacing w:after="0" w:line="143"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Funding positions are kept within predetermined limits designed to ensure that risk-taking is not excessive and that liquidity is properly managed. In the event that our asset/liabilities management strategies are unsuccessful, our profitably may be adversely affected. The Company employs a sensitivity analysis utilizing interest rate shocks to help in this analysis.</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shocks presented below assume an immediate change of rate in the percentages and directions shown covering a twelve month period: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6"/>
          </w:tcPr>
          <w:p>
            <w:pPr>
              <w:jc w:val="center"/>
              <w:ind w:right="1540"/>
              <w:spacing w:after="0"/>
              <w:rPr>
                <w:sz w:val="20"/>
                <w:szCs w:val="20"/>
                <w:color w:val="auto"/>
              </w:rPr>
            </w:pPr>
            <w:r>
              <w:rPr>
                <w:rFonts w:ascii="Arial" w:cs="Arial" w:eastAsia="Arial" w:hAnsi="Arial"/>
                <w:sz w:val="18"/>
                <w:szCs w:val="18"/>
                <w:color w:val="auto"/>
                <w:w w:val="88"/>
              </w:rPr>
              <w:t>Interest Rate Shock</w:t>
            </w: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6"/>
          </w:tcPr>
          <w:p>
            <w:pPr>
              <w:jc w:val="center"/>
              <w:ind w:right="1340"/>
              <w:spacing w:after="0"/>
              <w:rPr>
                <w:sz w:val="20"/>
                <w:szCs w:val="20"/>
                <w:color w:val="auto"/>
              </w:rPr>
            </w:pPr>
            <w:r>
              <w:rPr>
                <w:rFonts w:ascii="Arial" w:cs="Arial" w:eastAsia="Arial" w:hAnsi="Arial"/>
                <w:sz w:val="18"/>
                <w:szCs w:val="18"/>
                <w:color w:val="auto"/>
                <w:w w:val="89"/>
              </w:rPr>
              <w:t>Interest Rate Shock</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640" w:type="dxa"/>
            <w:vAlign w:val="bottom"/>
            <w:tcBorders>
              <w:bottom w:val="single" w:sz="8" w:color="auto"/>
            </w:tcBorders>
            <w:gridSpan w:val="5"/>
          </w:tcPr>
          <w:p>
            <w:pPr>
              <w:jc w:val="center"/>
              <w:spacing w:after="0" w:line="196" w:lineRule="exact"/>
              <w:rPr>
                <w:sz w:val="20"/>
                <w:szCs w:val="20"/>
                <w:color w:val="auto"/>
              </w:rPr>
            </w:pPr>
            <w:r>
              <w:rPr>
                <w:rFonts w:ascii="Arial" w:cs="Arial" w:eastAsia="Arial" w:hAnsi="Arial"/>
                <w:sz w:val="18"/>
                <w:szCs w:val="18"/>
                <w:color w:val="auto"/>
                <w:w w:val="92"/>
              </w:rPr>
              <w:t>on Net Interest Margin</w:t>
            </w:r>
          </w:p>
        </w:tc>
        <w:tc>
          <w:tcPr>
            <w:tcW w:w="142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60" w:type="dxa"/>
            <w:vAlign w:val="bottom"/>
            <w:tcBorders>
              <w:bottom w:val="single" w:sz="8" w:color="auto"/>
            </w:tcBorders>
            <w:gridSpan w:val="5"/>
          </w:tcPr>
          <w:p>
            <w:pPr>
              <w:jc w:val="center"/>
              <w:spacing w:after="0" w:line="196" w:lineRule="exact"/>
              <w:rPr>
                <w:sz w:val="20"/>
                <w:szCs w:val="20"/>
                <w:color w:val="auto"/>
              </w:rPr>
            </w:pPr>
            <w:r>
              <w:rPr>
                <w:rFonts w:ascii="Arial" w:cs="Arial" w:eastAsia="Arial" w:hAnsi="Arial"/>
                <w:sz w:val="18"/>
                <w:szCs w:val="18"/>
                <w:color w:val="auto"/>
                <w:w w:val="91"/>
              </w:rPr>
              <w:t>on Net Interest Income</w:t>
            </w:r>
          </w:p>
        </w:tc>
        <w:tc>
          <w:tcPr>
            <w:tcW w:w="1220" w:type="dxa"/>
            <w:vAlign w:val="bottom"/>
            <w:gridSpan w:val="2"/>
          </w:tcPr>
          <w:p>
            <w:pPr>
              <w:spacing w:after="0"/>
              <w:rPr>
                <w:sz w:val="17"/>
                <w:szCs w:val="17"/>
                <w:color w:val="auto"/>
              </w:rPr>
            </w:pPr>
          </w:p>
        </w:tc>
      </w:tr>
      <w:tr>
        <w:trPr>
          <w:trHeight w:val="249"/>
        </w:trPr>
        <w:tc>
          <w:tcPr>
            <w:tcW w:w="2080" w:type="dxa"/>
            <w:vAlign w:val="bottom"/>
            <w:gridSpan w:val="4"/>
          </w:tcPr>
          <w:p>
            <w:pPr>
              <w:jc w:val="center"/>
              <w:ind w:right="320"/>
              <w:spacing w:after="0"/>
              <w:rPr>
                <w:sz w:val="20"/>
                <w:szCs w:val="20"/>
                <w:color w:val="auto"/>
              </w:rPr>
            </w:pPr>
            <w:r>
              <w:rPr>
                <w:rFonts w:ascii="Arial" w:cs="Arial" w:eastAsia="Arial" w:hAnsi="Arial"/>
                <w:sz w:val="18"/>
                <w:szCs w:val="18"/>
                <w:color w:val="auto"/>
                <w:w w:val="90"/>
              </w:rPr>
              <w:t>Net Interest</w:t>
            </w:r>
          </w:p>
        </w:tc>
        <w:tc>
          <w:tcPr>
            <w:tcW w:w="2080" w:type="dxa"/>
            <w:vAlign w:val="bottom"/>
            <w:gridSpan w:val="4"/>
          </w:tcPr>
          <w:p>
            <w:pPr>
              <w:jc w:val="center"/>
              <w:ind w:right="320"/>
              <w:spacing w:after="0"/>
              <w:rPr>
                <w:sz w:val="20"/>
                <w:szCs w:val="20"/>
                <w:color w:val="auto"/>
              </w:rPr>
            </w:pPr>
            <w:r>
              <w:rPr>
                <w:rFonts w:ascii="Arial" w:cs="Arial" w:eastAsia="Arial" w:hAnsi="Arial"/>
                <w:sz w:val="18"/>
                <w:szCs w:val="18"/>
                <w:color w:val="auto"/>
                <w:w w:val="88"/>
              </w:rPr>
              <w:t>% Change to</w:t>
            </w: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Rate</w:t>
            </w: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Rate</w:t>
            </w:r>
          </w:p>
        </w:tc>
        <w:tc>
          <w:tcPr>
            <w:tcW w:w="2080" w:type="dxa"/>
            <w:vAlign w:val="bottom"/>
            <w:gridSpan w:val="4"/>
          </w:tcPr>
          <w:p>
            <w:pPr>
              <w:jc w:val="center"/>
              <w:ind w:right="320"/>
              <w:spacing w:after="0"/>
              <w:rPr>
                <w:sz w:val="20"/>
                <w:szCs w:val="20"/>
                <w:color w:val="auto"/>
              </w:rPr>
            </w:pPr>
            <w:r>
              <w:rPr>
                <w:rFonts w:ascii="Arial" w:cs="Arial" w:eastAsia="Arial" w:hAnsi="Arial"/>
                <w:sz w:val="18"/>
                <w:szCs w:val="18"/>
                <w:color w:val="auto"/>
                <w:w w:val="93"/>
              </w:rPr>
              <w:t>Cumulative</w:t>
            </w:r>
          </w:p>
        </w:tc>
        <w:tc>
          <w:tcPr>
            <w:tcW w:w="190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 Change to</w:t>
            </w:r>
          </w:p>
        </w:tc>
      </w:tr>
      <w:tr>
        <w:trPr>
          <w:trHeight w:val="230"/>
        </w:trPr>
        <w:tc>
          <w:tcPr>
            <w:tcW w:w="2080" w:type="dxa"/>
            <w:vAlign w:val="bottom"/>
            <w:gridSpan w:val="4"/>
          </w:tcPr>
          <w:p>
            <w:pPr>
              <w:jc w:val="center"/>
              <w:ind w:right="320"/>
              <w:spacing w:after="0"/>
              <w:rPr>
                <w:sz w:val="20"/>
                <w:szCs w:val="20"/>
                <w:color w:val="auto"/>
              </w:rPr>
            </w:pPr>
            <w:r>
              <w:rPr>
                <w:rFonts w:ascii="Arial" w:cs="Arial" w:eastAsia="Arial" w:hAnsi="Arial"/>
                <w:sz w:val="18"/>
                <w:szCs w:val="18"/>
                <w:color w:val="auto"/>
                <w:w w:val="94"/>
              </w:rPr>
              <w:t>Margin (Ratio)</w:t>
            </w:r>
          </w:p>
        </w:tc>
        <w:tc>
          <w:tcPr>
            <w:tcW w:w="540" w:type="dxa"/>
            <w:vAlign w:val="bottom"/>
          </w:tcPr>
          <w:p>
            <w:pPr>
              <w:spacing w:after="0"/>
              <w:rPr>
                <w:sz w:val="20"/>
                <w:szCs w:val="20"/>
                <w:color w:val="auto"/>
              </w:rPr>
            </w:pPr>
          </w:p>
        </w:tc>
        <w:tc>
          <w:tcPr>
            <w:tcW w:w="1540" w:type="dxa"/>
            <w:vAlign w:val="bottom"/>
            <w:gridSpan w:val="3"/>
          </w:tcPr>
          <w:p>
            <w:pPr>
              <w:jc w:val="center"/>
              <w:ind w:right="860"/>
              <w:spacing w:after="0"/>
              <w:rPr>
                <w:sz w:val="20"/>
                <w:szCs w:val="20"/>
                <w:color w:val="auto"/>
              </w:rPr>
            </w:pPr>
            <w:r>
              <w:rPr>
                <w:rFonts w:ascii="Arial" w:cs="Arial" w:eastAsia="Arial" w:hAnsi="Arial"/>
                <w:sz w:val="18"/>
                <w:szCs w:val="18"/>
                <w:color w:val="auto"/>
                <w:w w:val="87"/>
              </w:rPr>
              <w:t>Flat Rate</w:t>
            </w: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Direction</w:t>
            </w: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Changes by</w:t>
            </w:r>
          </w:p>
        </w:tc>
        <w:tc>
          <w:tcPr>
            <w:tcW w:w="2080" w:type="dxa"/>
            <w:vAlign w:val="bottom"/>
            <w:gridSpan w:val="4"/>
          </w:tcPr>
          <w:p>
            <w:pPr>
              <w:jc w:val="center"/>
              <w:ind w:right="340"/>
              <w:spacing w:after="0"/>
              <w:rPr>
                <w:sz w:val="20"/>
                <w:szCs w:val="20"/>
                <w:color w:val="auto"/>
              </w:rPr>
            </w:pPr>
            <w:r>
              <w:rPr>
                <w:rFonts w:ascii="Arial" w:cs="Arial" w:eastAsia="Arial" w:hAnsi="Arial"/>
                <w:sz w:val="18"/>
                <w:szCs w:val="18"/>
                <w:color w:val="auto"/>
                <w:w w:val="92"/>
              </w:rPr>
              <w:t>Total ($000)</w:t>
            </w:r>
          </w:p>
        </w:tc>
        <w:tc>
          <w:tcPr>
            <w:tcW w:w="560" w:type="dxa"/>
            <w:vAlign w:val="bottom"/>
          </w:tcPr>
          <w:p>
            <w:pPr>
              <w:spacing w:after="0"/>
              <w:rPr>
                <w:sz w:val="20"/>
                <w:szCs w:val="20"/>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8"/>
                <w:szCs w:val="18"/>
                <w:color w:val="auto"/>
                <w:w w:val="90"/>
              </w:rPr>
              <w:t>Flat Rate</w:t>
            </w:r>
          </w:p>
        </w:tc>
      </w:tr>
      <w:tr>
        <w:trPr>
          <w:trHeight w:val="223"/>
        </w:trPr>
        <w:tc>
          <w:tcPr>
            <w:tcW w:w="1220" w:type="dxa"/>
            <w:vAlign w:val="bottom"/>
            <w:tcBorders>
              <w:top w:val="single" w:sz="8" w:color="auto"/>
            </w:tcBorders>
            <w:gridSpan w:val="2"/>
            <w:shd w:val="clear" w:color="auto" w:fill="CFF0FC"/>
          </w:tcPr>
          <w:p>
            <w:pPr>
              <w:jc w:val="center"/>
              <w:ind w:left="470"/>
              <w:spacing w:after="0"/>
              <w:rPr>
                <w:sz w:val="20"/>
                <w:szCs w:val="20"/>
                <w:color w:val="auto"/>
              </w:rPr>
            </w:pPr>
            <w:r>
              <w:rPr>
                <w:rFonts w:ascii="Arial" w:cs="Arial" w:eastAsia="Arial" w:hAnsi="Arial"/>
                <w:sz w:val="18"/>
                <w:szCs w:val="18"/>
                <w:color w:val="auto"/>
                <w:w w:val="90"/>
              </w:rPr>
              <w:t>4.43%</w:t>
            </w:r>
          </w:p>
        </w:tc>
        <w:tc>
          <w:tcPr>
            <w:tcW w:w="5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gridSpan w:val="3"/>
            <w:shd w:val="clear" w:color="auto" w:fill="CFF0FC"/>
          </w:tcPr>
          <w:p>
            <w:pPr>
              <w:jc w:val="center"/>
              <w:spacing w:after="0"/>
              <w:rPr>
                <w:sz w:val="20"/>
                <w:szCs w:val="20"/>
                <w:color w:val="auto"/>
              </w:rPr>
            </w:pPr>
            <w:r>
              <w:rPr>
                <w:rFonts w:ascii="Arial" w:cs="Arial" w:eastAsia="Arial" w:hAnsi="Arial"/>
                <w:sz w:val="18"/>
                <w:szCs w:val="18"/>
                <w:color w:val="auto"/>
                <w:w w:val="91"/>
              </w:rPr>
              <w:t>28.55%</w:t>
            </w:r>
          </w:p>
        </w:tc>
        <w:tc>
          <w:tcPr>
            <w:tcW w:w="32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Rising</w:t>
            </w:r>
          </w:p>
        </w:tc>
        <w:tc>
          <w:tcPr>
            <w:tcW w:w="2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3.00%</w:t>
            </w:r>
          </w:p>
        </w:tc>
        <w:tc>
          <w:tcPr>
            <w:tcW w:w="3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66,755</w:t>
            </w:r>
          </w:p>
        </w:tc>
        <w:tc>
          <w:tcPr>
            <w:tcW w:w="5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gridSpan w:val="3"/>
            <w:shd w:val="clear" w:color="auto" w:fill="CFF0FC"/>
          </w:tcPr>
          <w:p>
            <w:pPr>
              <w:jc w:val="center"/>
              <w:ind w:right="40"/>
              <w:spacing w:after="0"/>
              <w:rPr>
                <w:sz w:val="20"/>
                <w:szCs w:val="20"/>
                <w:color w:val="auto"/>
              </w:rPr>
            </w:pPr>
            <w:r>
              <w:rPr>
                <w:rFonts w:ascii="Arial" w:cs="Arial" w:eastAsia="Arial" w:hAnsi="Arial"/>
                <w:sz w:val="18"/>
                <w:szCs w:val="18"/>
                <w:color w:val="auto"/>
                <w:w w:val="91"/>
              </w:rPr>
              <w:t>24.37%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122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4.15%</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1"/>
              </w:rPr>
              <w:t>20.19%</w:t>
            </w:r>
          </w:p>
        </w:tc>
        <w:tc>
          <w:tcPr>
            <w:tcW w:w="320" w:type="dxa"/>
            <w:vAlign w:val="bottom"/>
          </w:tcPr>
          <w:p>
            <w:pPr>
              <w:spacing w:after="0"/>
              <w:rPr>
                <w:sz w:val="19"/>
                <w:szCs w:val="19"/>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Rising</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3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62,810</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17.02%</w:t>
            </w:r>
          </w:p>
        </w:tc>
        <w:tc>
          <w:tcPr>
            <w:tcW w:w="100" w:type="dxa"/>
            <w:vAlign w:val="bottom"/>
          </w:tcPr>
          <w:p>
            <w:pPr>
              <w:spacing w:after="0"/>
              <w:rPr>
                <w:sz w:val="19"/>
                <w:szCs w:val="19"/>
                <w:color w:val="auto"/>
              </w:rPr>
            </w:pPr>
          </w:p>
        </w:tc>
      </w:tr>
      <w:tr>
        <w:trPr>
          <w:trHeight w:val="230"/>
        </w:trPr>
        <w:tc>
          <w:tcPr>
            <w:tcW w:w="1220" w:type="dxa"/>
            <w:vAlign w:val="bottom"/>
            <w:gridSpan w:val="2"/>
            <w:shd w:val="clear" w:color="auto" w:fill="CFF0FC"/>
          </w:tcPr>
          <w:p>
            <w:pPr>
              <w:jc w:val="center"/>
              <w:ind w:left="470"/>
              <w:spacing w:after="0"/>
              <w:rPr>
                <w:sz w:val="20"/>
                <w:szCs w:val="20"/>
                <w:color w:val="auto"/>
              </w:rPr>
            </w:pPr>
            <w:r>
              <w:rPr>
                <w:rFonts w:ascii="Arial" w:cs="Arial" w:eastAsia="Arial" w:hAnsi="Arial"/>
                <w:sz w:val="18"/>
                <w:szCs w:val="18"/>
                <w:color w:val="auto"/>
                <w:w w:val="90"/>
              </w:rPr>
              <w:t>3.85%</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1"/>
              </w:rPr>
              <w:t>11.72%</w:t>
            </w:r>
          </w:p>
        </w:tc>
        <w:tc>
          <w:tcPr>
            <w:tcW w:w="3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1"/>
              </w:rPr>
              <w:t>Rising</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58,849</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0"/>
              </w:rPr>
              <w:t>9.64%</w:t>
            </w:r>
          </w:p>
        </w:tc>
        <w:tc>
          <w:tcPr>
            <w:tcW w:w="100" w:type="dxa"/>
            <w:vAlign w:val="bottom"/>
            <w:shd w:val="clear" w:color="auto" w:fill="CFF0FC"/>
          </w:tcPr>
          <w:p>
            <w:pPr>
              <w:spacing w:after="0"/>
              <w:rPr>
                <w:sz w:val="19"/>
                <w:szCs w:val="19"/>
                <w:color w:val="auto"/>
              </w:rPr>
            </w:pPr>
          </w:p>
        </w:tc>
      </w:tr>
      <w:tr>
        <w:trPr>
          <w:trHeight w:val="230"/>
        </w:trPr>
        <w:tc>
          <w:tcPr>
            <w:tcW w:w="122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3.45%</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3"/>
              </w:rPr>
              <w:t>0.00%</w:t>
            </w:r>
          </w:p>
        </w:tc>
        <w:tc>
          <w:tcPr>
            <w:tcW w:w="320" w:type="dxa"/>
            <w:vAlign w:val="bottom"/>
          </w:tcPr>
          <w:p>
            <w:pPr>
              <w:spacing w:after="0"/>
              <w:rPr>
                <w:sz w:val="19"/>
                <w:szCs w:val="19"/>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Flat</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3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53,677</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0.00%</w:t>
            </w:r>
          </w:p>
        </w:tc>
        <w:tc>
          <w:tcPr>
            <w:tcW w:w="100" w:type="dxa"/>
            <w:vAlign w:val="bottom"/>
          </w:tcPr>
          <w:p>
            <w:pPr>
              <w:spacing w:after="0"/>
              <w:rPr>
                <w:sz w:val="19"/>
                <w:szCs w:val="19"/>
                <w:color w:val="auto"/>
              </w:rPr>
            </w:pPr>
          </w:p>
        </w:tc>
      </w:tr>
      <w:tr>
        <w:trPr>
          <w:trHeight w:val="230"/>
        </w:trPr>
        <w:tc>
          <w:tcPr>
            <w:tcW w:w="1220" w:type="dxa"/>
            <w:vAlign w:val="bottom"/>
            <w:gridSpan w:val="2"/>
            <w:shd w:val="clear" w:color="auto" w:fill="CFF0FC"/>
          </w:tcPr>
          <w:p>
            <w:pPr>
              <w:jc w:val="center"/>
              <w:ind w:left="470"/>
              <w:spacing w:after="0"/>
              <w:rPr>
                <w:sz w:val="20"/>
                <w:szCs w:val="20"/>
                <w:color w:val="auto"/>
              </w:rPr>
            </w:pPr>
            <w:r>
              <w:rPr>
                <w:rFonts w:ascii="Arial" w:cs="Arial" w:eastAsia="Arial" w:hAnsi="Arial"/>
                <w:sz w:val="18"/>
                <w:szCs w:val="18"/>
                <w:color w:val="auto"/>
                <w:w w:val="90"/>
              </w:rPr>
              <w:t>3.42%</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1"/>
              </w:rPr>
              <w:t>-0.98%</w:t>
            </w:r>
          </w:p>
        </w:tc>
        <w:tc>
          <w:tcPr>
            <w:tcW w:w="3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4"/>
              </w:rPr>
              <w:t>Falling</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-1.00%</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52,657</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0" w:type="dxa"/>
            <w:vAlign w:val="bottom"/>
            <w:gridSpan w:val="3"/>
            <w:shd w:val="clear" w:color="auto" w:fill="CFF0FC"/>
          </w:tcPr>
          <w:p>
            <w:pPr>
              <w:jc w:val="center"/>
              <w:ind w:right="40"/>
              <w:spacing w:after="0"/>
              <w:rPr>
                <w:sz w:val="20"/>
                <w:szCs w:val="20"/>
                <w:color w:val="auto"/>
              </w:rPr>
            </w:pPr>
            <w:r>
              <w:rPr>
                <w:rFonts w:ascii="Arial" w:cs="Arial" w:eastAsia="Arial" w:hAnsi="Arial"/>
                <w:sz w:val="18"/>
                <w:szCs w:val="18"/>
                <w:color w:val="auto"/>
                <w:w w:val="91"/>
              </w:rPr>
              <w:t>-1.90%</w:t>
            </w:r>
          </w:p>
        </w:tc>
        <w:tc>
          <w:tcPr>
            <w:tcW w:w="100" w:type="dxa"/>
            <w:vAlign w:val="bottom"/>
            <w:shd w:val="clear" w:color="auto" w:fill="CFF0FC"/>
          </w:tcPr>
          <w:p>
            <w:pPr>
              <w:spacing w:after="0"/>
              <w:rPr>
                <w:sz w:val="19"/>
                <w:szCs w:val="19"/>
                <w:color w:val="auto"/>
              </w:rPr>
            </w:pPr>
          </w:p>
        </w:tc>
      </w:tr>
      <w:tr>
        <w:trPr>
          <w:trHeight w:val="230"/>
        </w:trPr>
        <w:tc>
          <w:tcPr>
            <w:tcW w:w="122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3.16%</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1"/>
              </w:rPr>
              <w:t>-8.41%</w:t>
            </w:r>
          </w:p>
        </w:tc>
        <w:tc>
          <w:tcPr>
            <w:tcW w:w="320" w:type="dxa"/>
            <w:vAlign w:val="bottom"/>
          </w:tcPr>
          <w:p>
            <w:pPr>
              <w:spacing w:after="0"/>
              <w:rPr>
                <w:sz w:val="19"/>
                <w:szCs w:val="19"/>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Falling</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3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49,286</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-8.18%</w:t>
            </w:r>
          </w:p>
        </w:tc>
        <w:tc>
          <w:tcPr>
            <w:tcW w:w="100" w:type="dxa"/>
            <w:vAlign w:val="bottom"/>
          </w:tcPr>
          <w:p>
            <w:pPr>
              <w:spacing w:after="0"/>
              <w:rPr>
                <w:sz w:val="19"/>
                <w:szCs w:val="19"/>
                <w:color w:val="auto"/>
              </w:rPr>
            </w:pPr>
          </w:p>
        </w:tc>
      </w:tr>
      <w:tr>
        <w:trPr>
          <w:trHeight w:val="230"/>
        </w:trPr>
        <w:tc>
          <w:tcPr>
            <w:tcW w:w="1220" w:type="dxa"/>
            <w:vAlign w:val="bottom"/>
            <w:gridSpan w:val="2"/>
            <w:shd w:val="clear" w:color="auto" w:fill="CFF0FC"/>
          </w:tcPr>
          <w:p>
            <w:pPr>
              <w:jc w:val="center"/>
              <w:ind w:left="470"/>
              <w:spacing w:after="0"/>
              <w:rPr>
                <w:sz w:val="20"/>
                <w:szCs w:val="20"/>
                <w:color w:val="auto"/>
              </w:rPr>
            </w:pPr>
            <w:r>
              <w:rPr>
                <w:rFonts w:ascii="Arial" w:cs="Arial" w:eastAsia="Arial" w:hAnsi="Arial"/>
                <w:sz w:val="18"/>
                <w:szCs w:val="18"/>
                <w:color w:val="auto"/>
                <w:w w:val="90"/>
              </w:rPr>
              <w:t>2.90%</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89"/>
              </w:rPr>
              <w:t>-15.81%</w:t>
            </w:r>
          </w:p>
        </w:tc>
        <w:tc>
          <w:tcPr>
            <w:tcW w:w="3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4"/>
              </w:rPr>
              <w:t>Falling</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-3.00%</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46,261</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2"/>
              </w:rPr>
              <w:t>-13.82%</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The net interest margin represents the forecasted twelve month margin. The Company also reviews shocks with a 4.0% fluctuation with a delayed time frame of 10 months and over a 24 month time frame. It also shows the effect rate changes will have on both the margin and net interest income. The goal of the Company is to lengthen the term of some of the Bank’s fixed rate liabilities or sources of funds to decrease the exposure to a rising rate environment. Of course, customer desires also impact the Bank’s ability to attract longer term deposits. Some movement into the longer term time deposits has occurred. Over the past five year period, the Bank has experienced a decrease in the time balances of our deposit portfolio, and therefore, a loss of term funding. Over the past two years, the Bank has also paid off term borrowings with the last $5 million maturing last year; however, additional borrowings were a part of the Limberlost acquisition in 2019.</w:t>
      </w:r>
    </w:p>
    <w:p>
      <w:pPr>
        <w:spacing w:after="0" w:line="137" w:lineRule="exact"/>
        <w:rPr>
          <w:sz w:val="20"/>
          <w:szCs w:val="20"/>
          <w:color w:val="auto"/>
        </w:rPr>
      </w:pPr>
    </w:p>
    <w:p>
      <w:pPr>
        <w:jc w:val="both"/>
        <w:ind w:left="760"/>
        <w:spacing w:after="0" w:line="289" w:lineRule="auto"/>
        <w:rPr>
          <w:sz w:val="20"/>
          <w:szCs w:val="20"/>
          <w:color w:val="auto"/>
        </w:rPr>
      </w:pPr>
      <w:r>
        <w:rPr>
          <w:rFonts w:ascii="Arial" w:cs="Arial" w:eastAsia="Arial" w:hAnsi="Arial"/>
          <w:sz w:val="16"/>
          <w:szCs w:val="16"/>
          <w:color w:val="auto"/>
        </w:rPr>
        <w:t>The shock chart currently shows a widening net interest margin over the next twelve months in an increasing rate environment with a tightening in a falling rate environment. Cost of funds are at 1.45% for the quarter and 1.36% year to date so the lowest shock of 100 basis points is where the Bank can take full advantage and reprice funds to match the level of shock. Once the shocks are falling over 100 basis points, the cost of funds cannot lower to match and the loss on net interest income continues to build. Since the average duration of the majority of the assets is outside the 12 month shock period, the rising rate environment only shows improvement. The majority of the newer loans added to the commercial real estate portfolio begin with an initial fixed rate period of three to five years whose variable adjustment is outside of the current shock time frame. The Bank continues to adjust its assumptions by including decay rates and key rate ties on certain deposit accounts and continues to review and modify those rates as the index rates change. All shocks are within risk exposure guidelines at all levels. The effect of the rate shocks may be mitigated to the extent that not all lines of business are directly tied to an external index and actual balance sheet composition may differ from prediction.</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Overall, the Company must concentrate on increasing loan spreads on variable loans and extend the duration on cost of funds where possible.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jc w:val="both"/>
        <w:ind w:left="760"/>
        <w:spacing w:after="0" w:line="297" w:lineRule="auto"/>
        <w:rPr>
          <w:sz w:val="20"/>
          <w:szCs w:val="20"/>
          <w:color w:val="auto"/>
        </w:rPr>
      </w:pPr>
      <w:r>
        <w:rPr>
          <w:rFonts w:ascii="Arial" w:cs="Arial" w:eastAsia="Arial" w:hAnsi="Arial"/>
          <w:sz w:val="16"/>
          <w:szCs w:val="16"/>
          <w:color w:val="auto"/>
        </w:rPr>
        <w:t>As of June 30, 2019,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June 30, 2019 . There have been no changes in the Company's internal control over financial reporting that occurred during the quarter ended June 30, 2019 that have materially affected, or are reasonably likely to materially affect, the registrant's internal control over financial reporting.</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PART II OTHER INFORMATION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1 LEGAL PROCEEDINGS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1A RISK FACTORS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There have been no material changes in the risk factors disclosed by Registrant in its Report on Form 10-K for the fiscal year ended December 31, 2018.</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Treasury stock repurchased the quarter ended June 30, 2019.</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7"/>
              </w:rPr>
              <w:t>(d) 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(c) Total Number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of Shares Purchased</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of 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4"/>
              </w:rPr>
              <w:t>as Part</w:t>
            </w:r>
          </w:p>
        </w:tc>
        <w:tc>
          <w:tcPr>
            <w:tcW w:w="1780" w:type="dxa"/>
            <w:vAlign w:val="bottom"/>
          </w:tcPr>
          <w:p>
            <w:pPr>
              <w:jc w:val="center"/>
              <w:spacing w:after="0"/>
              <w:rPr>
                <w:sz w:val="20"/>
                <w:szCs w:val="20"/>
                <w:color w:val="auto"/>
              </w:rPr>
            </w:pPr>
            <w:r>
              <w:rPr>
                <w:rFonts w:ascii="Arial" w:cs="Arial" w:eastAsia="Arial" w:hAnsi="Arial"/>
                <w:sz w:val="18"/>
                <w:szCs w:val="18"/>
                <w:color w:val="auto"/>
                <w:w w:val="85"/>
              </w:rPr>
              <w:t>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7"/>
              </w:rPr>
              <w:t>of Publicly</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purchased 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0" w:type="dxa"/>
            <w:vAlign w:val="bottom"/>
          </w:tcPr>
          <w:p>
            <w:pPr>
              <w:jc w:val="center"/>
              <w:ind w:left="430"/>
              <w:spacing w:after="0"/>
              <w:rPr>
                <w:sz w:val="20"/>
                <w:szCs w:val="20"/>
                <w:color w:val="auto"/>
              </w:rPr>
            </w:pPr>
            <w:r>
              <w:rPr>
                <w:rFonts w:ascii="Arial" w:cs="Arial" w:eastAsia="Arial" w:hAnsi="Arial"/>
                <w:sz w:val="18"/>
                <w:szCs w:val="18"/>
                <w:color w:val="auto"/>
                <w:w w:val="92"/>
              </w:rPr>
              <w:t>(a) Total Number of</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(b) Average Price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Announced Plan</w:t>
            </w: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Plans 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Period</w:t>
            </w:r>
          </w:p>
        </w:tc>
        <w:tc>
          <w:tcPr>
            <w:tcW w:w="240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85"/>
              </w:rPr>
              <w:t>Shares Purchased</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Paid per Share</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xml:space="preserve">or Programs </w:t>
            </w:r>
            <w:r>
              <w:rPr>
                <w:rFonts w:ascii="Arial" w:cs="Arial" w:eastAsia="Arial" w:hAnsi="Arial"/>
                <w:sz w:val="15"/>
                <w:szCs w:val="15"/>
                <w:color w:val="auto"/>
                <w:w w:val="91"/>
              </w:rPr>
              <w:t>(1)</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4/1/2019 to 4/30/2019</w:t>
            </w:r>
          </w:p>
        </w:tc>
        <w:tc>
          <w:tcPr>
            <w:tcW w:w="24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5/1/2019 to 5/31/2019</w:t>
            </w:r>
          </w:p>
        </w:tc>
        <w:tc>
          <w:tcPr>
            <w:tcW w:w="24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6/1/2019 to 6/30/2019</w:t>
            </w:r>
          </w:p>
        </w:tc>
        <w:tc>
          <w:tcPr>
            <w:tcW w:w="240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1140" w:hanging="376"/>
        <w:spacing w:after="0" w:line="264"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From time to time, the Company purchases shares in the market pursuant to a stock repurchase program publicly announced on January 18, 2019. On that date, the Board of Directors authorized the repurchase of 500,000 common shares between January 18, 2019 and December 31, 2019.</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3 DEFAULTS UPON SENIOR SECURITIES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4 MINE SAFETY DISCLOSURES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5 OTHER INFORMATION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10720" w:type="dxa"/>
            <w:vAlign w:val="bottom"/>
            <w:gridSpan w:val="10"/>
          </w:tcPr>
          <w:p>
            <w:pPr>
              <w:ind w:left="40"/>
              <w:spacing w:after="0"/>
              <w:rPr>
                <w:sz w:val="20"/>
                <w:szCs w:val="20"/>
                <w:color w:val="auto"/>
              </w:rPr>
            </w:pPr>
            <w:r>
              <w:rPr>
                <w:rFonts w:ascii="Arial" w:cs="Arial" w:eastAsia="Arial" w:hAnsi="Arial"/>
                <w:sz w:val="18"/>
                <w:szCs w:val="18"/>
                <w:color w:val="auto"/>
              </w:rPr>
              <w:t>ITEM 6 EXHIBITS</w:t>
            </w:r>
          </w:p>
        </w:tc>
      </w:tr>
      <w:tr>
        <w:trPr>
          <w:trHeight w:val="419"/>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10280" w:type="dxa"/>
            <w:vAlign w:val="bottom"/>
            <w:gridSpan w:val="9"/>
          </w:tcPr>
          <w:p>
            <w:pPr>
              <w:spacing w:after="0"/>
              <w:rPr>
                <w:rFonts w:ascii="Arial" w:cs="Arial" w:eastAsia="Arial" w:hAnsi="Arial"/>
                <w:sz w:val="18"/>
                <w:szCs w:val="18"/>
                <w:color w:val="0000EE"/>
                <w:w w:val="92"/>
              </w:rPr>
            </w:pPr>
            <w:hyperlink r:id="rId108">
              <w:r>
                <w:rPr>
                  <w:rFonts w:ascii="Arial" w:cs="Arial" w:eastAsia="Arial" w:hAnsi="Arial"/>
                  <w:sz w:val="18"/>
                  <w:szCs w:val="18"/>
                  <w:color w:val="0000EE"/>
                  <w:w w:val="92"/>
                </w:rPr>
                <w:t>Amended Articles of Incorporation of the Registrant (incorporated by reference to Exhibit 3.1 to Registrant’s Quarterly Report on Form 10-Q</w:t>
              </w:r>
            </w:hyperlink>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filed with the Commission on October 25, 2017).</w:t>
              </w:r>
            </w:hyperlink>
          </w:p>
        </w:tc>
        <w:tc>
          <w:tcPr>
            <w:tcW w:w="40" w:type="dxa"/>
            <w:vAlign w:val="bottom"/>
            <w:gridSpan w:val="2"/>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440" w:type="dxa"/>
            <w:vAlign w:val="bottom"/>
          </w:tcPr>
          <w:p>
            <w:pPr>
              <w:spacing w:after="0"/>
              <w:rPr>
                <w:sz w:val="17"/>
                <w:szCs w:val="17"/>
                <w:color w:val="auto"/>
              </w:rPr>
            </w:pPr>
          </w:p>
        </w:tc>
        <w:tc>
          <w:tcPr>
            <w:tcW w:w="102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Amended and Restated Code of Regulations of the Registrant (incorporated by reference to Exhibit 3.2 to Registrant's Quarterly Report on</w:t>
              </w:r>
            </w:hyperlink>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Form 10-Q filed with the Commission on July 26, 2017).</w:t>
              </w:r>
            </w:hyperlink>
          </w:p>
        </w:tc>
        <w:tc>
          <w:tcPr>
            <w:tcW w:w="6160" w:type="dxa"/>
            <w:vAlign w:val="bottom"/>
            <w:gridSpan w:val="3"/>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440" w:type="dxa"/>
            <w:vAlign w:val="bottom"/>
          </w:tcPr>
          <w:p>
            <w:pPr>
              <w:spacing w:after="0"/>
              <w:rPr>
                <w:sz w:val="17"/>
                <w:szCs w:val="17"/>
                <w:color w:val="auto"/>
              </w:rPr>
            </w:pPr>
          </w:p>
        </w:tc>
        <w:tc>
          <w:tcPr>
            <w:tcW w:w="26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Rule 13-a-14(a) Certification - CEO</w:t>
            </w:r>
          </w:p>
        </w:tc>
        <w:tc>
          <w:tcPr>
            <w:tcW w:w="7660" w:type="dxa"/>
            <w:vAlign w:val="bottom"/>
            <w:gridSpan w:val="5"/>
          </w:tcPr>
          <w:p>
            <w:pPr>
              <w:spacing w:after="0"/>
              <w:rPr>
                <w:sz w:val="17"/>
                <w:szCs w:val="17"/>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2"/>
              </w:rPr>
              <w:t>Rule 13-a-14(a) Certification - CFO</w:t>
            </w:r>
          </w:p>
        </w:tc>
        <w:tc>
          <w:tcPr>
            <w:tcW w:w="7680" w:type="dxa"/>
            <w:vAlign w:val="bottom"/>
            <w:gridSpan w:val="6"/>
          </w:tcPr>
          <w:p>
            <w:pPr>
              <w:spacing w:after="0"/>
              <w:rPr>
                <w:sz w:val="19"/>
                <w:szCs w:val="19"/>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19"/>
                <w:szCs w:val="19"/>
                <w:color w:val="auto"/>
              </w:rPr>
            </w:pPr>
          </w:p>
        </w:tc>
        <w:tc>
          <w:tcPr>
            <w:tcW w:w="24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Section 1350 Certification - CEO</w:t>
            </w:r>
          </w:p>
        </w:tc>
        <w:tc>
          <w:tcPr>
            <w:tcW w:w="7860" w:type="dxa"/>
            <w:vAlign w:val="bottom"/>
            <w:gridSpan w:val="7"/>
          </w:tcPr>
          <w:p>
            <w:pPr>
              <w:spacing w:after="0"/>
              <w:rPr>
                <w:sz w:val="19"/>
                <w:szCs w:val="19"/>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19"/>
                <w:szCs w:val="19"/>
                <w:color w:val="auto"/>
              </w:rPr>
            </w:pPr>
          </w:p>
        </w:tc>
        <w:tc>
          <w:tcPr>
            <w:tcW w:w="24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Section 1350 Certification - CFO</w:t>
            </w:r>
          </w:p>
        </w:tc>
        <w:tc>
          <w:tcPr>
            <w:tcW w:w="7880" w:type="dxa"/>
            <w:vAlign w:val="bottom"/>
            <w:gridSpan w:val="8"/>
          </w:tcPr>
          <w:p>
            <w:pPr>
              <w:spacing w:after="0"/>
              <w:rPr>
                <w:sz w:val="19"/>
                <w:szCs w:val="19"/>
                <w:color w:val="auto"/>
              </w:rPr>
            </w:pPr>
          </w:p>
        </w:tc>
      </w:tr>
      <w:tr>
        <w:trPr>
          <w:trHeight w:val="507"/>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440" w:type="dxa"/>
            <w:vAlign w:val="bottom"/>
          </w:tcPr>
          <w:p>
            <w:pPr>
              <w:spacing w:after="0"/>
              <w:rPr>
                <w:sz w:val="24"/>
                <w:szCs w:val="24"/>
                <w:color w:val="auto"/>
              </w:rPr>
            </w:pPr>
          </w:p>
        </w:tc>
        <w:tc>
          <w:tcPr>
            <w:tcW w:w="10280" w:type="dxa"/>
            <w:vAlign w:val="bottom"/>
            <w:gridSpan w:val="9"/>
          </w:tcPr>
          <w:p>
            <w:pPr>
              <w:spacing w:after="0"/>
              <w:rPr>
                <w:sz w:val="20"/>
                <w:szCs w:val="20"/>
                <w:color w:val="auto"/>
              </w:rPr>
            </w:pPr>
            <w:r>
              <w:rPr>
                <w:rFonts w:ascii="Arial" w:cs="Arial" w:eastAsia="Arial" w:hAnsi="Arial"/>
                <w:sz w:val="18"/>
                <w:szCs w:val="18"/>
                <w:color w:val="auto"/>
              </w:rPr>
              <w:t>XBRL Instance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440" w:type="dxa"/>
            <w:vAlign w:val="bottom"/>
          </w:tcPr>
          <w:p>
            <w:pPr>
              <w:spacing w:after="0"/>
              <w:rPr>
                <w:sz w:val="21"/>
                <w:szCs w:val="21"/>
                <w:color w:val="auto"/>
              </w:rPr>
            </w:pPr>
          </w:p>
        </w:tc>
        <w:tc>
          <w:tcPr>
            <w:tcW w:w="1028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9"/>
              </w:rPr>
              <w:t>101.CAL</w:t>
            </w:r>
          </w:p>
        </w:tc>
        <w:tc>
          <w:tcPr>
            <w:tcW w:w="440" w:type="dxa"/>
            <w:vAlign w:val="bottom"/>
          </w:tcPr>
          <w:p>
            <w:pPr>
              <w:spacing w:after="0"/>
              <w:rPr>
                <w:sz w:val="21"/>
                <w:szCs w:val="21"/>
                <w:color w:val="auto"/>
              </w:rPr>
            </w:pPr>
          </w:p>
        </w:tc>
        <w:tc>
          <w:tcPr>
            <w:tcW w:w="1028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440" w:type="dxa"/>
            <w:vAlign w:val="bottom"/>
          </w:tcPr>
          <w:p>
            <w:pPr>
              <w:spacing w:after="0"/>
              <w:rPr>
                <w:sz w:val="21"/>
                <w:szCs w:val="21"/>
                <w:color w:val="auto"/>
              </w:rPr>
            </w:pPr>
          </w:p>
        </w:tc>
        <w:tc>
          <w:tcPr>
            <w:tcW w:w="1028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rPr>
              <w:t>101.LAB</w:t>
            </w:r>
          </w:p>
        </w:tc>
        <w:tc>
          <w:tcPr>
            <w:tcW w:w="440" w:type="dxa"/>
            <w:vAlign w:val="bottom"/>
          </w:tcPr>
          <w:p>
            <w:pPr>
              <w:spacing w:after="0"/>
              <w:rPr>
                <w:sz w:val="21"/>
                <w:szCs w:val="21"/>
                <w:color w:val="auto"/>
              </w:rPr>
            </w:pPr>
          </w:p>
        </w:tc>
        <w:tc>
          <w:tcPr>
            <w:tcW w:w="1028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440" w:type="dxa"/>
            <w:vAlign w:val="bottom"/>
          </w:tcPr>
          <w:p>
            <w:pPr>
              <w:spacing w:after="0"/>
              <w:rPr>
                <w:sz w:val="21"/>
                <w:szCs w:val="21"/>
                <w:color w:val="auto"/>
              </w:rPr>
            </w:pPr>
          </w:p>
        </w:tc>
        <w:tc>
          <w:tcPr>
            <w:tcW w:w="1028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 (1)</w:t>
            </w:r>
          </w:p>
        </w:tc>
      </w:tr>
      <w:tr>
        <w:trPr>
          <w:trHeight w:val="945"/>
        </w:trPr>
        <w:tc>
          <w:tcPr>
            <w:tcW w:w="720" w:type="dxa"/>
            <w:vAlign w:val="bottom"/>
          </w:tcPr>
          <w:p>
            <w:pPr>
              <w:spacing w:after="0"/>
              <w:rPr>
                <w:sz w:val="24"/>
                <w:szCs w:val="24"/>
                <w:color w:val="auto"/>
              </w:rPr>
            </w:pPr>
          </w:p>
        </w:tc>
        <w:tc>
          <w:tcPr>
            <w:tcW w:w="10680" w:type="dxa"/>
            <w:vAlign w:val="bottom"/>
            <w:gridSpan w:val="8"/>
          </w:tcPr>
          <w:p>
            <w:pPr>
              <w:jc w:val="right"/>
              <w:ind w:right="560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SIGNATURES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Farmers &amp; Merchants Bancorp, Inc.,</w:t>
            </w:r>
          </w:p>
        </w:tc>
      </w:tr>
      <w:tr>
        <w:trPr>
          <w:trHeight w:val="486"/>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840" w:type="dxa"/>
            <w:vAlign w:val="bottom"/>
          </w:tcPr>
          <w:p>
            <w:pPr>
              <w:ind w:left="200"/>
              <w:spacing w:after="0"/>
              <w:rPr>
                <w:sz w:val="20"/>
                <w:szCs w:val="20"/>
                <w:color w:val="auto"/>
              </w:rPr>
            </w:pPr>
            <w:r>
              <w:rPr>
                <w:rFonts w:ascii="Arial" w:cs="Arial" w:eastAsia="Arial" w:hAnsi="Arial"/>
                <w:sz w:val="18"/>
                <w:szCs w:val="18"/>
                <w:color w:val="auto"/>
              </w:rPr>
              <w:t>July 24, 2019</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Lars B. Eller</w:t>
            </w:r>
          </w:p>
        </w:tc>
      </w:tr>
      <w:tr>
        <w:trPr>
          <w:trHeight w:val="222"/>
        </w:trPr>
        <w:tc>
          <w:tcPr>
            <w:tcW w:w="6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Lars B. Eller</w:t>
            </w:r>
          </w:p>
        </w:tc>
      </w:tr>
      <w:tr>
        <w:trPr>
          <w:trHeight w:val="230"/>
        </w:trPr>
        <w:tc>
          <w:tcPr>
            <w:tcW w:w="6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840" w:type="dxa"/>
            <w:vAlign w:val="bottom"/>
          </w:tcPr>
          <w:p>
            <w:pPr>
              <w:ind w:left="200"/>
              <w:spacing w:after="0"/>
              <w:rPr>
                <w:sz w:val="20"/>
                <w:szCs w:val="20"/>
                <w:color w:val="auto"/>
              </w:rPr>
            </w:pPr>
            <w:r>
              <w:rPr>
                <w:rFonts w:ascii="Arial" w:cs="Arial" w:eastAsia="Arial" w:hAnsi="Arial"/>
                <w:sz w:val="18"/>
                <w:szCs w:val="18"/>
                <w:color w:val="auto"/>
              </w:rPr>
              <w:t>July 24, 2019</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Barbara J. Britenriker</w:t>
            </w:r>
          </w:p>
        </w:tc>
      </w:tr>
      <w:tr>
        <w:trPr>
          <w:trHeight w:val="222"/>
        </w:trPr>
        <w:tc>
          <w:tcPr>
            <w:tcW w:w="6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Barbara J. Britenriker</w:t>
            </w:r>
          </w:p>
        </w:tc>
      </w:tr>
      <w:tr>
        <w:trPr>
          <w:trHeight w:val="230"/>
        </w:trPr>
        <w:tc>
          <w:tcPr>
            <w:tcW w:w="6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Executive Vice-President and</w:t>
            </w:r>
          </w:p>
        </w:tc>
      </w:tr>
      <w:tr>
        <w:trPr>
          <w:trHeight w:val="243"/>
        </w:trPr>
        <w:tc>
          <w:tcPr>
            <w:tcW w:w="60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68"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Lars B. Eller, President and CEO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25"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80" w:hanging="440"/>
        <w:spacing w:after="0" w:line="291"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760" w:hanging="442"/>
        <w:spacing w:after="0" w:line="264"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760" w:hanging="442"/>
        <w:spacing w:after="0" w:line="342" w:lineRule="auto"/>
        <w:tabs>
          <w:tab w:leader="none" w:pos="17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20" w:hanging="442"/>
        <w:spacing w:after="0" w:line="277"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Date:</w:t>
            </w:r>
          </w:p>
        </w:tc>
        <w:tc>
          <w:tcPr>
            <w:tcW w:w="6340" w:type="dxa"/>
            <w:vAlign w:val="bottom"/>
          </w:tcPr>
          <w:p>
            <w:pPr>
              <w:ind w:left="640"/>
              <w:spacing w:after="0"/>
              <w:rPr>
                <w:sz w:val="20"/>
                <w:szCs w:val="20"/>
                <w:color w:val="auto"/>
              </w:rPr>
            </w:pPr>
            <w:r>
              <w:rPr>
                <w:rFonts w:ascii="Arial" w:cs="Arial" w:eastAsia="Arial" w:hAnsi="Arial"/>
                <w:sz w:val="18"/>
                <w:szCs w:val="18"/>
                <w:color w:val="auto"/>
              </w:rPr>
              <w:t>July 24, 2019</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B. Eller</w:t>
            </w:r>
          </w:p>
        </w:tc>
      </w:tr>
      <w:tr>
        <w:trPr>
          <w:trHeight w:val="195"/>
        </w:trPr>
        <w:tc>
          <w:tcPr>
            <w:tcW w:w="106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Lars B. Eller</w:t>
            </w:r>
          </w:p>
        </w:tc>
      </w:tr>
      <w:tr>
        <w:trPr>
          <w:trHeight w:val="230"/>
        </w:trPr>
        <w:tc>
          <w:tcPr>
            <w:tcW w:w="10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Executive Vice President and CFO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25"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80" w:hanging="440"/>
        <w:spacing w:after="0" w:line="291"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760" w:hanging="442"/>
        <w:spacing w:after="0" w:line="264" w:lineRule="auto"/>
        <w:tabs>
          <w:tab w:leader="none" w:pos="1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40"/>
        <w:spacing w:after="0" w:line="342"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760" w:hanging="442"/>
        <w:spacing w:after="0" w:line="342" w:lineRule="auto"/>
        <w:tabs>
          <w:tab w:leader="none" w:pos="17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20" w:hanging="442"/>
        <w:spacing w:after="0" w:line="277" w:lineRule="auto"/>
        <w:tabs>
          <w:tab w:leader="none" w:pos="1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Date:</w:t>
            </w:r>
          </w:p>
        </w:tc>
        <w:tc>
          <w:tcPr>
            <w:tcW w:w="6340" w:type="dxa"/>
            <w:vAlign w:val="bottom"/>
          </w:tcPr>
          <w:p>
            <w:pPr>
              <w:ind w:left="640"/>
              <w:spacing w:after="0"/>
              <w:rPr>
                <w:sz w:val="20"/>
                <w:szCs w:val="20"/>
                <w:color w:val="auto"/>
              </w:rPr>
            </w:pPr>
            <w:r>
              <w:rPr>
                <w:rFonts w:ascii="Arial" w:cs="Arial" w:eastAsia="Arial" w:hAnsi="Arial"/>
                <w:sz w:val="18"/>
                <w:szCs w:val="18"/>
                <w:color w:val="auto"/>
              </w:rPr>
              <w:t>July 24, 2019</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222"/>
        </w:trPr>
        <w:tc>
          <w:tcPr>
            <w:tcW w:w="10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Barbara J. Britenriker</w:t>
            </w:r>
          </w:p>
        </w:tc>
      </w:tr>
      <w:tr>
        <w:trPr>
          <w:trHeight w:val="230"/>
        </w:trPr>
        <w:tc>
          <w:tcPr>
            <w:tcW w:w="10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10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June 30, 2019 as filed with the Securities and Exchange Commission ("the report"), I, Lars B. Eller, President and Chief Executive Officer, certify, pursuant to 18 U.S.C. Section 1350, as adopted pursuant to Section 906 of the Sarbanes-Oxley Act of 2002, that:</w:t>
      </w:r>
    </w:p>
    <w:p>
      <w:pPr>
        <w:spacing w:after="0" w:line="181" w:lineRule="exact"/>
        <w:rPr>
          <w:sz w:val="20"/>
          <w:szCs w:val="20"/>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hanging="440"/>
        <w:spacing w:after="0" w:line="261"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Date:</w:t>
            </w:r>
          </w:p>
        </w:tc>
        <w:tc>
          <w:tcPr>
            <w:tcW w:w="6340" w:type="dxa"/>
            <w:vAlign w:val="bottom"/>
          </w:tcPr>
          <w:p>
            <w:pPr>
              <w:ind w:left="640"/>
              <w:spacing w:after="0"/>
              <w:rPr>
                <w:sz w:val="20"/>
                <w:szCs w:val="20"/>
                <w:color w:val="auto"/>
              </w:rPr>
            </w:pPr>
            <w:r>
              <w:rPr>
                <w:rFonts w:ascii="Arial" w:cs="Arial" w:eastAsia="Arial" w:hAnsi="Arial"/>
                <w:sz w:val="18"/>
                <w:szCs w:val="18"/>
                <w:color w:val="auto"/>
              </w:rPr>
              <w:t>July 24, 2019</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B. Eller</w:t>
            </w:r>
          </w:p>
        </w:tc>
      </w:tr>
      <w:tr>
        <w:trPr>
          <w:trHeight w:val="195"/>
        </w:trPr>
        <w:tc>
          <w:tcPr>
            <w:tcW w:w="106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Lars B. Eller</w:t>
            </w:r>
          </w:p>
        </w:tc>
      </w:tr>
      <w:tr>
        <w:trPr>
          <w:trHeight w:val="230"/>
        </w:trPr>
        <w:tc>
          <w:tcPr>
            <w:tcW w:w="10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June 30, 2019, as filed with the Securities and Exchange Commission ("the report"), I, Barbara J. Britenriker, Executive Vice President and Chief Financial Officer, certify, pursuant to 18 U.S.C. Section 1350, as adopted pursuant to Section 906 of the Sarbanes-Oxley Act of 2002, that:</w:t>
      </w:r>
    </w:p>
    <w:p>
      <w:pPr>
        <w:spacing w:after="0" w:line="181" w:lineRule="exact"/>
        <w:rPr>
          <w:sz w:val="20"/>
          <w:szCs w:val="20"/>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hanging="440"/>
        <w:spacing w:after="0" w:line="261"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Date:</w:t>
            </w:r>
          </w:p>
        </w:tc>
        <w:tc>
          <w:tcPr>
            <w:tcW w:w="6340" w:type="dxa"/>
            <w:vAlign w:val="bottom"/>
          </w:tcPr>
          <w:p>
            <w:pPr>
              <w:ind w:left="640"/>
              <w:spacing w:after="0"/>
              <w:rPr>
                <w:sz w:val="20"/>
                <w:szCs w:val="20"/>
                <w:color w:val="auto"/>
              </w:rPr>
            </w:pPr>
            <w:r>
              <w:rPr>
                <w:rFonts w:ascii="Arial" w:cs="Arial" w:eastAsia="Arial" w:hAnsi="Arial"/>
                <w:sz w:val="18"/>
                <w:szCs w:val="18"/>
                <w:color w:val="auto"/>
              </w:rPr>
              <w:t>July 24, 2019</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222"/>
        </w:trPr>
        <w:tc>
          <w:tcPr>
            <w:tcW w:w="10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Barbara J. Britenriker</w:t>
            </w:r>
          </w:p>
        </w:tc>
      </w:tr>
      <w:tr>
        <w:trPr>
          <w:trHeight w:val="230"/>
        </w:trPr>
        <w:tc>
          <w:tcPr>
            <w:tcW w:w="10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10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3"/>
    </w:lvl>
    <w:lvl w:ilvl="1">
      <w:lvlJc w:val="left"/>
      <w:lvlText w:val="%2."/>
      <w:numFmt w:val="lowerLetter"/>
      <w:start w:val="1"/>
    </w:lvl>
  </w:abstractNum>
  <w:abstractNum w:abstractNumId="10">
    <w:nsid w:val="62BBD95A"/>
    <w:multiLevelType w:val="hybridMultilevel"/>
    <w:lvl w:ilvl="0">
      <w:lvlJc w:val="left"/>
      <w:lvlText w:val="%1."/>
      <w:numFmt w:val="decimal"/>
      <w:start w:val="8"/>
    </w:lvl>
    <w:lvl w:ilvl="1">
      <w:lvlJc w:val="left"/>
      <w:lvlText w:val="%2."/>
      <w:numFmt w:val="lowerLetter"/>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o"/>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08" Type="http://schemas.openxmlformats.org/officeDocument/2006/relationships/hyperlink" Target="http://www.sec.gov/Archives/edgar/data/792966/000119312517318709/d447990d10q.htm" TargetMode="External"/><Relationship Id="rId109" Type="http://schemas.openxmlformats.org/officeDocument/2006/relationships/hyperlink" Target="http://www.sec.gov/Archives/edgar/data/792966/000119312517235925/d422994d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2019-11-30T20:50:07Z</dcterms:created>
  <dcterms:modified xsi:type="dcterms:W3CDTF">2019-11-30T20:50:07Z</dcterms:modified>
</cp:coreProperties>
</file>