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fmao-20260422.htm"/>
      <w:bookmarkStart w:id="1" w:name="ksfmao20260422"/>
      <w:bookmarkEnd w:id="0"/>
      <w:bookmarkEnd w:id="1"/>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4"/>
        </w:rPr>
        <w:t xml:space="preserve">CURRENT REPORT </w:t>
      </w:r>
      <w:r>
        <w:rPr>
          <w:rFonts w:ascii="Times New Roman" w:hAnsi="Times New Roman"/>
          <w:b/>
          <w:caps/>
          <w:color w:val="000000"/>
          <w:sz w:val="24"/>
        </w:rPr>
        <w:t>Pursuant</w:t>
      </w:r>
    </w:p>
    <w:p>
      <w:pPr>
        <w:pStyle w:val="TextBody"/>
        <w:bidi w:val="0"/>
        <w:jc w:val="center"/>
        <w:rPr>
          <w:rFonts w:ascii="Times New Roman" w:hAnsi="Times New Roman"/>
          <w:sz w:val="20"/>
        </w:rPr>
      </w:pPr>
      <w:r>
        <w:rPr>
          <w:rFonts w:ascii="Times New Roman" w:hAnsi="Times New Roman"/>
          <w:b/>
          <w:caps/>
          <w:color w:val="000000"/>
          <w:sz w:val="24"/>
        </w:rPr>
        <w:t>to Section 13 or 15(</w:t>
      </w:r>
      <w:r>
        <w:rPr>
          <w:rFonts w:ascii="Times New Roman" w:hAnsi="Times New Roman"/>
          <w:b/>
          <w:color w:val="000000"/>
          <w:sz w:val="24"/>
        </w:rPr>
        <w:t>d</w:t>
      </w:r>
      <w:r>
        <w:rPr>
          <w:rFonts w:ascii="Times New Roman" w:hAnsi="Times New Roman"/>
          <w:b/>
          <w:caps/>
          <w:color w:val="000000"/>
          <w:sz w:val="24"/>
        </w:rPr>
        <w:t>) of the</w:t>
      </w:r>
    </w:p>
    <w:p>
      <w:pPr>
        <w:pStyle w:val="TextBody"/>
        <w:bidi w:val="0"/>
        <w:jc w:val="center"/>
        <w:rPr>
          <w:rFonts w:ascii="Times New Roman" w:hAnsi="Times New Roman"/>
          <w:b/>
          <w:caps/>
          <w:color w:val="000000"/>
          <w:sz w:val="24"/>
        </w:rPr>
      </w:pPr>
      <w:r>
        <w:rPr>
          <w:rFonts w:ascii="Times New Roman" w:hAnsi="Times New Roman"/>
          <w:b/>
          <w:caps/>
          <w:color w:val="000000"/>
          <w:sz w:val="24"/>
        </w:rPr>
        <w:t>Securities Exchange Act of 1934</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Date of Report (Date of earliest event reported) April 22, 2026</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Farmers &amp; Merchants Bancorp,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698" w:type="dxa"/>
        <w:jc w:val="left"/>
        <w:tblInd w:w="0" w:type="dxa"/>
        <w:tblLayout w:type="fixed"/>
        <w:tblCellMar>
          <w:top w:w="28" w:type="dxa"/>
          <w:left w:w="28" w:type="dxa"/>
          <w:bottom w:w="28" w:type="dxa"/>
          <w:right w:w="28" w:type="dxa"/>
        </w:tblCellMar>
      </w:tblPr>
      <w:tblGrid>
        <w:gridCol w:w="2146"/>
        <w:gridCol w:w="1066"/>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Ohio</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001-38084</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34-1469491</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w:t>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of Incorporation)</w:t>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4622" w:type="dxa"/>
        <w:jc w:val="left"/>
        <w:tblInd w:w="0" w:type="dxa"/>
        <w:tblLayout w:type="fixed"/>
        <w:tblCellMar>
          <w:top w:w="28" w:type="dxa"/>
          <w:left w:w="28" w:type="dxa"/>
          <w:bottom w:w="28" w:type="dxa"/>
          <w:right w:w="28" w:type="dxa"/>
        </w:tblCellMar>
      </w:tblPr>
      <w:tblGrid>
        <w:gridCol w:w="3691"/>
        <w:gridCol w:w="931"/>
      </w:tblGrid>
      <w:tr>
        <w:trPr/>
        <w:tc>
          <w:tcPr>
            <w:tcW w:w="369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307 North Defiance Street, Archbold, Ohio</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43502</w:t>
            </w:r>
          </w:p>
        </w:tc>
      </w:tr>
      <w:tr>
        <w:trPr/>
        <w:tc>
          <w:tcPr>
            <w:tcW w:w="3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200" w:after="283"/>
        <w:jc w:val="center"/>
        <w:rPr>
          <w:rFonts w:ascii="Times New Roman" w:hAnsi="Times New Roman"/>
          <w:sz w:val="20"/>
        </w:rPr>
      </w:pPr>
      <w:r>
        <w:rPr>
          <w:rFonts w:ascii="Times New Roman" w:hAnsi="Times New Roman"/>
          <w:b/>
          <w:color w:val="000000"/>
          <w:sz w:val="20"/>
        </w:rPr>
        <w:t>Registrant's Telephone Number, including Area Code (419)</w:t>
      </w:r>
      <w:r>
        <w:rPr>
          <w:rFonts w:ascii="Times New Roman" w:hAnsi="Times New Roman"/>
          <w:color w:val="000000"/>
          <w:sz w:val="20"/>
        </w:rPr>
        <w:t xml:space="preserve"> </w:t>
      </w:r>
      <w:r>
        <w:rPr>
          <w:rFonts w:ascii="Times New Roman" w:hAnsi="Times New Roman"/>
          <w:b/>
          <w:color w:val="000000"/>
          <w:sz w:val="20"/>
        </w:rPr>
        <w:t>446-2501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N/A</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pBdr>
          <w:bottom w:val="sing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5778" w:type="dxa"/>
        <w:jc w:val="left"/>
        <w:tblInd w:w="0" w:type="dxa"/>
        <w:tblLayout w:type="fixed"/>
        <w:tblCellMar>
          <w:top w:w="28" w:type="dxa"/>
          <w:left w:w="28" w:type="dxa"/>
          <w:bottom w:w="28" w:type="dxa"/>
          <w:right w:w="28" w:type="dxa"/>
        </w:tblCellMar>
      </w:tblPr>
      <w:tblGrid>
        <w:gridCol w:w="2296"/>
        <w:gridCol w:w="1456"/>
        <w:gridCol w:w="2026"/>
      </w:tblGrid>
      <w:tr>
        <w:trPr/>
        <w:tc>
          <w:tcPr>
            <w:tcW w:w="229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2296"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5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Trading Symbol(s)</w:t>
            </w:r>
          </w:p>
        </w:tc>
        <w:tc>
          <w:tcPr>
            <w:tcW w:w="2026"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Name of Each Exchange</w:t>
            </w:r>
          </w:p>
        </w:tc>
      </w:tr>
      <w:tr>
        <w:trPr/>
        <w:tc>
          <w:tcPr>
            <w:tcW w:w="2296"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 No Par Value</w:t>
            </w:r>
          </w:p>
        </w:tc>
        <w:tc>
          <w:tcPr>
            <w:tcW w:w="14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FMAO</w:t>
            </w:r>
          </w:p>
        </w:tc>
        <w:tc>
          <w:tcPr>
            <w:tcW w:w="202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NASDAQ</w:t>
            </w:r>
            <w:r>
              <w:rPr>
                <w:rFonts w:ascii="Times New Roman" w:hAnsi="Times New Roman"/>
                <w:color w:val="000000"/>
                <w:sz w:val="20"/>
              </w:rPr>
              <w:t> </w:t>
            </w:r>
            <w:r>
              <w:rPr>
                <w:rFonts w:ascii="Times New Roman" w:hAnsi="Times New Roman"/>
                <w:color w:val="000000"/>
                <w:sz w:val="18"/>
              </w:rPr>
              <w:t>Capital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80" w:after="283"/>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spacing w:before="80" w:after="283"/>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spacing w:before="80" w:after="283"/>
        <w:jc w:val="left"/>
        <w:rPr/>
      </w:pPr>
      <w:r>
        <w:rPr>
          <w:color w:val="000000"/>
        </w:rPr>
        <w:t xml:space="preserve">☐ </w:t>
      </w:r>
      <w:r>
        <w:rPr>
          <w:rFonts w:ascii="Times New Roman" w:hAnsi="Times New Roman"/>
          <w:color w:val="000000"/>
          <w:sz w:val="20"/>
        </w:rPr>
        <w:t>Pre-commencement communications pursuant to Rule 13e-4(c) under the Exchange Act (17-CFR 240.13e-4(c))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0"/>
        </w:rPr>
      </w:pPr>
      <w:r>
        <w:rPr>
          <w:rFonts w:ascii="Times New Roman" w:hAnsi="Times New Roman"/>
          <w:color w:val="000000"/>
          <w:sz w:val="20"/>
        </w:rPr>
        <w:t>ITEM 2.02. Results of Operation and Financial Condition</w:t>
      </w:r>
    </w:p>
    <w:p>
      <w:pPr>
        <w:pStyle w:val="TextBody"/>
        <w:bidi w:val="0"/>
        <w:spacing w:before="240" w:after="160"/>
        <w:jc w:val="both"/>
        <w:rPr>
          <w:rFonts w:ascii="Times New Roman" w:hAnsi="Times New Roman"/>
          <w:color w:val="000000"/>
          <w:sz w:val="20"/>
        </w:rPr>
      </w:pPr>
      <w:r>
        <w:rPr>
          <w:rFonts w:ascii="Times New Roman" w:hAnsi="Times New Roman"/>
          <w:color w:val="000000"/>
          <w:sz w:val="20"/>
        </w:rPr>
        <w:t>On April 22, 2026, Farmers &amp; Merchants Bancorp, Inc. issued a press release (the “Release”) announcing its earnings for the three months ended March 31, 2026. A copy of the press release is attached hereto as Exhibit 99 and is incorporated by reference herein.</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4502" w:type="dxa"/>
        <w:jc w:val="left"/>
        <w:tblInd w:w="0" w:type="dxa"/>
        <w:tblLayout w:type="fixed"/>
        <w:tblCellMar>
          <w:top w:w="28" w:type="dxa"/>
          <w:left w:w="28" w:type="dxa"/>
          <w:bottom w:w="28" w:type="dxa"/>
          <w:right w:w="28" w:type="dxa"/>
        </w:tblCellMar>
      </w:tblPr>
      <w:tblGrid>
        <w:gridCol w:w="706"/>
        <w:gridCol w:w="3796"/>
      </w:tblGrid>
      <w:tr>
        <w:trPr/>
        <w:tc>
          <w:tcPr>
            <w:tcW w:w="706" w:type="dxa"/>
            <w:tcBorders/>
            <w:vAlign w:val="center"/>
          </w:tcPr>
          <w:p>
            <w:pPr>
              <w:pStyle w:val="TableContents"/>
              <w:bidi w:val="0"/>
              <w:spacing w:before="0" w:after="283"/>
              <w:jc w:val="left"/>
              <w:rPr>
                <w:sz w:val="4"/>
                <w:szCs w:val="4"/>
              </w:rPr>
            </w:pPr>
            <w:r>
              <w:rPr>
                <w:sz w:val="4"/>
                <w:szCs w:val="4"/>
              </w:rPr>
            </w:r>
          </w:p>
        </w:tc>
        <w:tc>
          <w:tcPr>
            <w:tcW w:w="3796"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Number</w:t>
            </w:r>
          </w:p>
        </w:tc>
        <w:tc>
          <w:tcPr>
            <w:tcW w:w="3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Exhibit</w:t>
            </w:r>
          </w:p>
        </w:tc>
      </w:tr>
      <w:tr>
        <w:trPr/>
        <w:tc>
          <w:tcPr>
            <w:tcW w:w="706" w:type="dxa"/>
            <w:tcBorders/>
            <w:tcMar>
              <w:top w:w="0" w:type="dxa"/>
              <w:left w:w="0" w:type="dxa"/>
              <w:bottom w:w="0" w:type="dxa"/>
              <w:right w:w="0" w:type="dxa"/>
            </w:tcMar>
            <w:vAlign w:val="center"/>
          </w:tcPr>
          <w:p>
            <w:pPr>
              <w:pStyle w:val="TableContents"/>
              <w:bidi w:val="0"/>
              <w:spacing w:before="0" w:after="283"/>
              <w:jc w:val="both"/>
              <w:rPr/>
            </w:pPr>
            <w:r>
              <w:rPr/>
              <w:t> </w:t>
            </w:r>
          </w:p>
        </w:tc>
        <w:tc>
          <w:tcPr>
            <w:tcW w:w="3796"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w:t>
            </w:r>
          </w:p>
        </w:tc>
        <w:tc>
          <w:tcPr>
            <w:tcW w:w="3796" w:type="dxa"/>
            <w:tcBorders/>
            <w:tcMar>
              <w:top w:w="0" w:type="dxa"/>
              <w:left w:w="0" w:type="dxa"/>
              <w:bottom w:w="0" w:type="dxa"/>
              <w:right w:w="0" w:type="dxa"/>
            </w:tcMar>
            <w:vAlign w:val="center"/>
          </w:tcPr>
          <w:p>
            <w:pPr>
              <w:pStyle w:val="TableContents"/>
              <w:bidi w:val="0"/>
              <w:spacing w:before="0" w:after="283"/>
              <w:jc w:val="left"/>
              <w:rPr/>
            </w:pPr>
            <w:hyperlink w:anchor="fmao-ex99.htm">
              <w:r>
                <w:rPr>
                  <w:rStyle w:val="InternetLink"/>
                  <w:rFonts w:ascii="Times New Roman" w:hAnsi="Times New Roman"/>
                  <w:color w:val="0000FF"/>
                  <w:sz w:val="20"/>
                  <w:u w:val="single"/>
                </w:rPr>
                <w:t>Company Press Release dated April 22, 2026</w:t>
              </w:r>
            </w:hyperlink>
          </w:p>
        </w:tc>
      </w:tr>
    </w:tbl>
    <w:p>
      <w:pPr>
        <w:pStyle w:val="TextBody"/>
        <w:bidi w:val="0"/>
        <w:jc w:val="left"/>
        <w:rPr/>
      </w:pPr>
      <w:r>
        <w:rPr/>
        <w:t> </w:t>
      </w:r>
    </w:p>
    <w:tbl>
      <w:tblPr>
        <w:tblW w:w="7397" w:type="dxa"/>
        <w:jc w:val="left"/>
        <w:tblInd w:w="0" w:type="dxa"/>
        <w:tblLayout w:type="fixed"/>
        <w:tblCellMar>
          <w:top w:w="28" w:type="dxa"/>
          <w:left w:w="28" w:type="dxa"/>
          <w:bottom w:w="28" w:type="dxa"/>
          <w:right w:w="28" w:type="dxa"/>
        </w:tblCellMar>
      </w:tblPr>
      <w:tblGrid>
        <w:gridCol w:w="436"/>
        <w:gridCol w:w="6961"/>
      </w:tblGrid>
      <w:tr>
        <w:trPr/>
        <w:tc>
          <w:tcPr>
            <w:tcW w:w="436" w:type="dxa"/>
            <w:tcBorders/>
            <w:vAlign w:val="center"/>
          </w:tcPr>
          <w:p>
            <w:pPr>
              <w:pStyle w:val="TableContents"/>
              <w:bidi w:val="0"/>
              <w:spacing w:before="0" w:after="283"/>
              <w:jc w:val="left"/>
              <w:rPr>
                <w:sz w:val="4"/>
                <w:szCs w:val="4"/>
              </w:rPr>
            </w:pPr>
            <w:r>
              <w:rPr>
                <w:sz w:val="4"/>
                <w:szCs w:val="4"/>
              </w:rPr>
            </w:r>
          </w:p>
        </w:tc>
        <w:tc>
          <w:tcPr>
            <w:tcW w:w="6961" w:type="dxa"/>
            <w:tcBorders/>
            <w:vAlign w:val="center"/>
          </w:tcPr>
          <w:p>
            <w:pPr>
              <w:pStyle w:val="TableContents"/>
              <w:bidi w:val="0"/>
              <w:spacing w:before="0" w:after="283"/>
              <w:jc w:val="left"/>
              <w:rPr>
                <w:sz w:val="4"/>
                <w:szCs w:val="4"/>
              </w:rPr>
            </w:pPr>
            <w:r>
              <w:rPr>
                <w:sz w:val="4"/>
                <w:szCs w:val="4"/>
              </w:rPr>
            </w:r>
          </w:p>
        </w:tc>
      </w:tr>
      <w:tr>
        <w:trPr/>
        <w:tc>
          <w:tcPr>
            <w:tcW w:w="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authorized.</w:t>
      </w:r>
    </w:p>
    <w:p>
      <w:pPr>
        <w:pStyle w:val="TextBody"/>
        <w:bidi w:val="0"/>
        <w:jc w:val="left"/>
        <w:rPr/>
      </w:pPr>
      <w:r>
        <w:rPr/>
        <w:t> </w:t>
      </w:r>
    </w:p>
    <w:tbl>
      <w:tblPr>
        <w:tblW w:w="6331" w:type="dxa"/>
        <w:jc w:val="left"/>
        <w:tblInd w:w="0" w:type="dxa"/>
        <w:tblLayout w:type="fixed"/>
        <w:tblCellMar>
          <w:top w:w="28" w:type="dxa"/>
          <w:left w:w="28" w:type="dxa"/>
          <w:bottom w:w="28" w:type="dxa"/>
          <w:right w:w="28" w:type="dxa"/>
        </w:tblCellMar>
      </w:tblPr>
      <w:tblGrid>
        <w:gridCol w:w="1127"/>
        <w:gridCol w:w="763"/>
        <w:gridCol w:w="4441"/>
      </w:tblGrid>
      <w:tr>
        <w:trPr/>
        <w:tc>
          <w:tcPr>
            <w:tcW w:w="112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4441" w:type="dxa"/>
            <w:tcBorders/>
            <w:vAlign w:val="center"/>
          </w:tcPr>
          <w:p>
            <w:pPr>
              <w:pStyle w:val="TableContents"/>
              <w:bidi w:val="0"/>
              <w:spacing w:before="0" w:after="283"/>
              <w:jc w:val="left"/>
              <w:rPr>
                <w:sz w:val="4"/>
                <w:szCs w:val="4"/>
              </w:rPr>
            </w:pPr>
            <w:r>
              <w:rPr>
                <w:sz w:val="4"/>
                <w:szCs w:val="4"/>
              </w:rPr>
            </w:r>
          </w:p>
        </w:tc>
      </w:tr>
      <w:tr>
        <w:trPr/>
        <w:tc>
          <w:tcPr>
            <w:tcW w:w="1127" w:type="dxa"/>
            <w:tcBorders/>
            <w:tcMar>
              <w:top w:w="0" w:type="dxa"/>
              <w:left w:w="0" w:type="dxa"/>
              <w:bottom w:w="0" w:type="dxa"/>
              <w:right w:w="0" w:type="dxa"/>
            </w:tcMar>
            <w:vAlign w:val="center"/>
          </w:tcPr>
          <w:p>
            <w:pPr>
              <w:pStyle w:val="TableContents"/>
              <w:bidi w:val="0"/>
              <w:spacing w:before="0" w:after="283"/>
              <w:jc w:val="left"/>
              <w:rPr/>
            </w:pPr>
            <w:r>
              <w:rPr/>
              <w:t> </w:t>
            </w:r>
          </w:p>
        </w:tc>
        <w:tc>
          <w:tcPr>
            <w:tcW w:w="5204"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FARMERS &amp; MERCHANTS BANCORP, INC.</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April 22, 2026</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Lars B. Eller</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Lars B. Eller</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Barbara J. Britenriker</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Barbara J. Britenriker</w:t>
            </w:r>
          </w:p>
        </w:tc>
      </w:tr>
      <w:tr>
        <w:trPr/>
        <w:tc>
          <w:tcPr>
            <w:tcW w:w="1890" w:type="dxa"/>
            <w:gridSpan w:val="2"/>
            <w:tcBorders/>
            <w:tcMar>
              <w:top w:w="0" w:type="dxa"/>
              <w:left w:w="0" w:type="dxa"/>
              <w:bottom w:w="0" w:type="dxa"/>
              <w:right w:w="0" w:type="dxa"/>
            </w:tcMar>
            <w:vAlign w:val="center"/>
          </w:tcPr>
          <w:p>
            <w:pPr>
              <w:pStyle w:val="TableContents"/>
              <w:bidi w:val="0"/>
              <w:spacing w:before="0" w:after="283"/>
              <w:jc w:val="both"/>
              <w:rPr/>
            </w:pPr>
            <w:r>
              <w:rPr/>
              <w:t> </w:t>
            </w:r>
          </w:p>
        </w:tc>
        <w:tc>
          <w:tcPr>
            <w:tcW w:w="4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Vice President and 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20"/>
        <w:jc w:val="right"/>
        <w:rPr>
          <w:rFonts w:ascii="Times New Roman" w:hAnsi="Times New Roman"/>
          <w:b/>
          <w:color w:val="000000"/>
          <w:sz w:val="24"/>
        </w:rPr>
      </w:pPr>
      <w:bookmarkStart w:id="2" w:name="fmao-ex99.htm"/>
      <w:bookmarkStart w:id="3" w:name="ksfmaoex99"/>
      <w:bookmarkEnd w:id="2"/>
      <w:bookmarkEnd w:id="3"/>
      <w:r>
        <w:rPr>
          <w:rFonts w:ascii="Times New Roman" w:hAnsi="Times New Roman"/>
          <w:b/>
          <w:color w:val="000000"/>
          <w:sz w:val="24"/>
        </w:rPr>
        <w:t>Exhibit 99</w:t>
      </w:r>
      <w:r>
        <w:br w:type="page"/>
      </w:r>
    </w:p>
    <w:tbl>
      <w:tblPr>
        <w:tblW w:w="6732" w:type="dxa"/>
        <w:jc w:val="left"/>
        <w:tblInd w:w="0" w:type="dxa"/>
        <w:tblLayout w:type="fixed"/>
        <w:tblCellMar>
          <w:top w:w="28" w:type="dxa"/>
          <w:left w:w="28" w:type="dxa"/>
          <w:bottom w:w="28" w:type="dxa"/>
          <w:right w:w="28" w:type="dxa"/>
        </w:tblCellMar>
      </w:tblPr>
      <w:tblGrid>
        <w:gridCol w:w="3866"/>
        <w:gridCol w:w="2866"/>
      </w:tblGrid>
      <w:tr>
        <w:trPr/>
        <w:tc>
          <w:tcPr>
            <w:tcW w:w="3866"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r>
      <w:tr>
        <w:trPr/>
        <w:tc>
          <w:tcPr>
            <w:tcW w:w="3866" w:type="dxa"/>
            <w:tcBorders/>
            <w:tcMar>
              <w:top w:w="0" w:type="dxa"/>
              <w:left w:w="0" w:type="dxa"/>
              <w:bottom w:w="0" w:type="dxa"/>
              <w:right w:w="0" w:type="dxa"/>
            </w:tcMar>
            <w:vAlign w:val="center"/>
          </w:tcPr>
          <w:p>
            <w:pPr>
              <w:pStyle w:val="TableContents"/>
              <w:bidi w:val="0"/>
              <w:jc w:val="center"/>
              <w:rPr/>
            </w:pPr>
            <w:r>
              <w:rPr/>
              <w:drawing>
                <wp:inline distT="0" distB="0" distL="0" distR="0">
                  <wp:extent cx="2390775"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752475"/>
                          </a:xfrm>
                          <a:prstGeom prst="rect">
                            <a:avLst/>
                          </a:prstGeom>
                        </pic:spPr>
                      </pic:pic>
                    </a:graphicData>
                  </a:graphic>
                </wp:inline>
              </w:drawing>
            </w:r>
          </w:p>
          <w:p>
            <w:pPr>
              <w:pStyle w:val="TableContents"/>
              <w:bidi w:val="0"/>
              <w:jc w:val="center"/>
              <w:rPr>
                <w:rFonts w:ascii="Times New Roman" w:hAnsi="Times New Roman"/>
                <w:color w:val="002060"/>
                <w:sz w:val="18"/>
              </w:rPr>
            </w:pPr>
            <w:r>
              <w:rPr>
                <w:rFonts w:ascii="Times New Roman" w:hAnsi="Times New Roman"/>
                <w:color w:val="002060"/>
                <w:sz w:val="18"/>
              </w:rPr>
              <w:t>Post Office Box 216</w:t>
            </w:r>
          </w:p>
          <w:p>
            <w:pPr>
              <w:pStyle w:val="TableContents"/>
              <w:bidi w:val="0"/>
              <w:jc w:val="center"/>
              <w:rPr>
                <w:rFonts w:ascii="Times New Roman" w:hAnsi="Times New Roman"/>
                <w:color w:val="002060"/>
                <w:sz w:val="18"/>
              </w:rPr>
            </w:pPr>
            <w:r>
              <w:rPr>
                <w:rFonts w:ascii="Times New Roman" w:hAnsi="Times New Roman"/>
                <w:color w:val="002060"/>
                <w:sz w:val="18"/>
              </w:rPr>
              <w:t>307 North Defiance Street</w:t>
            </w:r>
          </w:p>
          <w:p>
            <w:pPr>
              <w:pStyle w:val="TableContents"/>
              <w:bidi w:val="0"/>
              <w:spacing w:before="0" w:after="283"/>
              <w:jc w:val="center"/>
              <w:rPr>
                <w:rFonts w:ascii="Times New Roman" w:hAnsi="Times New Roman"/>
                <w:color w:val="002060"/>
                <w:sz w:val="18"/>
              </w:rPr>
            </w:pPr>
            <w:r>
              <w:rPr>
                <w:rFonts w:ascii="Times New Roman" w:hAnsi="Times New Roman"/>
                <w:color w:val="002060"/>
                <w:sz w:val="18"/>
              </w:rPr>
              <w:t>Archbold, Ohio 43502</w:t>
            </w:r>
          </w:p>
        </w:tc>
        <w:tc>
          <w:tcPr>
            <w:tcW w:w="286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b/>
                <w:i/>
                <w:color w:val="002060"/>
                <w:sz w:val="36"/>
              </w:rPr>
            </w:pPr>
            <w:r>
              <w:rPr>
                <w:rFonts w:ascii="Times New Roman" w:hAnsi="Times New Roman"/>
                <w:b/>
                <w:i/>
                <w:color w:val="002060"/>
                <w:sz w:val="36"/>
              </w:rPr>
              <w:t>NEWS RELEASE</w:t>
            </w:r>
          </w:p>
        </w:tc>
      </w:tr>
    </w:tbl>
    <w:p>
      <w:pPr>
        <w:pStyle w:val="TextBody"/>
        <w:bidi w:val="0"/>
        <w:spacing w:before="0" w:after="120"/>
        <w:jc w:val="left"/>
        <w:rPr/>
      </w:pPr>
      <w:r>
        <w:rPr/>
        <w:t> </w:t>
      </w:r>
    </w:p>
    <w:tbl>
      <w:tblPr>
        <w:tblW w:w="5192" w:type="dxa"/>
        <w:jc w:val="left"/>
        <w:tblInd w:w="0" w:type="dxa"/>
        <w:tblLayout w:type="fixed"/>
        <w:tblCellMar>
          <w:top w:w="28" w:type="dxa"/>
          <w:left w:w="28" w:type="dxa"/>
          <w:bottom w:w="28" w:type="dxa"/>
          <w:right w:w="28" w:type="dxa"/>
        </w:tblCellMar>
      </w:tblPr>
      <w:tblGrid>
        <w:gridCol w:w="2806"/>
        <w:gridCol w:w="2386"/>
      </w:tblGrid>
      <w:tr>
        <w:trPr/>
        <w:tc>
          <w:tcPr>
            <w:tcW w:w="280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2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Company Contact:</w:t>
            </w:r>
          </w:p>
        </w:tc>
        <w:tc>
          <w:tcPr>
            <w:tcW w:w="23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Investor and Media Contact:</w:t>
            </w:r>
          </w:p>
        </w:tc>
      </w:tr>
      <w:tr>
        <w:trPr/>
        <w:tc>
          <w:tcPr>
            <w:tcW w:w="28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Lars B. Eller</w:t>
            </w:r>
          </w:p>
          <w:p>
            <w:pPr>
              <w:pStyle w:val="TableContents"/>
              <w:bidi w:val="0"/>
              <w:jc w:val="left"/>
              <w:rPr>
                <w:rFonts w:ascii="Times New Roman" w:hAnsi="Times New Roman"/>
                <w:color w:val="000000"/>
                <w:sz w:val="18"/>
              </w:rPr>
            </w:pPr>
            <w:r>
              <w:rPr>
                <w:rFonts w:ascii="Times New Roman" w:hAnsi="Times New Roman"/>
                <w:color w:val="000000"/>
                <w:sz w:val="18"/>
              </w:rPr>
              <w:t>President and Chief Executive Officer</w:t>
            </w:r>
          </w:p>
          <w:p>
            <w:pPr>
              <w:pStyle w:val="TableContents"/>
              <w:bidi w:val="0"/>
              <w:jc w:val="left"/>
              <w:rPr>
                <w:rFonts w:ascii="Times New Roman" w:hAnsi="Times New Roman"/>
                <w:color w:val="000000"/>
                <w:sz w:val="18"/>
              </w:rPr>
            </w:pPr>
            <w:r>
              <w:rPr>
                <w:rFonts w:ascii="Times New Roman" w:hAnsi="Times New Roman"/>
                <w:color w:val="000000"/>
                <w:sz w:val="18"/>
              </w:rPr>
              <w:t>Farmers &amp; Merchants Bancorp, Inc.</w:t>
            </w:r>
          </w:p>
          <w:p>
            <w:pPr>
              <w:pStyle w:val="TableContents"/>
              <w:bidi w:val="0"/>
              <w:jc w:val="left"/>
              <w:rPr>
                <w:rFonts w:ascii="Times New Roman" w:hAnsi="Times New Roman"/>
                <w:color w:val="000000"/>
                <w:sz w:val="18"/>
              </w:rPr>
            </w:pPr>
            <w:r>
              <w:rPr>
                <w:rFonts w:ascii="Times New Roman" w:hAnsi="Times New Roman"/>
                <w:color w:val="000000"/>
                <w:sz w:val="18"/>
              </w:rPr>
              <w:t xml:space="preserve">(419) 446-2501 </w:t>
            </w:r>
          </w:p>
          <w:p>
            <w:pPr>
              <w:pStyle w:val="TableContents"/>
              <w:bidi w:val="0"/>
              <w:spacing w:before="0" w:after="283"/>
              <w:jc w:val="left"/>
              <w:rPr>
                <w:rFonts w:ascii="Times New Roman" w:hAnsi="Times New Roman"/>
                <w:color w:val="0000FF"/>
                <w:sz w:val="18"/>
                <w:u w:val="single"/>
              </w:rPr>
            </w:pPr>
            <w:r>
              <w:rPr>
                <w:rFonts w:ascii="Times New Roman" w:hAnsi="Times New Roman"/>
                <w:color w:val="0000FF"/>
                <w:sz w:val="18"/>
                <w:u w:val="single"/>
              </w:rPr>
              <w:t>leller@fm.bank</w:t>
            </w:r>
          </w:p>
        </w:tc>
        <w:tc>
          <w:tcPr>
            <w:tcW w:w="238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Andrew M. Berger</w:t>
            </w:r>
          </w:p>
          <w:p>
            <w:pPr>
              <w:pStyle w:val="TableContents"/>
              <w:bidi w:val="0"/>
              <w:jc w:val="left"/>
              <w:rPr>
                <w:rFonts w:ascii="Times New Roman" w:hAnsi="Times New Roman"/>
                <w:color w:val="000000"/>
                <w:sz w:val="18"/>
              </w:rPr>
            </w:pPr>
            <w:r>
              <w:rPr>
                <w:rFonts w:ascii="Times New Roman" w:hAnsi="Times New Roman"/>
                <w:color w:val="000000"/>
                <w:sz w:val="18"/>
              </w:rPr>
              <w:t>Managing Director</w:t>
            </w:r>
          </w:p>
          <w:p>
            <w:pPr>
              <w:pStyle w:val="TableContents"/>
              <w:bidi w:val="0"/>
              <w:jc w:val="left"/>
              <w:rPr>
                <w:rFonts w:ascii="Times New Roman" w:hAnsi="Times New Roman"/>
                <w:color w:val="000000"/>
                <w:sz w:val="18"/>
              </w:rPr>
            </w:pPr>
            <w:r>
              <w:rPr>
                <w:rFonts w:ascii="Times New Roman" w:hAnsi="Times New Roman"/>
                <w:color w:val="000000"/>
                <w:sz w:val="18"/>
              </w:rPr>
              <w:t xml:space="preserve">SM Berger &amp; Company, Inc. </w:t>
            </w:r>
          </w:p>
          <w:p>
            <w:pPr>
              <w:pStyle w:val="TableContents"/>
              <w:bidi w:val="0"/>
              <w:jc w:val="left"/>
              <w:rPr>
                <w:rFonts w:ascii="Times New Roman" w:hAnsi="Times New Roman"/>
                <w:color w:val="000000"/>
                <w:sz w:val="18"/>
              </w:rPr>
            </w:pPr>
            <w:r>
              <w:rPr>
                <w:rFonts w:ascii="Times New Roman" w:hAnsi="Times New Roman"/>
                <w:color w:val="000000"/>
                <w:sz w:val="18"/>
              </w:rPr>
              <w:t>(216) 464-6400</w:t>
            </w:r>
          </w:p>
          <w:p>
            <w:pPr>
              <w:pStyle w:val="TableContents"/>
              <w:bidi w:val="0"/>
              <w:spacing w:before="0" w:after="283"/>
              <w:jc w:val="left"/>
              <w:rPr>
                <w:rFonts w:ascii="Times New Roman" w:hAnsi="Times New Roman"/>
                <w:sz w:val="18"/>
              </w:rPr>
            </w:pPr>
            <w:r>
              <w:rPr>
                <w:rFonts w:ascii="Times New Roman" w:hAnsi="Times New Roman"/>
                <w:color w:val="0000FF"/>
                <w:sz w:val="18"/>
                <w:u w:val="single"/>
              </w:rPr>
              <w:t>andrew@smberger.com</w:t>
            </w:r>
            <w:r>
              <w:rPr>
                <w:rFonts w:ascii="Times New Roman" w:hAnsi="Times New Roman"/>
                <w:color w:val="000000"/>
                <w:sz w:val="18"/>
              </w:rPr>
              <w:t xml:space="preserve"> </w:t>
            </w:r>
          </w:p>
        </w:tc>
      </w:tr>
    </w:tbl>
    <w:p>
      <w:pPr>
        <w:pStyle w:val="TextBody"/>
        <w:bidi w:val="0"/>
        <w:jc w:val="center"/>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Farmers &amp; Merchants Bancorp, Inc. Reports</w:t>
      </w:r>
    </w:p>
    <w:p>
      <w:pPr>
        <w:pStyle w:val="TextBody"/>
        <w:bidi w:val="0"/>
        <w:jc w:val="center"/>
        <w:rPr>
          <w:rFonts w:ascii="Times New Roman" w:hAnsi="Times New Roman"/>
          <w:b/>
          <w:color w:val="000000"/>
          <w:sz w:val="28"/>
        </w:rPr>
      </w:pPr>
      <w:r>
        <w:rPr>
          <w:rFonts w:ascii="Times New Roman" w:hAnsi="Times New Roman"/>
          <w:b/>
          <w:color w:val="000000"/>
          <w:sz w:val="28"/>
        </w:rPr>
        <w:t>2026 First-Quarter Financial Results</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ARCHBOLD, OHIO, April 22, 2026, Farmers &amp; Merchants Bancorp, Inc. (Nasdaq: FMAO) today reported financial results for the 2026 first quarter ended March 31, 2026, on a consolidated basis.</w:t>
      </w:r>
    </w:p>
    <w:p>
      <w:pPr>
        <w:pStyle w:val="TextBody"/>
        <w:bidi w:val="0"/>
        <w:jc w:val="both"/>
        <w:rPr>
          <w:rFonts w:ascii="Times New Roman" w:hAnsi="Times New Roman"/>
          <w:b/>
          <w:color w:val="000000"/>
          <w:sz w:val="22"/>
        </w:rPr>
      </w:pPr>
      <w:r>
        <w:rPr>
          <w:rFonts w:ascii="Times New Roman" w:hAnsi="Times New Roman"/>
          <w:b/>
          <w:color w:val="000000"/>
          <w:sz w:val="22"/>
        </w:rPr>
        <w:t>2026 First-Quarter Financial and Operating Highlights</w:t>
      </w:r>
    </w:p>
    <w:p>
      <w:pPr>
        <w:pStyle w:val="TextBody"/>
        <w:bidi w:val="0"/>
        <w:jc w:val="both"/>
        <w:rPr>
          <w:rFonts w:ascii="Times New Roman" w:hAnsi="Times New Roman"/>
          <w:color w:val="000000"/>
          <w:sz w:val="22"/>
        </w:rPr>
      </w:pPr>
      <w:r>
        <w:rPr>
          <w:rFonts w:ascii="Times New Roman" w:hAnsi="Times New Roman"/>
          <w:color w:val="000000"/>
          <w:sz w:val="22"/>
        </w:rPr>
        <w:t>(at March 31, 2026, and on a year-over-year basis unless noted)</w:t>
      </w:r>
    </w:p>
    <w:p>
      <w:pPr>
        <w:pStyle w:val="TextBody"/>
        <w:bidi w:val="0"/>
        <w:jc w:val="left"/>
        <w:rPr/>
      </w:pPr>
      <w:r>
        <w:rPr/>
        <w:t>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92 consecutive quarters of profitability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Net income increased 37.8% to a first quarter record of $9.6 million, or $0.70 per basic and diluted share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 xml:space="preserve">Strong profitability drives ROAA to 1.14%, compared to 0.85%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Net charge-offs to average loans of 0.01%</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Tier 1 leverage ratio was 9.02%</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Cost of interest-bearing liabilities improved to 2.54%, from 2.76%</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Net interest margin increased by 39 basis points to 3.42%</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Efficiency ratio improved to 60.08%, compared to 66.79%</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2"/>
        </w:rPr>
      </w:pPr>
      <w:r>
        <w:rPr>
          <w:rFonts w:ascii="Times New Roman" w:hAnsi="Times New Roman"/>
          <w:color w:val="000000"/>
          <w:sz w:val="22"/>
        </w:rPr>
        <w:t>First quarter dividend per share increased 4.0% to $0.92 annualized</w:t>
      </w:r>
    </w:p>
    <w:p>
      <w:pPr>
        <w:pStyle w:val="TextBody"/>
        <w:bidi w:val="0"/>
        <w:jc w:val="both"/>
        <w:rPr>
          <w:rFonts w:ascii="Times New Roman" w:hAnsi="Times New Roman"/>
          <w:color w:val="000000"/>
          <w:sz w:val="22"/>
        </w:rPr>
      </w:pPr>
      <w:r>
        <w:rPr>
          <w:rFonts w:ascii="Times New Roman" w:hAnsi="Times New Roman"/>
          <w:color w:val="000000"/>
          <w:sz w:val="22"/>
        </w:rPr>
        <w:t>Lars B. Eller, President and Chief Executive Officer, stated, “We are off to an outstanding start in 2026, delivering 37.8% year-over-year earnings growth driven by a 39-basis point expansion in net interest margin, strong levels of noninterest income, and solid balance sheet management. Our ability to generate this level of growth in profitability while maintaining excellent credit quality and disciplined expense management underscores the strength of our core franchise. We are seeing meaningful operating leverage across the business, and believe this momentum positions us well for continued earnings expansion and long-term shareholder value creation.”</w:t>
      </w:r>
    </w:p>
    <w:p>
      <w:pPr>
        <w:pStyle w:val="TextBody"/>
        <w:bidi w:val="0"/>
        <w:jc w:val="both"/>
        <w:rPr>
          <w:rFonts w:ascii="Times New Roman" w:hAnsi="Times New Roman"/>
          <w:b/>
          <w:color w:val="000000"/>
          <w:sz w:val="22"/>
        </w:rPr>
      </w:pPr>
      <w:r>
        <w:rPr>
          <w:rFonts w:ascii="Times New Roman" w:hAnsi="Times New Roman"/>
          <w:b/>
          <w:color w:val="000000"/>
          <w:sz w:val="22"/>
        </w:rPr>
        <w:t>Income Statement</w:t>
      </w:r>
    </w:p>
    <w:p>
      <w:pPr>
        <w:pStyle w:val="TextBody"/>
        <w:bidi w:val="0"/>
        <w:jc w:val="both"/>
        <w:rPr>
          <w:rFonts w:ascii="Times New Roman" w:hAnsi="Times New Roman"/>
          <w:sz w:val="20"/>
        </w:rPr>
      </w:pPr>
      <w:r>
        <w:rPr>
          <w:rFonts w:ascii="Times New Roman" w:hAnsi="Times New Roman"/>
          <w:color w:val="000000"/>
          <w:sz w:val="22"/>
        </w:rPr>
        <w:t>Net income for the quarter ended March 31, 2026, was $9.6 million, compared to $7.0 million</w:t>
      </w:r>
      <w:r>
        <w:rPr>
          <w:rFonts w:ascii="Times New Roman" w:hAnsi="Times New Roman"/>
          <w:color w:val="EE0000"/>
          <w:sz w:val="20"/>
        </w:rPr>
        <w:t xml:space="preserve"> </w:t>
      </w:r>
      <w:r>
        <w:rPr>
          <w:rFonts w:ascii="Times New Roman" w:hAnsi="Times New Roman"/>
          <w:color w:val="000000"/>
          <w:sz w:val="22"/>
        </w:rPr>
        <w:t>for the same period last year. Net income per basic and diluted share for the 2026 first quarter was $0.70, compared to $0.51 for the same period last year.</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Deposits</w:t>
      </w:r>
    </w:p>
    <w:p>
      <w:pPr>
        <w:pStyle w:val="TextBody"/>
        <w:bidi w:val="0"/>
        <w:jc w:val="both"/>
        <w:rPr>
          <w:rFonts w:ascii="Times New Roman" w:hAnsi="Times New Roman"/>
          <w:color w:val="000000"/>
          <w:sz w:val="22"/>
        </w:rPr>
      </w:pPr>
      <w:r>
        <w:rPr>
          <w:rFonts w:ascii="Times New Roman" w:hAnsi="Times New Roman"/>
          <w:color w:val="000000"/>
          <w:sz w:val="22"/>
        </w:rPr>
        <w:t>At March 31, 2026, total deposits were $2.81 billion, an increase of 4.1%, or $109.4 million from March 31, 2025. For the three months ended March 31, 2026, F&amp;M’s cost of interest-bearing liabilities was 2.54%, compared to 2.76% in the same period last year.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pPr>
      <w:r>
        <w:rPr>
          <w:color w:val="000000"/>
        </w:rPr>
        <w:t>“</w:t>
      </w:r>
      <w:r>
        <w:rPr>
          <w:rFonts w:ascii="Times New Roman" w:hAnsi="Times New Roman"/>
          <w:color w:val="000000"/>
          <w:sz w:val="22"/>
        </w:rPr>
        <w:t>Deposit growth in the quarter demonstrates the early success of our new three-year, growth-oriented strategic plan, including our renewed focus on strengthening core deposit generation and expanding our treasury management and retail offerings. In addition, asset quality within the loan portfolio remains strong, with low levels of nonperforming assets, historically low charge-offs, and continued stability across our markets. We successfully resolved a number of watch list credits during the quarter, reflecting the effectiveness of our proactive credit management team. Importantly, underlying loan demand remains strong, with approximately $60 million in approved loans within our pipeline, providing a solid foundation for continued portfolio growth. These trends reflect our local decision-making, disciplined underwriting and proactive risk management practices,” continued Mr. Eller.</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Loan Portfolio and Asset Quality</w:t>
      </w:r>
    </w:p>
    <w:p>
      <w:pPr>
        <w:pStyle w:val="TextBody"/>
        <w:bidi w:val="0"/>
        <w:jc w:val="both"/>
        <w:rPr>
          <w:rFonts w:ascii="Times New Roman" w:hAnsi="Times New Roman"/>
          <w:sz w:val="20"/>
        </w:rPr>
      </w:pPr>
      <w:r>
        <w:rPr>
          <w:rFonts w:ascii="Times New Roman" w:hAnsi="Times New Roman"/>
          <w:color w:val="000000"/>
          <w:sz w:val="22"/>
        </w:rPr>
        <w:t>Total loans, net at March 31, 2026, increased 3.9%, or by $100.7 million to $2.68 billion, compared to $2.58 billion at March 31, 2025. The year-over-year increase was driven primarily by higher consumer real estate, commercial and industrial, and agricultural loans, partially offset by lower commercial real estate, agricultural real estate, and consumer loans.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F&amp;M continues to closely monitor its loan portfolio with a particular emphasis on higher risk sectors. Nonperforming loans continue to normalize on a quarter-over-quarter basis and were $11.1 million, or 0.42% of total loans at March 31, 2026, compared to $11.3 million, or 0.42% of total loans at December 31, 2025, and $4.5 million, or 0.17% of total loans at March 31, 2025.</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 xml:space="preserve">F&amp;M maintains a well-balanced, diverse and high performing CRE portfolio. CRE loans represented 49.0% of the Company’s total loan portfolio at March 31, 2026. F&amp;M’s CRE portfolio included the following categories at March 31, 2026 </w:t>
      </w:r>
      <w:r>
        <w:rPr>
          <w:rFonts w:ascii="Times New Roman" w:hAnsi="Times New Roman"/>
          <w:b/>
          <w:color w:val="000000"/>
          <w:sz w:val="15"/>
        </w:rPr>
        <w:t>(*)</w:t>
      </w:r>
      <w:r>
        <w:rPr>
          <w:rFonts w:ascii="Times New Roman" w:hAnsi="Times New Roman"/>
          <w:color w:val="000000"/>
          <w:sz w:val="22"/>
        </w:rPr>
        <w:t>:</w:t>
      </w:r>
    </w:p>
    <w:p>
      <w:pPr>
        <w:pStyle w:val="TextBody"/>
        <w:bidi w:val="0"/>
        <w:jc w:val="both"/>
        <w:rPr/>
      </w:pPr>
      <w:r>
        <w:rPr/>
        <w:t> </w:t>
      </w:r>
    </w:p>
    <w:tbl>
      <w:tblPr>
        <w:tblW w:w="6559" w:type="dxa"/>
        <w:jc w:val="left"/>
        <w:tblInd w:w="0" w:type="dxa"/>
        <w:tblLayout w:type="fixed"/>
        <w:tblCellMar>
          <w:top w:w="28" w:type="dxa"/>
          <w:left w:w="28" w:type="dxa"/>
          <w:bottom w:w="28" w:type="dxa"/>
          <w:right w:w="28" w:type="dxa"/>
        </w:tblCellMar>
      </w:tblPr>
      <w:tblGrid>
        <w:gridCol w:w="1471"/>
        <w:gridCol w:w="146"/>
        <w:gridCol w:w="226"/>
        <w:gridCol w:w="1066"/>
        <w:gridCol w:w="146"/>
        <w:gridCol w:w="146"/>
        <w:gridCol w:w="203"/>
        <w:gridCol w:w="907"/>
        <w:gridCol w:w="286"/>
        <w:gridCol w:w="146"/>
        <w:gridCol w:w="257"/>
        <w:gridCol w:w="928"/>
        <w:gridCol w:w="631"/>
      </w:tblGrid>
      <w:tr>
        <w:trPr/>
        <w:tc>
          <w:tcPr>
            <w:tcW w:w="14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CRE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Dollar</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xml:space="preserve">Percent of </w:t>
              <w:br/>
              <w:t xml:space="preserve">CRE </w:t>
              <w:br/>
              <w:t>Portfolio</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 xml:space="preserve">Percent of </w:t>
              <w:br/>
              <w:t xml:space="preserve">Total Loan </w:t>
              <w:br/>
              <w:t>Portfolio</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Industrial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241,208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18.4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Multi-family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233,030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8.7</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Retail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224,629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17.1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Hotels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163,217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6.1</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Office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133,398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10.1</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Gas Stations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75,874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2.8</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Food 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51,638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1.9</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34,204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Auto Dealers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26,819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Senior Living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21,382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0.8</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110,150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2"/>
              </w:rPr>
            </w:pPr>
            <w:r>
              <w:rPr>
                <w:rFonts w:ascii="Times New Roman" w:hAnsi="Times New Roman"/>
                <w:color w:val="000000"/>
                <w:sz w:val="22"/>
              </w:rPr>
              <w:t>%</w:t>
            </w:r>
          </w:p>
        </w:tc>
      </w:tr>
      <w:tr>
        <w:trPr/>
        <w:tc>
          <w:tcPr>
            <w:tcW w:w="14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2"/>
              </w:rPr>
            </w:pPr>
            <w:r>
              <w:rPr>
                <w:rFonts w:ascii="Times New Roman" w:hAnsi="Times New Roman"/>
                <w:color w:val="000000"/>
                <w:sz w:val="22"/>
              </w:rPr>
              <w:t>Total CRE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1,315,549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100.0</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49.0</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both"/>
        <w:rPr>
          <w:rFonts w:ascii="Times New Roman" w:hAnsi="Times New Roman"/>
          <w:color w:val="000000"/>
          <w:sz w:val="22"/>
        </w:rPr>
      </w:pPr>
      <w:r>
        <w:rPr>
          <w:rFonts w:ascii="Times New Roman" w:hAnsi="Times New Roman"/>
          <w:color w:val="000000"/>
          <w:sz w:val="22"/>
        </w:rPr>
        <w:t>* Numbers have been rounded; totals may not foot due to rounding; and dollar amounts in thousands.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At March 31, 2026, the Company’s total allowance for credit losses to total loans was 1.08%,</w:t>
      </w:r>
      <w:r>
        <w:rPr>
          <w:rFonts w:ascii="Times New Roman" w:hAnsi="Times New Roman"/>
          <w:color w:val="EE0000"/>
          <w:sz w:val="20"/>
        </w:rPr>
        <w:t xml:space="preserve"> </w:t>
      </w:r>
      <w:r>
        <w:rPr>
          <w:rFonts w:ascii="Times New Roman" w:hAnsi="Times New Roman"/>
          <w:color w:val="000000"/>
          <w:sz w:val="22"/>
        </w:rPr>
        <w:t>compared to 1.07%</w:t>
      </w:r>
      <w:r>
        <w:rPr>
          <w:rFonts w:ascii="Times New Roman" w:hAnsi="Times New Roman"/>
          <w:color w:val="EE0000"/>
          <w:sz w:val="20"/>
        </w:rPr>
        <w:t xml:space="preserve"> </w:t>
      </w:r>
      <w:r>
        <w:rPr>
          <w:rFonts w:ascii="Times New Roman" w:hAnsi="Times New Roman"/>
          <w:color w:val="000000"/>
          <w:sz w:val="22"/>
        </w:rPr>
        <w:t>at March 31, 2025.</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Mr. Eller concluded, “We have built a strong and scalable platform that positions F&amp;M to deliver consistent performance while continuing to provide local banking solutions to the individuals and businesses we serve across Ohio, Indiana, and Michigan communities. This is an exciting time as we execute on our new three-year strategic plan, which is designed to build on our momentum and take F&amp;M to the next level of growth, profitability, and long-term value creation.”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2"/>
        </w:rPr>
      </w:pPr>
      <w:r>
        <w:rPr>
          <w:rFonts w:ascii="Times New Roman" w:hAnsi="Times New Roman"/>
          <w:b/>
          <w:color w:val="000000"/>
          <w:sz w:val="22"/>
        </w:rPr>
        <w:t>Stockholders’ Equity and Dividends</w:t>
      </w:r>
    </w:p>
    <w:p>
      <w:pPr>
        <w:pStyle w:val="TextBody"/>
        <w:bidi w:val="0"/>
        <w:jc w:val="both"/>
        <w:rPr>
          <w:rFonts w:ascii="Times New Roman" w:hAnsi="Times New Roman"/>
          <w:sz w:val="20"/>
        </w:rPr>
      </w:pPr>
      <w:r>
        <w:rPr>
          <w:rFonts w:ascii="Times New Roman" w:hAnsi="Times New Roman"/>
          <w:color w:val="000000"/>
          <w:sz w:val="22"/>
        </w:rPr>
        <w:t>Total stockholders’ equity</w:t>
      </w:r>
      <w:r>
        <w:rPr>
          <w:rFonts w:ascii="Times New Roman" w:hAnsi="Times New Roman"/>
          <w:color w:val="EE0000"/>
          <w:sz w:val="20"/>
        </w:rPr>
        <w:t xml:space="preserve"> </w:t>
      </w:r>
      <w:r>
        <w:rPr>
          <w:rFonts w:ascii="Times New Roman" w:hAnsi="Times New Roman"/>
          <w:color w:val="000000"/>
          <w:sz w:val="22"/>
        </w:rPr>
        <w:t>increased 9.1% to $375.9 million, or $27.30 per share at March 31, 2026, from $344.6 million, or $25.12 per share at March 31, 2025. The Company had a Tier 1 leverage ratio of 9.02% at March 31, 2026, compared to 8.44% at March 31, 2025.</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22"/>
        </w:rPr>
        <w:t>Tangible stockholders’ equity increased to $285.9 million at March 31, 2026, compared to $252.9 million at March 31, 2025. On a per share basis, tangible stockholders’ equity at March 31, 2026, was $20.76</w:t>
      </w:r>
      <w:r>
        <w:rPr>
          <w:rFonts w:ascii="Times New Roman" w:hAnsi="Times New Roman"/>
          <w:color w:val="EE0000"/>
          <w:sz w:val="20"/>
        </w:rPr>
        <w:t xml:space="preserve"> </w:t>
      </w:r>
      <w:r>
        <w:rPr>
          <w:rFonts w:ascii="Times New Roman" w:hAnsi="Times New Roman"/>
          <w:color w:val="000000"/>
          <w:sz w:val="22"/>
        </w:rPr>
        <w:t>per share, compared to $18.44 per share at March 31, 2025. Tangible stockholders’ equity and tangible book value per share are non-GAAP financial measures; see “Use of Non-GAAP Financial Measures.”</w:t>
      </w:r>
    </w:p>
    <w:p>
      <w:pPr>
        <w:pStyle w:val="TextBody"/>
        <w:bidi w:val="0"/>
        <w:jc w:val="both"/>
        <w:rPr>
          <w:rFonts w:ascii="Times New Roman" w:hAnsi="Times New Roman"/>
          <w:sz w:val="20"/>
        </w:rPr>
      </w:pPr>
      <w:r>
        <w:rPr>
          <w:rFonts w:ascii="Times New Roman" w:hAnsi="Times New Roman"/>
          <w:color w:val="000000"/>
          <w:sz w:val="22"/>
        </w:rPr>
        <w:t>F&amp;M is committed to returning capital to shareholders and has increased the annual cash dividend for 31 consecutive years. For the quarter ended March 31, 2026, the Company declared cash dividends of $0.23 per share, representing a 4.0% increase over the same period last year.</w:t>
      </w:r>
      <w:r>
        <w:rPr>
          <w:rFonts w:ascii="Times New Roman" w:hAnsi="Times New Roman"/>
          <w:color w:val="000000"/>
          <w:sz w:val="20"/>
        </w:rPr>
        <w:t xml:space="preserve"> </w:t>
      </w:r>
    </w:p>
    <w:p>
      <w:pPr>
        <w:pStyle w:val="TextBody"/>
        <w:bidi w:val="0"/>
        <w:jc w:val="both"/>
        <w:rPr>
          <w:rFonts w:ascii="Times New Roman" w:hAnsi="Times New Roman"/>
          <w:b/>
          <w:color w:val="000000"/>
          <w:sz w:val="22"/>
        </w:rPr>
      </w:pPr>
      <w:r>
        <w:rPr>
          <w:rFonts w:ascii="Times New Roman" w:hAnsi="Times New Roman"/>
          <w:b/>
          <w:color w:val="000000"/>
          <w:sz w:val="22"/>
        </w:rPr>
        <w:t>About Farmers &amp; Merchants Bancorp, Inc.:</w:t>
      </w:r>
    </w:p>
    <w:p>
      <w:pPr>
        <w:pStyle w:val="TextBody"/>
        <w:bidi w:val="0"/>
        <w:jc w:val="both"/>
        <w:rPr>
          <w:rFonts w:ascii="Times New Roman" w:hAnsi="Times New Roman"/>
          <w:color w:val="000000"/>
          <w:sz w:val="22"/>
        </w:rPr>
      </w:pPr>
      <w:r>
        <w:rPr>
          <w:rFonts w:ascii="Times New Roman" w:hAnsi="Times New Roman"/>
          <w:color w:val="000000"/>
          <w:sz w:val="22"/>
        </w:rPr>
        <w:t>Farmers &amp; Merchants Bancorp, Inc. (Nasdaq: FMAO) is a financial holding company headquartered in Archbold, Ohio, and the parent company of The Farmers &amp; Merchants State Bank.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About Farmers &amp; Merchants State Bank:</w:t>
      </w:r>
      <w:r>
        <w:rPr>
          <w:rFonts w:ascii="Times New Roman" w:hAnsi="Times New Roman"/>
          <w:color w:val="000000"/>
          <w:sz w:val="20"/>
        </w:rPr>
        <w:t xml:space="preserve"> </w:t>
      </w:r>
    </w:p>
    <w:p>
      <w:pPr>
        <w:pStyle w:val="TextBody"/>
        <w:bidi w:val="0"/>
        <w:jc w:val="both"/>
        <w:rPr>
          <w:rFonts w:ascii="Times New Roman" w:hAnsi="Times New Roman"/>
          <w:color w:val="000000"/>
          <w:sz w:val="22"/>
        </w:rPr>
      </w:pPr>
      <w:r>
        <w:rPr>
          <w:rFonts w:ascii="Times New Roman" w:hAnsi="Times New Roman"/>
          <w:color w:val="000000"/>
          <w:sz w:val="22"/>
        </w:rPr>
        <w:t>F&amp;M Bank is a local independent community bank that has been serving its communities since 1897. F&amp;M Bank provides commercial banking, retail banking and other financial services. Our locations are in Butler, Champaign, Fulton, Defiance, Hancock, Henry, Lucas, Shelby, Williams, and Wood counties in Ohio. In Northeast Indiana, we have offices located in Adams, Allen, DeKalb, Jay, Steuben and Wells counties. The Michigan footprint includes Oakland County, and we have Loan Production Offices in Muncie, Indiana; and Perrysburg and Bryan, Ohio.</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Use of Non-GAAP Financial Measures</w:t>
      </w:r>
    </w:p>
    <w:p>
      <w:pPr>
        <w:pStyle w:val="TextBody"/>
        <w:bidi w:val="0"/>
        <w:jc w:val="both"/>
        <w:rPr>
          <w:rFonts w:ascii="Times New Roman" w:hAnsi="Times New Roman"/>
          <w:sz w:val="20"/>
        </w:rPr>
      </w:pPr>
      <w:r>
        <w:rPr>
          <w:rFonts w:ascii="Times New Roman" w:hAnsi="Times New Roman"/>
          <w:color w:val="000000"/>
          <w:sz w:val="22"/>
        </w:rPr>
        <w:t>This release contains certain non-GAAP financial measures, including tangible stockholders’ equity and tangible book value per share. Management believes these measures facilitate period-to-period comparisons of the Company’s performance and provide useful supplemental information to investors; however, they should not be considered a substitute for, or superior to, financial measures calculated in accordance with GAAP.</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Basis of Presentation</w:t>
      </w:r>
    </w:p>
    <w:p>
      <w:pPr>
        <w:pStyle w:val="TextBody"/>
        <w:bidi w:val="0"/>
        <w:jc w:val="both"/>
        <w:rPr>
          <w:rFonts w:ascii="Times New Roman" w:hAnsi="Times New Roman"/>
          <w:color w:val="000000"/>
          <w:sz w:val="22"/>
        </w:rPr>
      </w:pPr>
      <w:r>
        <w:rPr>
          <w:rFonts w:ascii="Times New Roman" w:hAnsi="Times New Roman"/>
          <w:color w:val="000000"/>
          <w:sz w:val="22"/>
        </w:rPr>
        <w:t>The financial information in this release is preliminary, based on management’s current expectations, and is subject to change pending completion of customary quarterly closing processes and review. Unless otherwise indicated, all figures are presented on a consolidated basis and comparisons are to the same period of the prior year. Averages may be annualized. Totals may not foot due to rounding.</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b/>
          <w:color w:val="000000"/>
          <w:sz w:val="22"/>
        </w:rPr>
      </w:pPr>
      <w:r>
        <w:rPr>
          <w:rFonts w:ascii="Times New Roman" w:hAnsi="Times New Roman"/>
          <w:b/>
          <w:color w:val="000000"/>
          <w:sz w:val="22"/>
        </w:rPr>
        <w:t>Safe Harbor Statement</w:t>
      </w:r>
    </w:p>
    <w:p>
      <w:pPr>
        <w:pStyle w:val="TextBody"/>
        <w:bidi w:val="0"/>
        <w:jc w:val="both"/>
        <w:rPr>
          <w:rFonts w:ascii="Times New Roman" w:hAnsi="Times New Roman"/>
          <w:sz w:val="20"/>
        </w:rPr>
      </w:pPr>
      <w:r>
        <w:rPr>
          <w:rFonts w:ascii="Times New Roman" w:hAnsi="Times New Roman"/>
          <w:color w:val="000000"/>
          <w:sz w:val="22"/>
        </w:rPr>
        <w:t xml:space="preserve">Farmers &amp; Merchants Bancorp, Inc. (“F&amp;M”) wishes to take advantage of the Safe Harbor provisions included in the Private Securities Litigation Reform Act of 1995. Statements by F&amp;M, including management’s expectations and comments, may not be based on historical facts and are “forward-looking statements” within the meaning of Section 27A of the Securities Act of 1933, as amended, and Section 21E of the Securities Exchange Act of 1934, as amended. Forward-looking statements are typically identified by words such as “believe,” “expect,” “anticipate,” “intend,” “plan,” “seek,” “estimate,” “project,” “target,” “goal,” “will,” “would,” and similar expressions. Actual results could vary materially depending on risks and uncertainties inherent in general and local banking conditions, competitive factors specific to markets in which F&amp;M and its subsidiaries operate, future interest rate levels, legislative and regulatory decisions, capital market conditions, deposit flows and pricing, liquidity and access to wholesale funding, interest rate and asset-liability management, credit quality (including commercial real estate exposures), collateral values, inflation and macroeconomic conditions, changes in laws and regulations (including capital and liquidity requirements and the implementation of “Basel III Endgame”), FDIC assessments, stress testing and supervisory expectations, cybersecurity and third-party/vendor risks, competition and technological change, geopolitical events, severe weather and natural disasters, agricultural sector conditions, the accuracy of CECL estimates and other accounting judgments, capital and dividend restrictions, and other risks described in F&amp;M’s filings with the SEC. F&amp;M undertakes no obligation to update any forward-looking statements, whether as a result of new information, future events or otherwise, except as required by law. For more details, please refer to F&amp;M’s SEC filing, including its most recent Annual Report on Form 10-K and quarterly reports on Form 10-Q. Such filings can be viewed at the SEC’s website, www.sec.gov or through F&amp;M’s website </w:t>
      </w:r>
      <w:r>
        <w:rPr>
          <w:rFonts w:ascii="Times New Roman" w:hAnsi="Times New Roman"/>
          <w:color w:val="0000FF"/>
          <w:sz w:val="22"/>
        </w:rPr>
        <w:t>www.fm.bank</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CONSOLIDATED STATEMENTS OF INCOME &amp; COMPREHENSIVE INCOME </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(in thousands of dollars, except per share data) </w:t>
      </w:r>
    </w:p>
    <w:p>
      <w:pPr>
        <w:pStyle w:val="TextBody"/>
        <w:bidi w:val="0"/>
        <w:jc w:val="center"/>
        <w:rPr/>
      </w:pPr>
      <w:r>
        <w:rPr/>
        <w:t> </w:t>
      </w:r>
    </w:p>
    <w:tbl>
      <w:tblPr>
        <w:tblW w:w="9119" w:type="dxa"/>
        <w:jc w:val="left"/>
        <w:tblInd w:w="0" w:type="dxa"/>
        <w:tblLayout w:type="fixed"/>
        <w:tblCellMar>
          <w:top w:w="28" w:type="dxa"/>
          <w:left w:w="28" w:type="dxa"/>
          <w:bottom w:w="28" w:type="dxa"/>
          <w:right w:w="28" w:type="dxa"/>
        </w:tblCellMar>
      </w:tblPr>
      <w:tblGrid>
        <w:gridCol w:w="2616"/>
        <w:gridCol w:w="146"/>
        <w:gridCol w:w="211"/>
        <w:gridCol w:w="676"/>
        <w:gridCol w:w="166"/>
        <w:gridCol w:w="146"/>
        <w:gridCol w:w="217"/>
        <w:gridCol w:w="699"/>
        <w:gridCol w:w="166"/>
        <w:gridCol w:w="146"/>
        <w:gridCol w:w="228"/>
        <w:gridCol w:w="733"/>
        <w:gridCol w:w="166"/>
        <w:gridCol w:w="146"/>
        <w:gridCol w:w="211"/>
        <w:gridCol w:w="676"/>
        <w:gridCol w:w="146"/>
        <w:gridCol w:w="146"/>
        <w:gridCol w:w="211"/>
        <w:gridCol w:w="676"/>
        <w:gridCol w:w="591"/>
      </w:tblGrid>
      <w:tr>
        <w:trPr/>
        <w:tc>
          <w:tcPr>
            <w:tcW w:w="2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6"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Loans, including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U.S. Treasury and </w:t>
              <w:br/>
              <w:t xml:space="preserve">   government </w:t>
              <w:br/>
              <w:t>   agencies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Municipalities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 funds sold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43,492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Federal funds purchased </w:t>
              <w:br/>
              <w:t xml:space="preserve">   and securities sold </w:t>
              <w:br/>
              <w:t xml:space="preserve">   under agreement to </w:t>
              <w:br/>
              <w:t>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Borrowed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Total interest </w:t>
              <w:br/>
              <w: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Interest Income - </w:t>
              <w:br/>
              <w:t xml:space="preserve">   Before Provision for </w:t>
              <w:br/>
              <w:t>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Provision for Credit</w:t>
              <w:br/>
              <w:t>   Losses -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Provision for (Recovery of) </w:t>
              <w:br/>
              <w:t xml:space="preserve">   Credit Losses - Off </w:t>
              <w:br/>
              <w:t>   Balance Sheet Credit</w:t>
              <w:br/>
              <w:t>   Exposures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Net Interest Income </w:t>
              <w:br/>
              <w:t xml:space="preserve">   After Provision for </w:t>
              <w:br/>
              <w:t>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23,358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Customer service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service charges</w:t>
              <w:br/>
              <w:t>   and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Interchange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servicing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gain on sale of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cash surrender</w:t>
              <w:br/>
              <w:t xml:space="preserve">   value of bank owned </w:t>
              <w:br/>
              <w:t>   life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gain (loss) on sale </w:t>
              <w:br/>
              <w:t>   of other assets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loss on sale of </w:t>
              <w:br/>
              <w:t xml:space="preserve">   available-for-sale </w:t>
              <w:br/>
              <w: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Total noninterest </w:t>
              <w:br/>
              <w: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528" w:type="dxa"/>
            <w:gridSpan w:val="2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(continued)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 xml:space="preserve">FARMERS &amp; MERCHANTS BANCORP, INC. AND SUBSIDIARIES </w:t>
      </w:r>
    </w:p>
    <w:p>
      <w:pPr>
        <w:pStyle w:val="TextBody"/>
        <w:bidi w:val="0"/>
        <w:jc w:val="center"/>
        <w:rPr>
          <w:rFonts w:ascii="Times New Roman" w:hAnsi="Times New Roman"/>
          <w:color w:val="000000"/>
          <w:sz w:val="20"/>
        </w:rPr>
      </w:pPr>
      <w:r>
        <w:rPr>
          <w:rFonts w:ascii="Times New Roman" w:hAnsi="Times New Roman"/>
          <w:color w:val="000000"/>
          <w:sz w:val="20"/>
        </w:rPr>
        <w:t>CONSOLIDATED STATEMENTS OF INCOME &amp; COMPREHENSIVE INCOME (continued)</w:t>
      </w:r>
    </w:p>
    <w:p>
      <w:pPr>
        <w:pStyle w:val="TextBody"/>
        <w:bidi w:val="0"/>
        <w:jc w:val="center"/>
        <w:rPr>
          <w:rFonts w:ascii="Times New Roman" w:hAnsi="Times New Roman"/>
          <w:color w:val="000000"/>
          <w:sz w:val="20"/>
        </w:rPr>
      </w:pPr>
      <w:r>
        <w:rPr>
          <w:rFonts w:ascii="Times New Roman" w:hAnsi="Times New Roman"/>
          <w:color w:val="000000"/>
          <w:sz w:val="20"/>
        </w:rPr>
        <w:t xml:space="preserve">(Unaudited) (in thousands of dollars, except per share data) </w:t>
      </w:r>
    </w:p>
    <w:p>
      <w:pPr>
        <w:pStyle w:val="TextBody"/>
        <w:bidi w:val="0"/>
        <w:jc w:val="center"/>
        <w:rPr/>
      </w:pPr>
      <w:r>
        <w:rPr/>
        <w:t> </w:t>
      </w:r>
    </w:p>
    <w:tbl>
      <w:tblPr>
        <w:tblW w:w="9216" w:type="dxa"/>
        <w:jc w:val="left"/>
        <w:tblInd w:w="0" w:type="dxa"/>
        <w:tblLayout w:type="fixed"/>
        <w:tblCellMar>
          <w:top w:w="28" w:type="dxa"/>
          <w:left w:w="28" w:type="dxa"/>
          <w:bottom w:w="28" w:type="dxa"/>
          <w:right w:w="28" w:type="dxa"/>
        </w:tblCellMar>
      </w:tblPr>
      <w:tblGrid>
        <w:gridCol w:w="2331"/>
        <w:gridCol w:w="146"/>
        <w:gridCol w:w="211"/>
        <w:gridCol w:w="781"/>
        <w:gridCol w:w="166"/>
        <w:gridCol w:w="146"/>
        <w:gridCol w:w="211"/>
        <w:gridCol w:w="781"/>
        <w:gridCol w:w="146"/>
        <w:gridCol w:w="146"/>
        <w:gridCol w:w="211"/>
        <w:gridCol w:w="781"/>
        <w:gridCol w:w="146"/>
        <w:gridCol w:w="146"/>
        <w:gridCol w:w="211"/>
        <w:gridCol w:w="781"/>
        <w:gridCol w:w="146"/>
        <w:gridCol w:w="146"/>
        <w:gridCol w:w="211"/>
        <w:gridCol w:w="781"/>
        <w:gridCol w:w="591"/>
      </w:tblGrid>
      <w:tr>
        <w:trPr/>
        <w:tc>
          <w:tcPr>
            <w:tcW w:w="2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8"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wages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occupancy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Furniture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Data processing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Franchise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ATM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FDIC assessment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Servicing rights</w:t>
              <w:br/>
              <w:t>   amortization -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Consulting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w:t>
              <w:br/>
              <w:t>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Other general and </w:t>
              <w:br/>
              <w:t>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Total noninterest </w:t>
              <w:br/>
              <w: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18,760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w:t>
              <w:br/>
              <w:t>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Other Comprehensive </w:t>
              <w:br/>
              <w:t xml:space="preserve">   Income (Loss) (Net of </w:t>
              <w:br/>
              <w:t>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unrealized gain</w:t>
              <w:br/>
              <w:t>   (loss) on available-</w:t>
              <w:br/>
              <w:t>   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77" w:type="dxa"/>
            <w:gridSpan w:val="2"/>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Reclassification </w:t>
              <w:br/>
              <w:t xml:space="preserve">   adjustment for realized </w:t>
              <w:br/>
              <w:t>   loss on sale of available-</w:t>
              <w:br/>
              <w:t>   for-sale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Net unrealized gain </w:t>
              <w:br/>
              <w:t>   (loss) on available-</w:t>
              <w:br/>
              <w:t>   for-sale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comprehensive</w:t>
              <w:br/>
              <w: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Basic Earnings </w:t>
              <w:br/>
              <w:t>   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Diluted Earnings</w:t>
              <w:br/>
              <w:t>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Dividends Declared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0.23000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0.22750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0.22125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0.22125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 (in thousands of dollars,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90"/>
        <w:gridCol w:w="146"/>
        <w:gridCol w:w="196"/>
        <w:gridCol w:w="826"/>
        <w:gridCol w:w="166"/>
        <w:gridCol w:w="146"/>
        <w:gridCol w:w="196"/>
        <w:gridCol w:w="826"/>
        <w:gridCol w:w="166"/>
        <w:gridCol w:w="146"/>
        <w:gridCol w:w="196"/>
        <w:gridCol w:w="826"/>
        <w:gridCol w:w="166"/>
        <w:gridCol w:w="146"/>
        <w:gridCol w:w="196"/>
        <w:gridCol w:w="826"/>
        <w:gridCol w:w="166"/>
        <w:gridCol w:w="146"/>
        <w:gridCol w:w="196"/>
        <w:gridCol w:w="826"/>
        <w:gridCol w:w="1011"/>
      </w:tblGrid>
      <w:tr>
        <w:trPr/>
        <w:tc>
          <w:tcPr>
            <w:tcW w:w="26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w:t>
              <w:br/>
              <w:t> 31, 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w:t>
              <w:br/>
              <w:t> 31, 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w:t>
              <w:br/>
              <w:t> 30, 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June</w:t>
              <w:br/>
              <w:t> 30, 2025</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2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w:t>
              <w:br/>
              <w:t> 31, 2025</w:t>
            </w:r>
          </w:p>
        </w:tc>
        <w:tc>
          <w:tcPr>
            <w:tcW w:w="10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(Unaudited)</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due from banks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172,847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172,612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Federal funds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173,470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97,718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173,037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Interest-bearing 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Securities - available-for-sale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422,773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438,568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securities,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14,062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Loans, net of allowance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2,685,990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2,632,668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2,599,917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2,555,552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Premises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32,885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33,163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86,358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Loan servicing rights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Bank owned life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47,410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35,116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42,453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42,802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3,345,763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3,388,786</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Noninterest-bearing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520,348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502,318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Interest-bearing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NOW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910,723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876,151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920,099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899,602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874,881</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Savings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753,289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729,472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713,391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696,635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Time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625,302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617,679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621,455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626,450</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2,730,735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2,751,911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2,710,329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2,700,284</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Federal funds purchased and securities </w:t>
              <w:br/>
              <w:t>   sold under agreements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27,258</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Federal Home Loan Bank (FHLB) </w:t>
              <w:br/>
              <w:t>   advances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227,377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187,913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245,474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Subordinated notes, net of unamortized</w:t>
              <w:br/>
              <w: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34,846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Dividend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29,632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33,326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3,109,621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3,063,520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3,028,972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2,994,971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3,044,185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Commitments and Contingencies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Common stock - No par value authorized 40,000,000 </w:t>
              <w:br/>
              <w:t xml:space="preserve">   shares 3/31/26 and 12/31/25; issued 14,564,425 </w:t>
              <w:br/>
              <w:t xml:space="preserve">   shares 3/31/26 and 12/31/25; outstanding </w:t>
              <w:br/>
              <w:t>   13,768,667 shares 3/31/26 and 13,748,074</w:t>
              <w:br/>
              <w:t>   shares 12/31/25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135,531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135,407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 - 795,758 shares 12/31/25</w:t>
              <w:br/>
              <w:t>   and 816,351 shares 12/31/25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(10,768</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257,855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251,181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240,079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Accumulated other comprehensive </w:t>
              <w:br/>
              <w: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(20,117</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2690"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375,948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350,792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344,601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3,485,569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3,434,382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3,390,752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3,345,763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3,388,786</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SELECT FINANCIAL DATA</w:t>
      </w:r>
    </w:p>
    <w:p>
      <w:pPr>
        <w:pStyle w:val="TextBody"/>
        <w:bidi w:val="0"/>
        <w:jc w:val="center"/>
        <w:rPr/>
      </w:pPr>
      <w:r>
        <w:rPr/>
        <w:t> </w:t>
      </w:r>
    </w:p>
    <w:tbl>
      <w:tblPr>
        <w:tblW w:w="10491" w:type="dxa"/>
        <w:jc w:val="left"/>
        <w:tblInd w:w="0" w:type="dxa"/>
        <w:tblLayout w:type="fixed"/>
        <w:tblCellMar>
          <w:top w:w="28" w:type="dxa"/>
          <w:left w:w="28" w:type="dxa"/>
          <w:bottom w:w="28" w:type="dxa"/>
          <w:right w:w="28" w:type="dxa"/>
        </w:tblCellMar>
      </w:tblPr>
      <w:tblGrid>
        <w:gridCol w:w="1396"/>
        <w:gridCol w:w="146"/>
        <w:gridCol w:w="211"/>
        <w:gridCol w:w="146"/>
        <w:gridCol w:w="1036"/>
        <w:gridCol w:w="271"/>
        <w:gridCol w:w="146"/>
        <w:gridCol w:w="211"/>
        <w:gridCol w:w="146"/>
        <w:gridCol w:w="1036"/>
        <w:gridCol w:w="271"/>
        <w:gridCol w:w="146"/>
        <w:gridCol w:w="211"/>
        <w:gridCol w:w="146"/>
        <w:gridCol w:w="1036"/>
        <w:gridCol w:w="271"/>
        <w:gridCol w:w="146"/>
        <w:gridCol w:w="211"/>
        <w:gridCol w:w="146"/>
        <w:gridCol w:w="1036"/>
        <w:gridCol w:w="271"/>
        <w:gridCol w:w="146"/>
        <w:gridCol w:w="211"/>
        <w:gridCol w:w="146"/>
        <w:gridCol w:w="1036"/>
        <w:gridCol w:w="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3" w:type="dxa"/>
            <w:gridSpan w:val="2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Selected financial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31, 2026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31, 2025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Return on average </w:t>
              <w:br/>
              <w: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Return on average </w:t>
              <w:br/>
              <w:t>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Yield on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Cost of interest-bearing </w:t>
              <w:br/>
              <w: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Efficiency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64.93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payout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Tangible book value </w:t>
              <w:br/>
              <w:t>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Tier 1 leverage ratio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3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Average shares </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13,754,684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13,749,420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13,733,858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13,720,339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13,706,003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429"/>
        <w:gridCol w:w="158"/>
        <w:gridCol w:w="244"/>
        <w:gridCol w:w="158"/>
        <w:gridCol w:w="1008"/>
        <w:gridCol w:w="179"/>
        <w:gridCol w:w="158"/>
        <w:gridCol w:w="244"/>
        <w:gridCol w:w="158"/>
        <w:gridCol w:w="1008"/>
        <w:gridCol w:w="179"/>
        <w:gridCol w:w="158"/>
        <w:gridCol w:w="244"/>
        <w:gridCol w:w="158"/>
        <w:gridCol w:w="1008"/>
        <w:gridCol w:w="179"/>
        <w:gridCol w:w="158"/>
        <w:gridCol w:w="244"/>
        <w:gridCol w:w="158"/>
        <w:gridCol w:w="1008"/>
        <w:gridCol w:w="179"/>
        <w:gridCol w:w="158"/>
        <w:gridCol w:w="244"/>
        <w:gridCol w:w="158"/>
        <w:gridCol w:w="1008"/>
        <w:gridCol w:w="220"/>
      </w:tblGrid>
      <w:tr>
        <w:trPr/>
        <w:tc>
          <w:tcPr>
            <w:tcW w:w="142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14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Loans</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2026</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 30, 2025</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 30, 2025</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 30, 2025</w:t>
            </w:r>
          </w:p>
        </w:tc>
        <w:tc>
          <w:tcPr>
            <w:tcW w:w="179"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1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 31, 2025</w:t>
            </w:r>
          </w:p>
        </w:tc>
        <w:tc>
          <w:tcPr>
            <w:tcW w:w="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 amounts in thousands)</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real estate</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1,315,549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1,355,571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1,355,166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1,345,953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1,325,698</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 real estate</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217,034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222,145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221,004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215,898</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 real estate</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534,987</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526,439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522,416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523,781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523,383</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and industrial</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309,046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314,405</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296,084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293,826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278,254</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Agricultural</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228,730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218,050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179,361</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157,870</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153,607</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Consumer</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55,576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60,469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59,348</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60,115</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22,564</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24,086</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24,653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24,985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Less: Net deferred loan fees </w:t>
              <w:br/>
              <w:t xml:space="preserve">      costs and other </w:t>
            </w:r>
            <w:r>
              <w:rPr>
                <w:rFonts w:ascii="Times New Roman" w:hAnsi="Times New Roman"/>
                <w:color w:val="000000"/>
                <w:sz w:val="13"/>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loans, net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2,680,862</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2,711,959</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2,658,275</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2,624,947</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2,580,192</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985" w:type="dxa"/>
            <w:gridSpan w:val="25"/>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3"/>
              </w:rPr>
              <w:t>(1)</w:t>
            </w:r>
            <w:r>
              <w:rPr>
                <w:rFonts w:ascii="Times New Roman" w:hAnsi="Times New Roman"/>
                <w:color w:val="000000"/>
                <w:sz w:val="20"/>
              </w:rPr>
              <w:t> Excludes carrying value adjustments of $1.1 million as of March 31, 2026, $1.7 million as of December 31, 2025, $1.9 million as of September 30, 2025, $1.9 million as of June 30, 2025 and $1.7 million as of March 31, 2025 related to interest rate swaps associated with fixed rate loans</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SELECT FINANCIAL DATA (continued)</w:t>
      </w:r>
    </w:p>
    <w:p>
      <w:pPr>
        <w:pStyle w:val="TextBody"/>
        <w:bidi w:val="0"/>
        <w:jc w:val="left"/>
        <w:rPr/>
      </w:pPr>
      <w:r>
        <w:rPr/>
        <w:t> </w:t>
      </w:r>
    </w:p>
    <w:tbl>
      <w:tblPr>
        <w:tblW w:w="10176" w:type="dxa"/>
        <w:jc w:val="left"/>
        <w:tblInd w:w="0" w:type="dxa"/>
        <w:tblLayout w:type="fixed"/>
        <w:tblCellMar>
          <w:top w:w="28" w:type="dxa"/>
          <w:left w:w="28" w:type="dxa"/>
          <w:bottom w:w="28" w:type="dxa"/>
          <w:right w:w="28" w:type="dxa"/>
        </w:tblCellMar>
      </w:tblPr>
      <w:tblGrid>
        <w:gridCol w:w="2881"/>
        <w:gridCol w:w="146"/>
        <w:gridCol w:w="211"/>
        <w:gridCol w:w="146"/>
        <w:gridCol w:w="676"/>
        <w:gridCol w:w="271"/>
        <w:gridCol w:w="146"/>
        <w:gridCol w:w="211"/>
        <w:gridCol w:w="146"/>
        <w:gridCol w:w="676"/>
        <w:gridCol w:w="271"/>
        <w:gridCol w:w="146"/>
        <w:gridCol w:w="211"/>
        <w:gridCol w:w="146"/>
        <w:gridCol w:w="676"/>
        <w:gridCol w:w="271"/>
        <w:gridCol w:w="146"/>
        <w:gridCol w:w="211"/>
        <w:gridCol w:w="146"/>
        <w:gridCol w:w="676"/>
        <w:gridCol w:w="271"/>
        <w:gridCol w:w="146"/>
        <w:gridCol w:w="211"/>
        <w:gridCol w:w="146"/>
        <w:gridCol w:w="676"/>
        <w:gridCol w:w="316"/>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8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 quality data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31, 2026</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December</w:t>
              <w:br/>
              <w:t>31, 2025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September</w:t>
              <w:br/>
              <w:t>30, 2025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w:t>
              <w:br/>
              <w:t>30, 2025</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3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w:t>
              <w:br/>
              <w:t>31, 2025</w:t>
            </w:r>
          </w:p>
        </w:tc>
        <w:tc>
          <w:tcPr>
            <w:tcW w:w="3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(Dollar amounts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Nonaccrual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90 day past due and accruing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real estate owned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Allowance for credit losses -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27,688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26,352</w:t>
            </w:r>
          </w:p>
        </w:tc>
        <w:tc>
          <w:tcPr>
            <w:tcW w:w="3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Allowance for credit losses - off</w:t>
              <w:br/>
              <w:t>   balance sheet credit exposures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allowance for </w:t>
              <w:br/>
              <w:t>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28,871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28,285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27,633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allowance for credit losses/</w:t>
              <w:br/>
              <w:t>   total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charge-offs: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Quarter-to-date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Year-to-date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charge-offs to average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Quarter-to-date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Year-to-date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Nonperforming loans/total loans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Allowance for credit losses/ </w:t>
              <w:br/>
              <w:t>   nonperforming 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251.40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NPA coverage ratio</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60" w:type="dxa"/>
            <w:gridSpan w:val="25"/>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 xml:space="preserve">AVERAGE BALANCE SHEETS AND RELATED YIELDS AND RATES </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 except percentages)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835"/>
        <w:gridCol w:w="146"/>
        <w:gridCol w:w="212"/>
        <w:gridCol w:w="936"/>
        <w:gridCol w:w="146"/>
        <w:gridCol w:w="146"/>
        <w:gridCol w:w="226"/>
        <w:gridCol w:w="725"/>
        <w:gridCol w:w="146"/>
        <w:gridCol w:w="146"/>
        <w:gridCol w:w="251"/>
        <w:gridCol w:w="805"/>
        <w:gridCol w:w="272"/>
        <w:gridCol w:w="146"/>
        <w:gridCol w:w="212"/>
        <w:gridCol w:w="936"/>
        <w:gridCol w:w="146"/>
        <w:gridCol w:w="146"/>
        <w:gridCol w:w="226"/>
        <w:gridCol w:w="725"/>
        <w:gridCol w:w="146"/>
        <w:gridCol w:w="146"/>
        <w:gridCol w:w="251"/>
        <w:gridCol w:w="805"/>
        <w:gridCol w:w="328"/>
      </w:tblGrid>
      <w:tr>
        <w:trPr/>
        <w:tc>
          <w:tcPr>
            <w:tcW w:w="18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27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9" w:type="dxa"/>
            <w:gridSpan w:val="10"/>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w:t>
            </w:r>
          </w:p>
        </w:tc>
        <w:tc>
          <w:tcPr>
            <w:tcW w:w="32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2026</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3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Average </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w:t>
              <w:b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Annualized</w:t>
              <w:br/>
              <w:t>Yield/Rate</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Average </w:t>
              <w:br/>
              <w:t>Balance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Interest/</w:t>
              <w:br/>
              <w:t>Dividends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Annualized</w:t>
              <w:br/>
              <w:t>Yield/Rate</w:t>
            </w:r>
          </w:p>
        </w:tc>
        <w:tc>
          <w:tcPr>
            <w:tcW w:w="3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2,578,531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458,519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 funds sold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 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3,218,392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3,161,130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3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3,411,040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3,327,760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NOW accounts and savings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1,543,665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borrowed money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215,937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 funds purchased &amp;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sold under agreement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2,495,657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2,479,205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376,923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339,365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Interest Income and </w:t>
              <w:br/>
              <w:t>   Interest Rate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Interest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3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8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877" w:type="dxa"/>
            <w:gridSpan w:val="24"/>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Yields on Tax exempt securities and the portion of the tax-exempt IDB loans included in loans have been tax adjusted based on a 21% tax rate in the charts</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FARMERS &amp; MERCHANTS BANCORP, INC. AND SUBSIDIARIES</w:t>
      </w:r>
    </w:p>
    <w:p>
      <w:pPr>
        <w:pStyle w:val="TextBody"/>
        <w:bidi w:val="0"/>
        <w:jc w:val="center"/>
        <w:rPr>
          <w:rFonts w:ascii="Times New Roman" w:hAnsi="Times New Roman"/>
          <w:color w:val="000000"/>
          <w:sz w:val="20"/>
        </w:rPr>
      </w:pPr>
      <w:r>
        <w:rPr>
          <w:rFonts w:ascii="Times New Roman" w:hAnsi="Times New Roman"/>
          <w:color w:val="000000"/>
          <w:sz w:val="20"/>
        </w:rPr>
        <w:t>AVERAGE BALANCE SHEETS AND RELATED YIELDS AND RATES (continued)</w:t>
      </w:r>
    </w:p>
    <w:p>
      <w:pPr>
        <w:pStyle w:val="TextBody"/>
        <w:bidi w:val="0"/>
        <w:jc w:val="center"/>
        <w:rPr>
          <w:rFonts w:ascii="Times New Roman" w:hAnsi="Times New Roman"/>
          <w:color w:val="000000"/>
          <w:sz w:val="20"/>
        </w:rPr>
      </w:pPr>
      <w:r>
        <w:rPr>
          <w:rFonts w:ascii="Times New Roman" w:hAnsi="Times New Roman"/>
          <w:color w:val="000000"/>
          <w:sz w:val="20"/>
        </w:rPr>
        <w:t>(in thousands of dollars, except percentages)</w:t>
      </w:r>
    </w:p>
    <w:p>
      <w:pPr>
        <w:pStyle w:val="TextBody"/>
        <w:bidi w:val="0"/>
        <w:jc w:val="center"/>
        <w:rPr/>
      </w:pPr>
      <w:r>
        <w:rPr/>
        <w:t> </w:t>
      </w:r>
    </w:p>
    <w:tbl>
      <w:tblPr>
        <w:tblW w:w="13204" w:type="dxa"/>
        <w:jc w:val="left"/>
        <w:tblInd w:w="0" w:type="dxa"/>
        <w:tblLayout w:type="fixed"/>
        <w:tblCellMar>
          <w:top w:w="28" w:type="dxa"/>
          <w:left w:w="28" w:type="dxa"/>
          <w:bottom w:w="28" w:type="dxa"/>
          <w:right w:w="28" w:type="dxa"/>
        </w:tblCellMar>
      </w:tblPr>
      <w:tblGrid>
        <w:gridCol w:w="1261"/>
        <w:gridCol w:w="146"/>
        <w:gridCol w:w="196"/>
        <w:gridCol w:w="601"/>
        <w:gridCol w:w="146"/>
        <w:gridCol w:w="146"/>
        <w:gridCol w:w="146"/>
        <w:gridCol w:w="421"/>
        <w:gridCol w:w="256"/>
        <w:gridCol w:w="146"/>
        <w:gridCol w:w="196"/>
        <w:gridCol w:w="601"/>
        <w:gridCol w:w="146"/>
        <w:gridCol w:w="146"/>
        <w:gridCol w:w="146"/>
        <w:gridCol w:w="421"/>
        <w:gridCol w:w="256"/>
        <w:gridCol w:w="146"/>
        <w:gridCol w:w="196"/>
        <w:gridCol w:w="376"/>
        <w:gridCol w:w="146"/>
        <w:gridCol w:w="146"/>
        <w:gridCol w:w="146"/>
        <w:gridCol w:w="421"/>
        <w:gridCol w:w="256"/>
        <w:gridCol w:w="146"/>
        <w:gridCol w:w="196"/>
        <w:gridCol w:w="601"/>
        <w:gridCol w:w="146"/>
        <w:gridCol w:w="146"/>
        <w:gridCol w:w="146"/>
        <w:gridCol w:w="421"/>
        <w:gridCol w:w="256"/>
        <w:gridCol w:w="146"/>
        <w:gridCol w:w="196"/>
        <w:gridCol w:w="601"/>
        <w:gridCol w:w="146"/>
        <w:gridCol w:w="146"/>
        <w:gridCol w:w="146"/>
        <w:gridCol w:w="421"/>
        <w:gridCol w:w="256"/>
        <w:gridCol w:w="146"/>
        <w:gridCol w:w="196"/>
        <w:gridCol w:w="376"/>
        <w:gridCol w:w="146"/>
        <w:gridCol w:w="146"/>
        <w:gridCol w:w="146"/>
        <w:gridCol w:w="421"/>
        <w:gridCol w:w="30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7"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25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7" w:type="dxa"/>
            <w:gridSpan w:val="2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For the Three Months Ended</w:t>
            </w:r>
          </w:p>
        </w:tc>
        <w:tc>
          <w:tcPr>
            <w:tcW w:w="30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4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 2025</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Excluding Accretion/Amortization</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Difference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Reported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4"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Excluding Accretion/Amortization</w:t>
            </w:r>
          </w:p>
        </w:tc>
        <w:tc>
          <w:tcPr>
            <w:tcW w:w="14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Difference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Yield</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Earning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Taxable investment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Tax-exempt investment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 funds sold &amp;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Interest Earning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Interest-Bearing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NOW accounts and savings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Time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borrowed money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Fed funds purchased and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sold under agreement to repurchase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Subordinated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Total Interest-Bearing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Interest/Dividend income/yield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40,398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0.00</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Spread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23,909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Interest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0.08</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903" w:type="dxa"/>
            <w:gridSpan w:val="48"/>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Yields on Tax exempt securities and the portion of the tax-exempt IDB loans included in loans have been tax adjusted based on a 21% tax rate in the charts</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4279</Words>
  <Characters>22215</Characters>
  <CharactersWithSpaces>28737</CharactersWithSpaces>
  <Paragraphs>5312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