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43180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67310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gridSpan w:val="3"/>
          </w:tcPr>
          <w:p>
            <w:pPr>
              <w:ind w:left="380"/>
              <w:spacing w:after="0" w:line="181" w:lineRule="exact"/>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 w:type="dxa"/>
            <w:vAlign w:val="bottom"/>
            <w:tcBorders>
              <w:bottom w:val="single" w:sz="8" w:color="auto"/>
            </w:tcBorders>
          </w:tcPr>
          <w:p>
            <w:pPr>
              <w:spacing w:after="0"/>
              <w:rPr>
                <w:sz w:val="15"/>
                <w:szCs w:val="15"/>
                <w:color w:val="auto"/>
              </w:rPr>
            </w:pPr>
          </w:p>
        </w:tc>
        <w:tc>
          <w:tcPr>
            <w:tcW w:w="110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to</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4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Commission File Number 001-38084</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1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2"/>
        </w:trPr>
        <w:tc>
          <w:tcPr>
            <w:tcW w:w="1140" w:type="dxa"/>
            <w:vAlign w:val="bottom"/>
          </w:tcPr>
          <w:p>
            <w:pPr>
              <w:spacing w:after="0"/>
              <w:rPr>
                <w:sz w:val="24"/>
                <w:szCs w:val="24"/>
                <w:color w:val="auto"/>
              </w:rPr>
            </w:pPr>
          </w:p>
        </w:tc>
        <w:tc>
          <w:tcPr>
            <w:tcW w:w="10100" w:type="dxa"/>
            <w:vAlign w:val="bottom"/>
            <w:gridSpan w:val="13"/>
          </w:tcPr>
          <w:p>
            <w:pPr>
              <w:jc w:val="center"/>
              <w:ind w:right="1120"/>
              <w:spacing w:after="0"/>
              <w:rPr>
                <w:sz w:val="20"/>
                <w:szCs w:val="20"/>
                <w:color w:val="auto"/>
              </w:rPr>
            </w:pPr>
            <w:r>
              <w:rPr>
                <w:rFonts w:ascii="Times New Roman" w:cs="Times New Roman" w:eastAsia="Times New Roman" w:hAnsi="Times New Roman"/>
                <w:sz w:val="36"/>
                <w:szCs w:val="36"/>
                <w:b w:val="1"/>
                <w:bCs w:val="1"/>
                <w:color w:val="auto"/>
                <w:w w:val="99"/>
              </w:rPr>
              <w:t>FARMERS &amp; MERCHANTS BANCORP, INC.</w:t>
            </w:r>
          </w:p>
        </w:tc>
        <w:tc>
          <w:tcPr>
            <w:tcW w:w="0" w:type="dxa"/>
            <w:vAlign w:val="bottom"/>
          </w:tcPr>
          <w:p>
            <w:pPr>
              <w:spacing w:after="0"/>
              <w:rPr>
                <w:sz w:val="1"/>
                <w:szCs w:val="1"/>
                <w:color w:val="auto"/>
              </w:rPr>
            </w:pPr>
          </w:p>
        </w:tc>
      </w:tr>
      <w:tr>
        <w:trPr>
          <w:trHeight w:val="52"/>
        </w:trPr>
        <w:tc>
          <w:tcPr>
            <w:tcW w:w="1140" w:type="dxa"/>
            <w:vAlign w:val="bottom"/>
          </w:tcPr>
          <w:p>
            <w:pPr>
              <w:spacing w:after="0"/>
              <w:rPr>
                <w:sz w:val="4"/>
                <w:szCs w:val="4"/>
                <w:color w:val="auto"/>
              </w:rPr>
            </w:pPr>
          </w:p>
        </w:tc>
        <w:tc>
          <w:tcPr>
            <w:tcW w:w="19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OHIO</w:t>
            </w:r>
          </w:p>
        </w:tc>
        <w:tc>
          <w:tcPr>
            <w:tcW w:w="66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34-1469491</w:t>
            </w: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1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2"/>
            <w:vMerge w:val="continue"/>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2"/>
            <w:vMerge w:val="continue"/>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308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08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1"/>
        </w:trPr>
        <w:tc>
          <w:tcPr>
            <w:tcW w:w="3080" w:type="dxa"/>
            <w:vAlign w:val="bottom"/>
            <w:gridSpan w:val="3"/>
          </w:tcPr>
          <w:p>
            <w:pPr>
              <w:jc w:val="center"/>
              <w:ind w:left="566"/>
              <w:spacing w:after="0"/>
              <w:rPr>
                <w:sz w:val="20"/>
                <w:szCs w:val="20"/>
                <w:color w:val="auto"/>
              </w:rPr>
            </w:pPr>
            <w:r>
              <w:rPr>
                <w:rFonts w:ascii="Times New Roman" w:cs="Times New Roman" w:eastAsia="Times New Roman" w:hAnsi="Times New Roman"/>
                <w:sz w:val="16"/>
                <w:szCs w:val="16"/>
                <w:b w:val="1"/>
                <w:bCs w:val="1"/>
                <w:color w:val="auto"/>
              </w:rPr>
              <w:t>307 North Defiance Street</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Archbold, Ohio</w:t>
            </w:r>
          </w:p>
        </w:tc>
        <w:tc>
          <w:tcPr>
            <w:tcW w:w="66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43502</w:t>
            </w: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194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4"/>
                <w:szCs w:val="14"/>
                <w:b w:val="1"/>
                <w:bCs w:val="1"/>
                <w:color w:val="auto"/>
              </w:rPr>
              <w:t>(Address of principal</w:t>
            </w: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20" w:type="dxa"/>
            <w:vAlign w:val="bottom"/>
            <w:gridSpan w:val="2"/>
          </w:tcPr>
          <w:p>
            <w:pPr>
              <w:jc w:val="center"/>
              <w:ind w:right="660"/>
              <w:spacing w:after="0" w:line="137"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Executive offices)</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160" w:type="dxa"/>
            <w:vAlign w:val="bottom"/>
            <w:gridSpan w:val="11"/>
          </w:tcPr>
          <w:p>
            <w:pPr>
              <w:jc w:val="center"/>
              <w:ind w:right="30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(419) 446-2501</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0" w:type="dxa"/>
            <w:vAlign w:val="bottom"/>
            <w:gridSpan w:val="8"/>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5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gridSpan w:val="3"/>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gridSpan w:val="3"/>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Common Stock, No Par Value</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FMAO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278"/>
        </w:trPr>
        <w:tc>
          <w:tcPr>
            <w:tcW w:w="7680" w:type="dxa"/>
            <w:vAlign w:val="bottom"/>
            <w:gridSpan w:val="11"/>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56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tabs>
          <w:tab w:leader="none" w:pos="7620" w:val="left"/>
          <w:tab w:leader="none" w:pos="81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89" w:right="339" w:bottom="1440" w:gutter="0" w:footer="0" w:header="0"/>
        </w:sectPr>
      </w:pPr>
    </w:p>
    <w:p>
      <w:pPr>
        <w:spacing w:after="0" w:line="91"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38" w:orient="portrait"/>
          <w:cols w:equalWidth="0" w:num="3">
            <w:col w:w="7220" w:space="720"/>
            <w:col w:w="960" w:space="80"/>
            <w:col w:w="2260"/>
          </w:cols>
          <w:pgMar w:left="320" w:top="1289"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ectPr>
          <w:pgSz w:w="11900" w:h="16838" w:orient="portrait"/>
          <w:cols w:equalWidth="0" w:num="2">
            <w:col w:w="7220" w:space="720"/>
            <w:col w:w="3300"/>
          </w:cols>
          <w:pgMar w:left="320" w:top="1289"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289" w:right="339" w:bottom="1440" w:gutter="0" w:footer="0" w:header="0"/>
          <w:type w:val="continuous"/>
        </w:sectPr>
      </w:pPr>
    </w:p>
    <w:p>
      <w:pPr>
        <w:spacing w:after="0" w:line="74"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70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2023, the aggregate market value of the registrant’s common stock held by non-affiliates of the registrant was $306,921,869.</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23, 2024, the Registrant had 14,564,425 shares of common stock issued of which 13,664,345 shares are outstanding.</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DOCUMENTS INCORPORATED BY REFERENCE</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Part III of Form 10-K – Portions of the definitive Proxy Statement for the 2024 Annual Meeting of Shareholders of Farmers &amp; Merchants Bancorp, Inc.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gridSpan w:val="14"/>
          </w:tcPr>
          <w:p>
            <w:pPr>
              <w:jc w:val="center"/>
              <w:ind w:right="2520"/>
              <w:spacing w:after="0"/>
              <w:rPr>
                <w:sz w:val="20"/>
                <w:szCs w:val="20"/>
                <w:color w:val="auto"/>
              </w:rPr>
            </w:pPr>
            <w:r>
              <w:rPr>
                <w:rFonts w:ascii="Times New Roman" w:cs="Times New Roman" w:eastAsia="Times New Roman" w:hAnsi="Times New Roman"/>
                <w:sz w:val="18"/>
                <w:szCs w:val="18"/>
                <w:color w:val="auto"/>
                <w:w w:val="98"/>
              </w:rPr>
              <w:t>FARMERS &amp; MERCHANTS BANCORP, INC.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Items</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40" w:type="dxa"/>
            <w:vAlign w:val="bottom"/>
            <w:gridSpan w:val="12"/>
          </w:tcPr>
          <w:p>
            <w:pPr>
              <w:jc w:val="center"/>
              <w:ind w:right="33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3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43"/>
        </w:trPr>
        <w:tc>
          <w:tcPr>
            <w:tcW w:w="1820" w:type="dxa"/>
            <w:vAlign w:val="bottom"/>
            <w:tcBorders>
              <w:bottom w:val="single" w:sz="8" w:color="auto"/>
            </w:tcBorders>
            <w:gridSpan w:val="2"/>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and Related Stockholder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on Accounting and Financial Disclosure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Item9a.</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Directors and Executive Officers of the Registrant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Financial Schedules and Reports on Form 8-K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780" w:type="dxa"/>
            <w:vAlign w:val="bottom"/>
            <w:tcBorders>
              <w:lef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3.1b</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Amended Articles of Incorporation of the Registrant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1860" w:type="dxa"/>
            <w:vAlign w:val="bottom"/>
            <w:tcBorders>
              <w:right w:val="single" w:sz="8" w:color="0000FF"/>
            </w:tcBorders>
            <w:gridSpan w:val="9"/>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400" w:type="dxa"/>
            <w:vAlign w:val="bottom"/>
            <w:tcBorders>
              <w:left w:val="single" w:sz="8" w:color="0000FF"/>
            </w:tcBorders>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21.</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Subsidiaries of Farmers &amp; Merchants Bancorp, Inc.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1860" w:type="dxa"/>
            <w:vAlign w:val="bottom"/>
            <w:tcBorders>
              <w:right w:val="single" w:sz="8" w:color="0000FF"/>
            </w:tcBorders>
            <w:gridSpan w:val="9"/>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23.</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Consent of FORVIS, LLP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1860" w:type="dxa"/>
            <w:vAlign w:val="bottom"/>
            <w:tcBorders>
              <w:right w:val="single" w:sz="8" w:color="0000EE"/>
            </w:tcBorders>
            <w:gridSpan w:val="9"/>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31.</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Certifications Under Section 302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2380" w:type="dxa"/>
            <w:vAlign w:val="bottom"/>
            <w:tcBorders>
              <w:right w:val="single" w:sz="8" w:color="0000EE"/>
            </w:tcBorders>
            <w:gridSpan w:val="11"/>
            <w:shd w:val="clear" w:color="auto" w:fill="0000FF"/>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32.</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Certifications Under Section 906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2380" w:type="dxa"/>
            <w:vAlign w:val="bottom"/>
            <w:tcBorders>
              <w:right w:val="single" w:sz="8" w:color="0000EE"/>
            </w:tcBorders>
            <w:gridSpan w:val="11"/>
            <w:shd w:val="clear" w:color="auto" w:fill="0000FF"/>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101.INS</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100" w:type="dxa"/>
            <w:vAlign w:val="bottom"/>
            <w:gridSpan w:val="24"/>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101.SCH</w:t>
            </w:r>
          </w:p>
        </w:tc>
        <w:tc>
          <w:tcPr>
            <w:tcW w:w="8100" w:type="dxa"/>
            <w:vAlign w:val="bottom"/>
            <w:gridSpan w:val="24"/>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101.CAL</w:t>
            </w:r>
          </w:p>
        </w:tc>
        <w:tc>
          <w:tcPr>
            <w:tcW w:w="8100" w:type="dxa"/>
            <w:vAlign w:val="bottom"/>
            <w:gridSpan w:val="24"/>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101.DEF</w:t>
            </w:r>
          </w:p>
        </w:tc>
        <w:tc>
          <w:tcPr>
            <w:tcW w:w="8100" w:type="dxa"/>
            <w:vAlign w:val="bottom"/>
            <w:gridSpan w:val="24"/>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101.LAB</w:t>
            </w:r>
          </w:p>
        </w:tc>
        <w:tc>
          <w:tcPr>
            <w:tcW w:w="8100" w:type="dxa"/>
            <w:vAlign w:val="bottom"/>
            <w:gridSpan w:val="24"/>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101.PRE</w:t>
            </w:r>
          </w:p>
        </w:tc>
        <w:tc>
          <w:tcPr>
            <w:tcW w:w="81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20" w:right="20" w:firstLine="1"/>
        <w:spacing w:after="0" w:line="229" w:lineRule="auto"/>
        <w:tabs>
          <w:tab w:leader="none" w:pos="2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Pages:</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488"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the Company's Annual Report on Form 10-K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local independent community bank that has been primarily serving Northwest Ohio and Northeast Indiana since 1897. Our other subsidiary, Farmers &amp; Merchants Risk Management (Captive) was a captive insurance company formed in December 2014 and located in Nevada. The Captive was dissolved in December 2023. We report our financial condition and net income on a consolidated basis and we report only one segment.</w:t>
      </w:r>
    </w:p>
    <w:p>
      <w:pPr>
        <w:spacing w:after="0" w:line="183" w:lineRule="exact"/>
        <w:rPr>
          <w:sz w:val="20"/>
          <w:szCs w:val="20"/>
          <w:color w:val="auto"/>
        </w:rPr>
      </w:pPr>
    </w:p>
    <w:p>
      <w:pPr>
        <w:ind w:right="2900"/>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the general development of the Company’s business throughout 2023, please see the portion of Management’s Discussion and Analysis of Financial Condition and Results of Operations captioned “2023 in Review.”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business. Our activities include commercial, agricultural and residential mortgage as well as consumer lending activities. Because the majority of the Bank's offices are located in Northwest Ohio, Northeast Indiana and Southern Michigan,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real estate, providing operating lines of credit and machinery purchases. Consumer real estate also increased substantially with the acquisition of Perpetual Federal Savings Bank on October 1, 2021 and Peoples Federal Savings and Loan Association on October 1, 2022. The Bank also operates four Loan Production Offices (LPOs), two in Ohio and one in Indiana and Michigan.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Upgrades to our digital products and services continue to occur in both retail and business lines.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both"/>
        <w:spacing w:after="0" w:line="246"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 seven year and a ten year fixed rate mortgage and a ten year jumbo fixed rate mortgage after which the interest rate will adjust annually for all. In order to offer longer term fixed rate mortgages, the Bank does participate in the Freddie Mac, FSA guaranteed secondary Ag market,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acquisitions in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quarters of 2022 and 2021, the Bank saw an increase in fixed rate, long-term mortgage loans to our portfolio from that banking service area.</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LTV range from 80%-85%.</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83"/>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83"/>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40" w:hanging="28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40" w:hanging="28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borrower loans up to 85%.</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F&amp;M First Time Homebuyer loans up to 100%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has served the Bank’s customers, providing investment services, since April of 1999.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and dissolved it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December 2023.. The Captive was located in Nevada and regulated by the State of Nevada Division of Insurance. The Bank formed an insurance agency in November 2023 to offer insurance products to our customers.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The commercial banking business in this market is highly competitive, with approximately 48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PNC, Wells Fargo Bank, NA, KeyBank NA and JPMorgan Chase Bank, NA. Based on deposit data as of June 30, 2023 from the FDIC and using zip codes in our markets, the Bank ranked 3rd with a 13.30% market share in markets served. The primary factors in competing for loans and deposits are the rates charged as well as location and quality of the services provided.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we had 456 full time equivalent employees. The employees are not represented by a collective bargaining unit. We provide our employees with a comprehensive benefit program, some of which is contributory. We consider our employee relations to be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Supervision and 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the more significant regulatory provisions applicable to banks and bank holding companies to which the Company and its subsidiaries are subject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and Soundness Standards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banking agencies have adopted guidelines that establish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institution’s primary federal regulator may require the institution to submit a plan for achieving and maintaining compliance. If an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institution’s rate of growth, require the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banking regulators, including cease and desist orders and civil money penalty assessments.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Agencies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The Captive was an insurance company incorporated in Nevada, regulated by the State of Nevada, Division of Insurance and was dissolved in December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Insurance agency is a limited liability company organized in Ohio and regulated by the State of Ohio, Division of Insurance.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Holding Company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a quarterly basis information pursuant to the Act. The Federal Reserve Board may conduct examinations or inspections of the Company and its subsidiaries.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12, 1999, the Gramm-Leach-Bliley Act (the "GLB Act") was enacted into law. The GLB Act made sweeping changes with respect to the permissible financial services which various types of financial institutions may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Affiliate Transactions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loans to its non-bank affiliates be secured, and Section 23B of the Federal Reserve Act generally requires that an insured depository institution's transactions with its non-bank affiliates be on arms-length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Interstate Banking and Branching</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 Acquisitions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case of an acquirer that is a bank holding company) or more of any class of outstanding voting stock of a bank holding company, or otherwise obtaining control or a "controlling influence" over that bank holding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Liability for Banking Subsidiaries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Capital Requirements</w:t>
      </w:r>
    </w:p>
    <w:p>
      <w:pPr>
        <w:spacing w:after="0" w:line="11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businesses. The required capital levels along with the Bank’s capital position at December 31, 2023 and 2022 are summarized in the table included in Note 16 to the consolidated financial statements.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is overseen by the Federal Reserve, the FDIC and the OCC.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FDICIA</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2023, the Bank was well capitalized pursuant to these prompt corrective action guidelines.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Restrictions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17 to the consolidated financial statements for additional information on applicable dividend restrictions.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 Insurance Assessments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consideration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Dodd-Frank Act permanently raised the standard maximum deposit insurance coverage amount to $250,000 and applies per depositor, per insured depository institution for each account ownership category.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Depositor Preference Statute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Monetary Policy</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Regulation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of the Dodd-Frank Act have resulted in additional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Act created an independent regulatory body, the Bureau of Consumer Financial Protection (“Bureau”), with authority and responsibility to set rules and regulations for most consumer protection laws applicable to all banks – large and small – which added another regulator to scrutinize and police financial activities. Transfer to the Bureau of all consumer financial protection functions for designated laws by the other federal agencies was completed in July 2011. The Bureau was given responsibility for mortgage reform and enforcement, as well as broad new powers over consumer financial activities, including consumer financial products and services and how they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Gramm-Leach-Bliley Financial Modernization Act of 1999 (the “GLB Act”), federal banking regulators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major focus of governmental policy on financial institutions has been aimed at combating money laundering and terrorist financing. The USA PATRIOT Act of 2001 (the “USA Patriot Act”) substantially broadened the scope of United States anti-money laundering laws and regulations by imposing significant new compliance and due diligence obligations, creating new crimes and penalties and expanding the extra-territorial jurisdiction of the United States. The U. S. Treasury Department has issued a number of regulations that apply various requirements of the USA Patriot Act to financial institutions such as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money laundering and terrorist financing, or to comply with all of the relevant laws or regulations, could have serious legal and reputational consequences for the institution.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mortgage rules mandated by the Dodd-Frank Act provisions were enacted in response to the breakdown in the mortgage lending markets and to provide for consumer protections. Final rules issued by the Bureau or jointly with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regulatory agencies implemented requirements under the Dodd-Frank Act regarding mortgage-related matters such as ability-to-repay, qualified mortgage standards, mortgage servicing, mortgage loan originator compensation, escrow requirements for higher-priced mortgage loans, and providing appraisals. These mortgage rules addressed problems consumers faced in the three major steps in buying a home – shopping for a mortgage, closing on a mortgage, and paying off a mortgage.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Final rules and amendments to the integrated mortgage disclosure rules under the Real Estate Settlement Act (RESPA) and Truth in Lending Act (TILA) became effective in October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Amendments to the TRID rules effective in October 2017 with a mandatory compliance in October 2018 were intended to provide further clarity to certain provisions. Remaining attentive to the complexities of the TRID rules ensure practices and procedures remain compliant and not subject the Bank to unnecessary liability.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 Final rules for acceptance of private flood insurance policies became effective on July 1, 2019. Fines and penalties continue to be assessed by regulators for non-compliance with flood insurance requirements. A continued focus on adherence to the flood rules and requirements is necessary.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Department of Defense (DOD) rules amending its regulation that implements the Military Lending Act (MLA) became effective in October 2016. The MLA enacted as part of the John Warner National Defense Act of 2007, significantly expanded the scope of the Act to cover all consumer credit except residential mortgages and purchase money loans. Compliance requirements for credit cards became effective in October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Providing a loan to a MLA-covered borrower that exceeds the 36% Military Annual Percentage Rate is prohibited. Any covered loans made without providing proper disclosures or in violation of the MLA is void. Creditors who knowingly or willfully violate the rules could be subject to a fine, imprisonment up to one year or both. Reliance on and collaboration with Loan Origination System vendors for assistance with calculations and required disclosures along with an efficient and effective process for identifying covered borrowers remains the best defense to prevent violations.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TILA Ability to Repay requirements, the Bank meets the criteria to qualify as a small creditor based on the number of first-lien mortgage loans transactions and due to its asset size; however it is not a creditor that operates predominantly in rural or underserved areas.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amending the Ability to Repay/Qualified Mortgage Rules were implemented. The General QM Final Rule amended the definition of the QM category to offset the impact of the sunsetting of the temporary Government Sponsored Enterprise (GSE) QMs. Amended General QM loan definition removed the 43% debt-to-income limit, eliminated Appendix Q underwriting standards and any requirement to use them as a qualification for General QM status, and instead implemented price-based thresholds. The Bank's Loan Policy was revised accordingly. For General QM status, applicable to first-lien mortgage loans offered by the Bank, a loan must still observe existing product features, underwriting requirements and limits on points and fees. Since the Bank, on occasion, does make Non-Qualified Mortgages, approvals and originations of both Non-QM loans and Higher Priced Mortgage Loans are periodically reported to the Bank’s Loan Committee.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Revised Regulation C rules which implement the Home Mortgage Disclosure Act (HMDA) published by the Bureau become effective on January 1, 2018 for reportable loan applications.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age, credit score, automated underwriting system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property value, application channel, points 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A thorough review and validation of data fields to be reported for each application was conducted throughout the year. Year-end submission of HMDA data utilizes the web-based tool developed by the Bureau. With the expiration of the temporary threshold, the Bank commenced HMDA data collection on certain open-end lines of credit secured by a dwelling with final action taken as of January 1, 2022 or thereafter.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Enactment of the Economic Growth, Regulatory Relief and Consumer Protection Act (EGRRCPA) on May 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 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as of June 23, 2018. Effective September 21, 2018, consumers could freeze their credit information and place one-year fraud alerts for free. Additionally, parents can freeze the credit information of their children under age 16 for free. In some instances, regulators still need to issue proposals, provide guidance, and publish final rules for various provisions. Thus, issuance of guidance and final rules must be monitored in order to be effectively implemented.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years to address acts or practices that are deemed harmful, deceptive, or misleading to consumers. The authority of the Federal Trade Commission (FTC) for credit practice rules was repealed as a result of the Dodd-Frank Act. Guidance issued collectively by the FDIC, FRB, the Bureau, NCUA, and OCC in 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 practices previously addressed in the former credit practices rules. Awareness of UDAP standards, and the Bureau’s unfair, deceptive or abusive acts or practices (UDAAP) in relation to the offering and marketing of Bank products and services remains important.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final rule with amendments to the Community Reinvestment Act (CRA) was jointly released by the OCC, FRB, and FDIC on October 24, 2023. These amendments are intended to update how CRA activities qualify for consideration, where CRA activities are considered, and how CRA activities are evaluated. The final rule is effective on April 1, 2024, with certain amendments effective April 1, 2024 through January 1, 2031, and other amendments in the final rule were delayed indefinitely. As a large bank examined for CRA, the Bank is most attentive to the significant impact these amendments have. Review of the various amendments and the specific requirements, timing to meet timing requirements and overall impact is ongoing. The final rule has not yet been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as of year end.</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numerous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Legislation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an Internet web site at the following internet address: www.fm.bank. The Company files reports with the Securities and Exchange Commission (SEC). Because the Company makes its filings with the SEC electronically, you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access such reports at the SEC’s website (www.sec.gov). The Company makes available, free of charge through its internet address, copies of its annual report on Form 10-K, quarterly reports on Form 10-Q, current reports on Form 8-K, and any amendments to these reports as soon as reasonably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Competition from an Array of Financial Service Providers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 Under the credit loss model, we are required to present certain financial assets carried at amortized cost, such as loans held for investment and held-to-maturity debt securities, at the net amount expected to be collected. The Company only has available-for-sale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upon the Accuracy and Completeness of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customers and counterparties, we may rely on information furnished by or on behalf of customers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 and accountants if made available. If this information is inaccurate, we may be subject to regulatory action, reputational harm or other adverse effects with respect to the operation of our business, our financial condition and our results of operation.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loan portfolio has a large concentration of real estate loans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Real estate loans, which constitute a large portion of our loan portfolio, include home equity, agricultural, commercial, construction and residential loans, and such loans are concentrated in the Bank’s primary markets in Northwest Ohio, Northeast Indiana and Southern Michigan and complimented with additional exposure in new areas from our LPOs.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credit losses and adversely affect our operating results and financial condition.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loans make up a significant portion of our loan portfolio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income generation. Farmers may also use hedging techniques to lock in crop prices, input costs for future production.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Susceptibility to Changes in Regulation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U.S. Trade Policies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2018 through 2023, the U.S. government implemented tariffs on certain products from countries or entities such as Mexico, Canada, China and the European Union. These countries have issued or continue to threaten retaliatory tariffs against products from the United States, including agricultural products. The United States and these countries may impose additional tariffs and retaliatory tariffs in the future. Tariffs, retaliatory tariffs or other trade restrictions on products and materials that our customers import or export, including agricultural products such as soybeans, could cause the prices of our customers’ products to increase which could reduce demand for such products, or reduce our customer margins, and adversely impact their revenues, financial results and ability to service debt. This could adversely affect our financial condition and results of operations. In addition,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the extent changes in the political environment have a negative impact on us or on the markets in which we operate, our business, results of operations and financial condition could be materially and adversely impacted in the future. In January 2020, passage of the United States-Mexico-Canada (USMCA) trade agreement helped to alleviate some of these risks. The USMCA updates trading rules to better reflect 21st century technology, regulates labor and environmental standards in Mexico, tightens the rules the auto industry must follow to trade vehicles duty free across the three countries and provides tariff-free trade in North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Net interest spreads have widened and narrowed in response to these and other factors, which are often collectively referred to as “interest rate risk.” The Federal Reserve began increasing the Federal Funds rate in 2022 and continued into 2023 in an effort to tame inflation. These rate increases totaling 550 basis points have negatively impacted our interest spread.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manages interest rate risk within an overall asset/liability framework. The principal objectives of asset/liability management are to manage sensitivity of net interest spreads and net interest income to potential changes in interest rates. The Bank also analyzes the interest rate, risk utilizing the net interest margin. While the net interest spread measures the asset yield compared to the cost of funds, the net interest margin is equivalent to net interest income divided by earning assets. Both net interest spread and net interest margin are presented in the interest charts within the Management's Discussion and Analysis on interest income and expense.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Attraction and Retention of Key Personnel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The Bank splits the incentive based on pay ranges and position with each having a percentage of base pay used for the incentive. The employees are paid a cash incentive based on the projected overall performance of the Bank in terms of Return of Average Assets (“ROA”) and the achievement of pre-established team and/or individual goals.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With the formation of the Captive, the ROA goal had been exclusive of the effect of the additional insurance expense at the Bank level, as well as other expenses as agreed upon by the Compensation Committee. The majority of lower based employees receive incentive pay in December of the same year based on the year-to-date base compensation through the last pay received in November.</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Higher pay range employees, often officers ("non-executive officers"), other than executive officers receive incentive pay based on additional criterion. These individuals are rewarded based on overall ROA of the Bank along with individual pre-established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goals. Non-executive officers, therefore, have incentive pay at risk for individual performance. The individualized goals are recommended by each individual’s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Non-executive officers in a support department may be given goals which create efficiencies, ensure compliance with procedures, or generate new fee or product opportunities. On average, three to four goals were given to each non-executive officer in 2023. Non-executive officers are paid cash incentives based on the year-end ROA of the Bank and receive it within the first quarter of the following year. Should the ROA be forecasted to be positive but below the base target set by the Board, the covered non-executive officers are paid an incentive under the same basis and timing as lower based employees disclosed above.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Payout Restrictions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pay a quarterly dividend on our common shares. However, there is no assurance that we will be able to pay dividends in the future. Dividends are subject to determination and declaration by our Board of Directors,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declared additional dividends the fourth quarter to provide this liquidity to the Company. The Captive upstreamed dividends to the Company when reserve levels were adequately provided for and did not exceed the net income of the prior twelve months. With the dissolving of the Captive, no such upstream of dividends will occur in 2024. Please see Note 17 in the notes to consolidated financial statements for additional information on dividend payout restrictions.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Maintaining Compliance with Regulatory Capital Requirements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regulatory capital adequacy guidelines, we must meet guidelines that involve quantitative measures of assets, liabilities and certain off-balance sheet items. Failure to meet minimum capital requirements could have a material effect on our financial condition and could subject us to a variety of enforcement actions, as well as certain restrictions on our business. Failure to maintain the status of “well-capitalized” under the regulatory framework could adversely affect the confidence that our customers have in us, which may lead to a decline in the demand for or a reduction in the prices that we are able to charge for our products and services. Failure to meet the guidelines could also limit our access to liquidity 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New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at some point need to raise additional capital to maintain our “well-capitalized” status. Any capital we obtain may result in the dilution of the interests of existing holders of our stock. 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Environmental Laws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our loan portfolio is secured by real property. We may foreclose on and take title to certain real property. There is a risk that hazardous substances could be found on the property and we may be liable for remediation costs, personal injury and/or property damage. We may incur substantial expenses to comply with environmental laws which may materially reduce the property's value or limit our ability to dispose of the property. The remediation costs and any other financial liabilities associated with the property could have a material adverse effect on our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Technological Change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dependent on our ability to process financial transactions in a secure manner. Failure in or breach of our operational or security systems or infrastructure, or those of our third-party vendors and other service providers, could disrupt our business or the businesses of our customers, result in the disclosure or misuse of confidential or proprietary information, damage our reputation, increase our costs and cause losses. We must ensure that information is properly protected from a variety of threats such as cyber attacks, error, fraud, sabotage, terrorism, industrial espionage, privacy violation, service interruption, and natural disaster. These threats arise from numerous sources including human error, fraud on the part of employees or third parties, technological failure, telecommunication outages, and severe weather conditions. Information security risks for financial institutions like us have increased recently in part because of new technologies, the increased use of the internet and telecommunications technologies (including mobile devices and cloud computing) to conduct financial and other business transactions, political activism, and the increased sophistication and activities of organized crime. Although we employ detection and response mechanisms designed to contain and mitigate security incidents, early detection may be thwarted by persistent sophisticated attacks and malware designed to avoid detection.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activity that jeopardizes our network and the security of the information stored thereon may result in significant cost and have a significant adverse effect on our reputation. We maintain insurance coverage that may, subject to policy terms and conditions, cover certain aspects of cyber risks. Such insurance coverage may be insufficient to cover all losses.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successful cyber attack or other security breach involving the misappropriation or other unauthorized disclosure of confidential customer information or that compromises our ability to function could severely damage our reputation, erode confidence in the security of our systems, products and services, expose us to the risk of litigation and liability, disrupt our operations and have a material adverse effect on our business. Any successful cyber attack may also subject the Company to regulatory investigations, litigation or enforcement, or require the payment of regulatory fines or penalties or undertaking costly remediation efforts with respect to third parties affected by a cyber security incident, all or any of which could adversely affect the Company’s business, financial condition or results of operations and damage its reputation.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constantly at risk of increased losses from fraud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Criminals are committing fraud at an increasing rate and are using more sophisticated techniques. In some cases, these individuals are part of larger criminal rings, which allow them to be more effective. Such fraudulent activity has taken many forms, ranging from debit card fraud, check fraud, mechanical devices attached to ATM machines, social engineering and phishing attacks to obtain personal information, or impersonation of clients through the use of falsified or stolen credentials. Additionally, an individual or business entity may properly identify itself, yet seek to establish a business relationship for the purpose of perpetrating fraud. An emerging type of fraud even involves the creation of synthetic identification in which fraudsters "create" individuals for the purpose of perpetrating fraud. Further, in addition to fraud committed directly against us, the Company may suffer losses as a result of fraudulent activity committed against third parties. Increased deployment of technologies, such as chip card technology and dual authentication, defray and reduce certain aspects of fraud; however, criminals are turning to other sources to steal personally identifiable information, such as unaffiliated healthcare providers and government entities, in order to impersonate the consumer and thereby commit fraud.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Inadequacy of our Allowance for Credit Losses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Like all financial institutions, we maintain an allowance for credit losses to provide for loan defaults and non-performance. Our allowance for credit losses is based on our historical loss experience and forward-looking data as well as an evaluation of the risks associated with our loan portfolio, including the size and composition of the loan portfolio, current economic conditions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and concentrations within the portfolio. The determination of the appropriate level of the allowance for credit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credit losses. In addition, bank regulatory agencies periodically review our allowance for credit losses and may require an increase in the provision for credit losses or the recognition of further loan charge-offs, based on judgments different than those of management. In addition, if charge-offs in future periods exceed expectations, we will need additional provisions to increase the allowance for credit losses. Any increases in the allowance for credit losses may result in a decrease in net income and capital and may have a material adverse effect on our financial condition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Measurement of Credit Losses on Financial Instruments," which replaced the "incurred loss" model for recognizing credit losses with an "expected loss" model referred to as the Current Expected Credit Loss model, or “CECL.” Under the CECL model, we are required to present certain financial assets carried at amortized cost, such as loans held for investment and held-to-maturity debt securities, at the net amount expected to be collected. The measurement of expected credit losses is based on information about past events, including historical experience, current conditions, and reasonable and supportable forecasts that affect the collectability of the reported amount. This measurement takes place at the time the financial asset is first added to the balance sheet and periodically thereafter. This differs significantly from the "incurred loss" model previously required under GAAP, which delayed recognition until it was probable a loss had been incurred. Accordingly, the adoption of the CECL model materially affects how we determine our allowance for credit losses. Moreover, the CECL model may create more volatility in the level of our allowance for credit losses. If we are required to increase our level of allowance for credit losses for any reason, such increase could adversely affect our business, financial condition and results of operations.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CECL standard became effective for us for fiscal years beginning after January 1, 2023 and for interim periods during 2023. Please see Note 1 in the notes to consolidated financial statements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Attraction of Deposits and other Short-term Funding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managing our liquidity, our primary source of short-term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and Geopolitical Instability and Inflationary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Geopolitical conditions, terrorist attacks, military conflicts, natural disasters, severe weather, widespread health emergencies or pandemics, information or cybersecurity incidents (including intrusion into or degradation or unavailability of systems or technology by cyberattacks), operational incidents and other catastrophic events can have a material adverse effect on our business. Political and social conditions, including actions upending geopolitical stability (such as from tensions involving China and the U.S.), fiscal and monetary policies (including developments related to the U.S. federal debt ceiling, budgetary issues and government shutdowns), trade wars and tariffs, labor shortages, regional or domestic hostilities, economic sanctions and the prospect or occurrence of more widespread conflicts could also negatively affect our business, operations and partners, consumer and business spending, including consumer spending patterns and business investment, and demand for credit.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U.S. and global economies have begun to recover from the COVID-19 pandemic as many health and safety restrictions have been lifted and vaccine distribution has increased, certain adverse consequences of the pandemic, including labor shortages, disruptions of global supply chains, and inflationary pressures, continue to impact the macroeconomic environment and could adversely affect our business. The pandemic and resulting containment measures adversely impacted a significant portion of our operations. The global macroeconomic outlook continues to remain uncertain due to a variety of factors, including the emergence of new variants, impacts to the labor market, supply chain disruptions and inflation. The extent to which our business and results of operations may continue to be adversely affected by this macroeconomic uncertainty will depend on numerous evolving factors and future developments, including the continued spread and severity of the virus and new variants; the availability, distribution, use and effectiveness of treatments and vaccines; the extent and duration of lingering effects on the economy, inflation, consumer confidence and consumer and business spending; and the impact on consumers and businesses as forbearance and government support programs end, including the end of the moratorium on student loan repayments.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Several military conflicts are currently taking place across the world (such as the ongoing Russia-Ukraine and Israel-Hamas wars), and geopolitical tensions may result in additional conflicts or escalate existing conflicts. This conflict has led to economic uncertainty and market disruptions, including the imposition of financial and economic sanctions and export controls designed to constrain Russia. The conflict in Israel and surrounding areas has also created economic uncertainty and regional instability, including due to the risk of escalation into a wider regional conflict, and resulted in the imposition of sanctions targeting Hamas-affiliated individuals and entities. The broader consequences of these conflicts remain uncertain, but may include further sanctions, regional instability and geopolitical shifts, increased prevalence and sophistication of cyberattacks, potential retaliatory action, heightened regulatory scrutiny related to sanctions compliance, increased inflation, further increases or fluctuations in commodity and energy prices, decreases in global economic activity, further disruptions to the global supply chain and other adverse effects on macroeconomic conditions.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Trading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its shares of stock listed and traded on the NASDAQ Capital Market. The Company’s trading symbol is “FMAO.”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Responsibilities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bears the ultimate responsibility for ensuring that an adequate cyber and information technology risk (IT risk) management framework is in place and functioning as intended. IT risk focuses on information and information systems, especially the most critical and vital information assets. Without reliable and properly secured information systems, business operations could be severely disrupted. Likewise, the preservation and enhancement of the Company’s reputation is directly linked to the way in which both information and information systems are managed. Maintaining an adequate level of security is one of several important aspects of managing IT risk. The Board’s oversight responsibility in this respect includes oversight of the Company’s vendor management program and the periodic evaluation of the Company’s IT risk management controls.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implements its IT risk oversight obligations primarily through the Board’s Enterprise Risk Management Committee (ERM Committee). The primary function of the ERM Committee is to advise the Board of Directors regarding the enterprise risk management framework of the Company and to provide oversight to assist the Board of Directors in supervising enterprise risk management activities. The ERM Committee reviews and defines risk exposure limits for each specified risk category, including IT risk, while taking into consideration strategic goals and objectives and current market conditions. The Board ERM Committee reviews and approves any necessary changes to risk exposure limits after careful consideration of any changes in market conditions or corporate strategy and adopts guidelines, through the input of the Management Risk Committee’s analysis and discussion, regarding the maximum loss exposure the Bank is able and willing to assume.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Risk Committee is comprised of various members of Senior Management, Department Leaders, Compliance, Internal Audit and Risk Management. The Management Risk Committee is responsible for loss control and day-to-day oversight of the risk management function. Management Risk Committee meetings are held monthly. Results of the monthly review of risk categories are reported to the Board of Directors Enterprise Risk Management Committee (ERM) each quarter. In addition, the Company’s risk position is reported to the Board of Directors quarterly.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least annually, the Board of Directors reviews and approves the risk management program and policies based on information presented throughout the year from the ERM Committee and the Management Risk Committee.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Information Systems (IS) Steering Committee, which is chaired by the Company’s Chief Information Officer, serves as an advisory group providing assistance and guidance to management regarding customer information security, information systems planning, systems management organization, systems performance, business continuity, information security, system related expenditures, vendor management, and related policies and procedures. The IS Steering Committee meets on a monthly basis. Formal meeting minutes serve to document decisions and recommendations by the IS Steering Committee and are reported to both the Management Risk Committee and the Board ERM Committee. Management has appointed the Chief Information Officer the responsibility for overall management of the Company’s “front line” IT risk.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Material Impact of Cyber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more thoroughly below, the Company devotes significant resources to implement, maintain, monitor and regularly upgrade our systems and networks with measures such as intrusion detection and prevention and firewalls to safeguard critical business applications. The additional cost to the Company of our cyber security monitoring and protection systems and controls includes the cost of hardware and software, third party technology providers, consulting, and legal fees, in addition to the incremental cost of our personnel who focus a substantial portion of their responsibilities on cyber security. With the assistance of third-party service providers, we continue to implement security technology and establish procedures to maintain network security. As cyber threats continue to evolve, we may be required to expend significant additional resources to continue to modify or enhance our protective measures or to investigate and remediate any information security vulnerabilities. In addition, we maintain insurance coverage that may, subject to policy terms and conditions, cover certain aspects of cyber risks, but such insurance coverage may not always be sufficient to cover all losses.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Risk and Vendor Management</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rely on third-party service providers to leverage subject matter expertise and industry best practice, provide enhanced products and services, and reduce costs. Although there are benefits in entering into third-party relationships with vendors and others, there are risks associated with such activities. When entering a third-party relationship, the risks associated with that activity are not passed to the third-party but remain our responsibility. At the direction of the Board and pursuant to its ultimate oversight, management is charged with the development and maintenance of a comprehensive vendor management program. In that respect, Company management has appointed the IS Steering Committee, chaired by the Chief Information Officer, to oversee the Company’s vendor management program. The vendor management program is used to identify, measure, monitor, and control the risks associated with outsourcing arrangements. While focusing on information and operational risks, outsourced relationships are reviewed through structured assessments and addressed from an end-to-end perspective. While we have implemented a vendor management program to actively manage the risks associated with the use of third-party service providers, any problems caused by third-party service providers could adversely affect our ability to deliver products and services to our customers and to conduct our business. Replacing a third-party service provider could also take a long period of time and result in increased expenses.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and External Risk Evaluations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annual Information Technology Audit, which is facilitated by the Internal Audit Department, is conducted via a co-sourcing agreement with a third-party auditor. The objective of the IT audit is to evaluate the effectiveness and efficiency of operations, test the reliability of data and IT controls, and ensure compliance with applicable laws, regulations, guidance, and industry best practices. The audit scope addresses IT Governance, IT Management, IT Operations, and IT Security. Testing of the internal network environment and external network perimeter are included in the Results of the IT Audit and are reviewed with the IS Steering Committee and Company management. For any exceptions identified, a responsible party is assigned, and action plans are developed to address corrective measures. The final results of the IT Audit are reviewed with the Board Audit Committee. The status of unresolved audit issues along with their priority ratings is reported to both Management and the Board Audit Committee at each meeting.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accordance with Gramm-Leach-Bliley Act requirements regarding safeguarding and protecting customer information, an Information Security Risk Assessment is conducted at least annually by the Risk Department and reviewed with the Management Risk Committee, the ERM Committee, and the Board of Directors. A risk analysis is performed to evaluate current processes, identify information assets, and determine the adequacy of the safeguarding and protection of confidential customer information collected and maintained. For each information asset identified, the criticality of the asset, the threats to the defined asset, the likelihood of compromise of the asset, the business impact if an asset is compromised, and an overall risk rating for each asset are defined. The results of this assessment are reviewed with the Information Systems (IS) Steering Committee and the Risk Committee and reported at least annually to the Board ERM Committee.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office is located in Archbold, Ohio.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The Bank occupies an Operations Center at 620 S. Clyde’s Way in Archbold, Ohio to accommodate our growth over the years which includes drive-up services. The Bank owns a parking lot in downtown Montpelier which is provided for community 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owns all of its office locations, with the exception of the asterisked offices below. These eight office locations are leased.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currently maintains retail banking offices at the following locations: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Location</w:t>
            </w:r>
          </w:p>
        </w:tc>
      </w:tr>
      <w:tr>
        <w:trPr>
          <w:trHeight w:val="20"/>
        </w:trPr>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3"/>
        </w:trPr>
        <w:tc>
          <w:tcPr>
            <w:tcW w:w="1380" w:type="dxa"/>
            <w:vAlign w:val="bottom"/>
          </w:tcPr>
          <w:p>
            <w:pPr>
              <w:spacing w:after="0"/>
              <w:rPr>
                <w:sz w:val="22"/>
                <w:szCs w:val="22"/>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Archbold,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307</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 Defiance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Wauseon, Ohio</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1130 N Shoop Avenue</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Stryker,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300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Defiance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West Unity,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 Jackson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Bryan, Ohio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1000</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 Main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Delta,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Main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Montpelier, Ohio</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1150 E Main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Napoleon, Ohio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2255</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Scott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Swanton, Ohio</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7 Turtle Creek Circle</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Perrysburg, Ohio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7001</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Lighthouse Way</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Butler, Indiana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Broadway</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Auburn, Indiana*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406</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Smaltz Way</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Angola, Indiana*</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2310</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 Wayne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Hicksville,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 Main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Waterville, Ohio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8720</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Waterville-Swanton Road</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Custar, Ohio</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22973 Defiance Pike</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Sylvania, Ohio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5830</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Monroe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12106 Lima Road</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Bowling Green, Ohio*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1072</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 Main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Findlay, Ohio</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1660</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Tiffin Avenue</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Geneva, Indiana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215</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East Line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Monroe, Indiana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 Washington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Berne, Indiana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718</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 Highway 27 N</w:t>
            </w:r>
          </w:p>
        </w:tc>
      </w:tr>
      <w:tr>
        <w:trPr>
          <w:trHeight w:val="232"/>
        </w:trPr>
        <w:tc>
          <w:tcPr>
            <w:tcW w:w="1380" w:type="dxa"/>
            <w:vAlign w:val="bottom"/>
          </w:tcPr>
          <w:p>
            <w:pPr>
              <w:spacing w:after="0"/>
              <w:rPr>
                <w:sz w:val="20"/>
                <w:szCs w:val="20"/>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Portland, Indiana</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1451</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 Meridian Street</w:t>
            </w:r>
          </w:p>
        </w:tc>
      </w:tr>
      <w:tr>
        <w:trPr>
          <w:trHeight w:val="263"/>
        </w:trPr>
        <w:tc>
          <w:tcPr>
            <w:tcW w:w="1380" w:type="dxa"/>
            <w:vAlign w:val="bottom"/>
          </w:tcPr>
          <w:p>
            <w:pPr>
              <w:spacing w:after="0"/>
              <w:rPr>
                <w:sz w:val="22"/>
                <w:szCs w:val="22"/>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Decatur, Indiana</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1061</w:t>
            </w:r>
          </w:p>
        </w:tc>
        <w:tc>
          <w:tcPr>
            <w:tcW w:w="2520" w:type="dxa"/>
            <w:vAlign w:val="bottom"/>
            <w:gridSpan w:val="4"/>
          </w:tcPr>
          <w:p>
            <w:pPr>
              <w:ind w:left="40"/>
              <w:spacing w:after="0" w:line="263" w:lineRule="exact"/>
              <w:rPr>
                <w:sz w:val="20"/>
                <w:szCs w:val="20"/>
                <w:color w:val="auto"/>
              </w:rPr>
            </w:pPr>
            <w:r>
              <w:rPr>
                <w:rFonts w:ascii="Times New Roman" w:cs="Times New Roman" w:eastAsia="Times New Roman" w:hAnsi="Times New Roman"/>
                <w:sz w:val="18"/>
                <w:szCs w:val="18"/>
                <w:color w:val="auto"/>
              </w:rPr>
              <w:t>S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w:t>
            </w:r>
          </w:p>
        </w:tc>
      </w:tr>
      <w:tr>
        <w:trPr>
          <w:trHeight w:val="234"/>
        </w:trPr>
        <w:tc>
          <w:tcPr>
            <w:tcW w:w="1380" w:type="dxa"/>
            <w:vAlign w:val="bottom"/>
          </w:tcPr>
          <w:p>
            <w:pPr>
              <w:spacing w:after="0"/>
              <w:rPr>
                <w:sz w:val="20"/>
                <w:szCs w:val="20"/>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7370</w:t>
            </w:r>
          </w:p>
        </w:tc>
        <w:tc>
          <w:tcPr>
            <w:tcW w:w="2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Illinois Road</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Ossian, Indiana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 Jefferson</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Bluffton, Indiana*</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111 E Oak Forest Drive</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Urbana,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 Main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Sidney,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 Court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Anna,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403</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Pike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Jackson Center, Ohio</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115 E Pike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Toledo,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 Summit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Birmingham, Michigan*</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220</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Park Street, Suite 104</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128</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 Wayne Street</w:t>
            </w:r>
          </w:p>
        </w:tc>
      </w:tr>
      <w:tr>
        <w:trPr>
          <w:trHeight w:val="243"/>
        </w:trPr>
        <w:tc>
          <w:tcPr>
            <w:tcW w:w="1380" w:type="dxa"/>
            <w:vAlign w:val="bottom"/>
          </w:tcPr>
          <w:p>
            <w:pPr>
              <w:spacing w:after="0"/>
              <w:rPr>
                <w:sz w:val="21"/>
                <w:szCs w:val="21"/>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Oxford, Ohio*</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335</w:t>
            </w: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 College Avenue</w:t>
            </w:r>
          </w:p>
        </w:tc>
      </w:tr>
      <w:tr>
        <w:trPr>
          <w:trHeight w:val="445"/>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All offices except the Butler, Indiana location have onsite ATM services.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Bank’s LPOs are at the following locations: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LPO</w:t>
            </w:r>
          </w:p>
        </w:tc>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Location</w:t>
            </w: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4"/>
        </w:trPr>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Muncie, Indiana</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1208 W White River Boulevard</w:t>
            </w:r>
          </w:p>
        </w:tc>
      </w:tr>
      <w:tr>
        <w:trPr>
          <w:trHeight w:val="243"/>
        </w:trPr>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Bryan, Ohio</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206 W High Street</w:t>
            </w:r>
          </w:p>
        </w:tc>
      </w:tr>
      <w:tr>
        <w:trPr>
          <w:trHeight w:val="243"/>
        </w:trPr>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West Bloomfield, Michigan</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7031 Orchard Lake Road</w:t>
            </w:r>
          </w:p>
        </w:tc>
      </w:tr>
      <w:tr>
        <w:trPr>
          <w:trHeight w:val="243"/>
        </w:trPr>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Perrysburg, Ohio</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5203 Levis Commons Boulevard</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Insurance agency operates from our principal office at 307 North Defiance Street; Archbold, OH 43502.</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580"/>
        <w:spacing w:after="0" w:line="450"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ITEM 5. MARKET FOR REGISTRANT'S COMMON EQUITY AND RELATED STOCKHOLDER MATTERS </w:t>
      </w:r>
      <w:r>
        <w:rPr>
          <w:rFonts w:ascii="Times New Roman" w:cs="Times New Roman" w:eastAsia="Times New Roman" w:hAnsi="Times New Roman"/>
          <w:sz w:val="17"/>
          <w:szCs w:val="17"/>
          <w:color w:val="auto"/>
        </w:rPr>
        <w:t>The Company’s common stock is listed on the NASDAQ Stock Market LLC under the trading symbol “FMAO.”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Computershare as its transfer agent.</w:t>
      </w:r>
    </w:p>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1,903 record holders of our common stock of which 52.65% of the outstanding shares are being held in brokerage accounts or “street name” and only considered as one record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declared and paid quarterly. Per share dividends declared for the years ended 2023 and 2022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1st Quarter</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2nd Quarter</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3rd Quarter</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4th Quarter</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jc w:val="right"/>
              <w:ind w:right="331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0.8500</w:t>
            </w:r>
          </w:p>
        </w:tc>
        <w:tc>
          <w:tcPr>
            <w:tcW w:w="100" w:type="dxa"/>
            <w:vAlign w:val="bottom"/>
            <w:shd w:val="clear" w:color="auto" w:fill="CFF0FC"/>
          </w:tcPr>
          <w:p>
            <w:pPr>
              <w:spacing w:after="0"/>
              <w:rPr>
                <w:sz w:val="21"/>
                <w:szCs w:val="21"/>
                <w:color w:val="auto"/>
              </w:rPr>
            </w:pPr>
          </w:p>
        </w:tc>
      </w:tr>
      <w:tr>
        <w:trPr>
          <w:trHeight w:val="234"/>
        </w:trPr>
        <w:tc>
          <w:tcPr>
            <w:tcW w:w="378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0.1900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0.2025</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0.8125</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Dividends declared during 2023 were $0.85 per share totaling $11.5 million, 4.6% higher than 2022 declared dividends of $0.8125 per share. During 2023, the Company awarded 64,225 shares to 113 employees and 6,350 shares were forfeited under its long term incentive plan. At year-end 2023, the Company held 899,784 shares in Treasury stock and 151,350 in unearned stock awards.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Dividends declared during 2022 were $0.8125 per share totaling $10.6 million, 14.4% higher than 2021 declared dividends of $0.71 per share. During 2022, the Company awarded 56,496 shares to 109 employees and 8,000 shares were forfeited under its long term incentive plan. At year-end 2022, the Company held 956,003 shares in Treasury stock and 128,952 in unearned stock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to continue to maintain the payment of its quarterly dividend consistent with its past practices.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continues to have a strong capital base.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7560" w:type="dxa"/>
            <w:vAlign w:val="bottom"/>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I Leverage Ratio</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7.86 %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Based Capital Tier I</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10.29 %</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Risk Based Capital</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11.51 %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12.39 %</w:t>
            </w: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9.89 %</w:t>
            </w:r>
          </w:p>
        </w:tc>
      </w:tr>
      <w:tr>
        <w:trPr>
          <w:trHeight w:val="878"/>
        </w:trPr>
        <w:tc>
          <w:tcPr>
            <w:tcW w:w="7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305" w:right="279"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80" w:type="dxa"/>
            <w:vAlign w:val="bottom"/>
            <w:gridSpan w:val="6"/>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 of Publicly</w:t>
            </w: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Remaining Share</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 Number of</w:t>
            </w:r>
          </w:p>
        </w:tc>
        <w:tc>
          <w:tcPr>
            <w:tcW w:w="2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Price Paid</w:t>
            </w:r>
          </w:p>
        </w:tc>
        <w:tc>
          <w:tcPr>
            <w:tcW w:w="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Announced Plan or</w:t>
            </w:r>
          </w:p>
        </w:tc>
        <w:tc>
          <w:tcPr>
            <w:tcW w:w="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Repurchases</w:t>
            </w: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Shares Purchased</w:t>
            </w:r>
          </w:p>
        </w:tc>
        <w:tc>
          <w:tcPr>
            <w:tcW w:w="280" w:type="dxa"/>
            <w:vAlign w:val="bottom"/>
          </w:tcPr>
          <w:p>
            <w:pPr>
              <w:spacing w:after="0"/>
              <w:rPr>
                <w:sz w:val="18"/>
                <w:szCs w:val="18"/>
                <w:color w:val="auto"/>
              </w:rPr>
            </w:pP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per Share</w:t>
            </w:r>
          </w:p>
        </w:tc>
        <w:tc>
          <w:tcPr>
            <w:tcW w:w="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Programs</w:t>
            </w:r>
          </w:p>
        </w:tc>
        <w:tc>
          <w:tcPr>
            <w:tcW w:w="2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Authorization</w:t>
            </w: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10/1/2023</w:t>
            </w:r>
          </w:p>
        </w:tc>
        <w:tc>
          <w:tcPr>
            <w:tcW w:w="1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10/31/2023</w:t>
            </w:r>
          </w:p>
        </w:tc>
        <w:tc>
          <w:tcPr>
            <w:tcW w:w="1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11/1/2023</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w:t>
            </w:r>
          </w:p>
        </w:tc>
        <w:tc>
          <w:tcPr>
            <w:tcW w:w="2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vMerge w:val="continue"/>
          </w:tcPr>
          <w:p>
            <w:pPr>
              <w:spacing w:after="0"/>
              <w:rPr>
                <w:sz w:val="6"/>
                <w:szCs w:val="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940" w:type="dxa"/>
            <w:vAlign w:val="bottom"/>
            <w:gridSpan w:val="2"/>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vMerge w:val="continue"/>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11/30/2023</w:t>
            </w:r>
          </w:p>
        </w:tc>
        <w:tc>
          <w:tcPr>
            <w:tcW w:w="1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12/1/2023</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w:t>
            </w:r>
          </w:p>
        </w:tc>
        <w:tc>
          <w:tcPr>
            <w:tcW w:w="2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vMerge w:val="continue"/>
          </w:tcPr>
          <w:p>
            <w:pPr>
              <w:spacing w:after="0"/>
              <w:rPr>
                <w:sz w:val="6"/>
                <w:szCs w:val="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940" w:type="dxa"/>
            <w:vAlign w:val="bottom"/>
            <w:gridSpan w:val="2"/>
            <w:vMerge w:val="continue"/>
          </w:tcPr>
          <w:p>
            <w:pPr>
              <w:spacing w:after="0"/>
              <w:rPr>
                <w:sz w:val="20"/>
                <w:szCs w:val="20"/>
                <w:color w:val="auto"/>
              </w:rPr>
            </w:pPr>
          </w:p>
        </w:tc>
        <w:tc>
          <w:tcPr>
            <w:tcW w:w="2680" w:type="dxa"/>
            <w:vAlign w:val="bottom"/>
            <w:gridSpan w:val="2"/>
            <w:vMerge w:val="continue"/>
          </w:tcPr>
          <w:p>
            <w:pPr>
              <w:spacing w:after="0"/>
              <w:rPr>
                <w:sz w:val="20"/>
                <w:szCs w:val="20"/>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vMerge w:val="continue"/>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12/31/2023</w:t>
            </w:r>
          </w:p>
        </w:tc>
        <w:tc>
          <w:tcPr>
            <w:tcW w:w="114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3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-1319530</wp:posOffset>
            </wp:positionV>
            <wp:extent cx="64122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-668020</wp:posOffset>
            </wp:positionV>
            <wp:extent cx="641223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-170815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23" w:lineRule="auto"/>
        <w:tabs>
          <w:tab w:leader="none" w:pos="5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24, 2023. On that date, the Board of Directors authorized the repurchase of up to 650,000 common shares between January 24, 2023 and December 31, 2023.</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which were repurchased for taxes on vested stock awards are outside of this program.</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16, 2024, the Company announced the authorization by its Board of Directors for the Company’s repurchase, either on the open market, or in privately negotiated transactions, of up to 650,000 shares of its outstanding common stock commencing January 16, 2024 and ending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333" w:lineRule="exact"/>
        <w:rPr>
          <w:sz w:val="20"/>
          <w:szCs w:val="20"/>
          <w:color w:val="auto"/>
        </w:rPr>
      </w:pPr>
    </w:p>
    <w:p>
      <w:pPr>
        <w:ind w:right="122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color w:val="auto"/>
        </w:rPr>
        <w:t>Critical Accounting Policies and Estimates</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significant accounting policies followed by the Company are presented in Note 1 to the consolidated financial statements. These policies, along with the disclosures presented in the notes to the consolidated financial statements and in the management's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Credit Losses (ACL), the valuation of its Loan Servicing Rights (LSR), Other Real Estate Owned (OREO) and goodwill as the accounting areas that require the most subjective or complex judgments, and as such could be the most subject to revision as new information becomes available.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OREO, which is comprised of assets acquired by the Bank,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 The Bank did not have any OREO holdings as of December 31, 2023 and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represents management's estimate of credit losses inherent in the Bank's loan portfolio at the report date. The estimate is a composite of a variety of factors including experience, collateral value, and the general economy. The collection and ultimate recovery of the book value of the collateral, in most cases, is beyond our control.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required to estimate the value of its LSR. These rights are composed of servicing rights for 1-4 family real estate loans and agricultural real estate loans. The servicing rights, relating to fixed rate 1-4 family real estate loans and agricultural real estate loans that it has sold without recourse but services for others for a fee, represent an asset on the Company’s consolidated balance sheet. Loan servicing assets are initially recorded at fair value, based upon pricing multiples as determined by the purchaser, when the loans are sold. Loan servicing assets are carried at the lower of the initial carrying value, adjusted for amortization, or estimated fair value. Amortization is determined in proportion to and over the period of estimated net servicing income using the level yield method.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loan servicing rights relating to loans serviced for others represent an asset of the Company. This asset is initially capitalized and included on the Company’s consolidated balance sheets. The loan servicing rights are then amortized as noninterest expense in proportion to, and over the period of, the estimated future net servicing income of the underlying loan servicing rights. There are a number of factors that can affect the ultimate value of the loan servicing rights to the Company. The expected and actual rates of 1-4 family real estate loan and agricultural loan prepayments are the most significant factors driving the potential for the impairment of the value of loan servicing assets. Increases in loan prepayments reduce estimated future net servicing cash flows because the life of the underlying loan is reduced, meaning that the present value of the servicing rights is less than the carrying value of those rights on the Company's consolidated balance sheet. For example, if the loan is prepaid, the Company will receive fewer servicing fees, meaning that the present value of the loan servicing rights is less than the carrying value of those rights on the Company’s consolidated balance sheet. Therefore, in an attempt to reflect an accurate expected value to the Company of the loan servicing rights, the Company receives a valuation of its loan servicing rights from an independent third party. The Company utilizes separate third party vendors to value 1-4 family real estate loan servicing rights and agricultural loan servicing rights. The independent third party’s valuations of the loan servicing rights are based on relevant characteristics of the Company’s loan servicing portfolio, such as loan terms, interest rates and recent national prepayment experience, as well as current national market interest rate levels, market forecasts and other economic conditions. For purposes of determining impairment, the loan servicing assets are stratified into like groups based on loan type, term, new versus seasoned and interest rate. While the process is similar to the process for valuing 1-4 family real estate loan servicing rights, the agricultural real estate loan servicing valuation utilizes different strata, prepayment speeds and other assumptions in order to account for the differences in behavior between agricultural real estate loans and 1-4 family real estate loans. USDA rate indications, SBA market indications and Farmer Mac 3-month Cost of Funds Index adjustments are utilized in the quarterly valuation process. Management, with the advice from its third party valuation firms, reviews the assumptions related to prepayment speeds, discount rates, and capitalized loan servicing income on a quarterly basis.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are reflected in the following quarter’s analysis related to the loan servicing asset. In addition, based upon the independent third party’s valuations of the Company’s loan servicing rights, management then establishes a valuation allowance by each strata, if necessary, to quantify the likely impairment of the value of the loan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loan servicing rights based on market conditions. The accuracy of these estimates and assumptions by management and its third party can be directly tied back to the fact that management has only been required to record minor valuation allowances through its income statement based upon the valuation of each stratum of servicing rights.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estimates and calculations used to establish the ACL and the value of Loan Servicing Rights, please see Note 1 to the consolidated financial statements provided 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2023 in Review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2023 was a year of challenges and required additional resources with a shift in strategic thoughts and plans. The impact of the Federal Reserve raising of rates in 2022 and 2023, along with the bank failures in the first half of 2023, placed pressure on both the cost of funds gathering and liquidity. Net interest income was negatively impacted, by both these occurrences, as was the net interest margin that is used to measure it. The largest contributor to the decline was the cost of funds mentioned above aided by a substantial portion of the assets, specifically loans, not subject to repricing in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concerns took precedence in 2023 as loan growth continued to outpace new deposit generation. The Bank responded by organizing a deposit campaign with the goal of paying off brokered CDs and other term borrowings maturing in the fourth quarter of 2023. The Bank successfully raised an additional $100 million as evidenced on the balance sheet and accomplished the goal. The re-emergence of time deposits, Certificates of Deposit “CDs” as a larger portion of our deposits was a big piece of the growth as depositors chose to lock in higher rates. Money market accounts were also favored by depositors which contributed to the increased cost of funds.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entered into three interest rate hedges in the fourth quarter of 2023 to adjust interest rate treatment of $100 million of our fixed rate real estate loans into variable treatment. A sizable portion of the loans were acquired from our acquisitions over last few years. The interest rate swaps cover time periods of 3, 4 and 5 years out. (For additional detail on the loan pool and rate marks, please see Note 18 to the consolidated financial statements, Derivative Financial Instruments.)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loan growth remained strong throughout the year, weighed more heavily in the first half of the year. Increased rates naturally slowed the growth and the start of 2024 shows a decreased appetite for loans by both our customers and the Bank.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1-4 family real estate loans were also slowed by the increase in lending rates in 2023. More customers leaned towards the variable home equity product in the thought the rate increases would stop and begin moving down in the coming year. The lower origination levels are evident in the decreased gain on sale of loans in 2023 as compared to prior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consumer portfolio decreased by normal payment activity with limited new originations. Loan growth was focused elsewhere in 2023, so no promotions were conducted in the retail installment space. The sale and conversion of the Bank’s credit card portfolio which had been initiated in 2022 was completed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agricultural sector, in large, performed well in 2023. It was aided by strong yields in the grain crop harvest and median pricing. 2023 represented the third consecutive year for sound profitability. The Bank expanded the recording of loan servicing rights, adding those from the partial sale of agricultural fixed rate real estate loans into the secondary market. The establishment of the asset created revenue in 2023 and will be offset with the amortization thereof over the life of the loans. (See Note 7 to the consolidated financial statements, Servicing, for more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began the year planning for an investment in our future. Technology, strengthening back-office support and a new branding project were the focus. Additional expense in team members and restructuring departments has enabled us to be better positioned for integrating past growth and for the future. Much of the work in 2023 will bear fruit in 2024. At the heart of the technology focus was an evaluation of our core operating system. The Bank utilized a third party to assist with the project as this partnership is vital to our ability to offer innovative digital products and services. A 60 month contract was signed in December 2023. Additional reviews of our technology vendors and processes will continue in 2024 now that the core software has been determined. Providing better customer service through communication channels and creating cost savings will be paramount.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Along with the strengthening of back-office teams, the Bank opened four full-service retail offices in Ohio: Oxford and Downtown Toledo, Indiana: Downtown Fort Wayne and Michigan: Birmingham. The Bank looks forward to helping people live their best lives in those communities and expanding the relationships begun from loan originations as two of the communities were serviced by loan production offices “LPO” prior. Two LPOs were opened in 2023 in Bryan and Perrysburg, Ohio. Both freed office space in the retail offices in their same communities. All locations are leased premises.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Bank changed its branding during 2023, completing a multi-year project to bring our logo and brand forward and differentiate Farmers</w:t>
      </w:r>
    </w:p>
    <w:p>
      <w:pPr>
        <w:spacing w:after="0" w:line="27" w:lineRule="exact"/>
        <w:rPr>
          <w:sz w:val="20"/>
          <w:szCs w:val="20"/>
          <w:color w:val="auto"/>
        </w:rPr>
      </w:pPr>
    </w:p>
    <w:p>
      <w:pPr>
        <w:jc w:val="both"/>
        <w:ind w:firstLine="8"/>
        <w:spacing w:after="0" w:line="255" w:lineRule="auto"/>
        <w:tabs>
          <w:tab w:leader="none" w:pos="1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Merchants from the other similarly named 200+ financial institutions. We have long been shortened to F&amp;M when our mature markets talked to others about their bank. Now, we use it in our signage as F&amp;M Bank. The logo has also been modernized while still retaining the initials of F&amp;M in its design. Legally, our names remain the same.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the Company dissolved our subsidiary, Farmers &amp; Merchants Risk Management, Inc. This was done to mitigate the risk of an IRS ruling which would have enacted taxation of our captive insurance company with a 3 year look back period. The Company formed the captive for risk mitigation with insurance policies that provided pooled interests with other financial institutions along with less costly lower deductibles. In some instances, insurance coverage was put in place that was unavailable elsewhere when it was formed in 2014. The Company may form a new captive in the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proud of the accomplishments in 2023; it has been a remarkably busy year. Our team members were able to shift and focus on the unexpected challenges of the year. Credit quality remains strong and our team is prepared to adjust strategic focus in 2024, as necessary. The Company remains well capitalized and we continued our commitment to our shareholders by increasing our yearly declared dividends 4.62% over 2022’s, with the fourth quarter 2023 declaration. With a committed team and strong corporate infrastructure, we believe we are positioned for success in 2024 and the years to follow.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Changes in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discussion now centers on the individual line items of the Company's consolidated statement of income and their effect on net income. This section will focus on the most traditional source of revenue contributing to the profitability of the Company which is net interest income.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net interest spread.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largest factors of the reduced earnings for 2023 as compared to 2022 was the decrease in net interest income of $5.4 million. Increases in average balances and interest rates led to an increase in interest income of approximately $38.7 million which was absorbed by an increase in interest expense of $44.0 million. Loan interest and associated fee income increased $35.1 million as compared to the prior year with 54.2% of it driven by volume. The growth in average loan balances of $417.8 million over 2022 was 5.0% related to organic growth within the Bank's broader markets and 4.5% directly attributable to the Company's recent acquisitions. The Company’s loan portfolio is 31.6% variable with 24.9% of total loans repricing within the next twelve months. Average balances on the security portfolio decreased $28.6 million as compared to 2022 with an increase in interest income of $612 thousand. As securities matured, the balances were used to fund loan growth. During the first quarter of 2023, securities of $21.6 million with an annual yield of $274 thousand were swapped at a loss of $891 thousand with securities with an annual yield of $1.6 million. In 2023 with the higher interest rates, interest income on fed funds sold and interest bearing bank deposits generated an additional $3.0 million over 2022.</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2022's record earnings were primarily attributed to the $17.3 million improvement in net interest income as compared to 2021. Interest and fee income from loans were responsible for the improvement and increased $22.6 million in 2022 as compared to 2021 which included $4.5 million in loan interest and fee income from PPP loans. In 2022, the volume of loan growth, 21.4% organic and 5.1% attributed to acquisitions, was the largest contributing factor to the improved profitability. For 2021, the Company’s loan portfolio was 26.5% variable with 20.7% of total loans repricing within the next twelve months. The security portfolio increased $51.4 million in average during 2022 as compared to 2021 with associated interest income increasing $1.1 million over 2021. During 2021, cash funds from stimulus and acquisitions were placed in securities to earn a greater return. Beginning in March of 2022, the prime rate increased 25 basis points followed by a 50 basis point increase in May, four 75 basis point increases in June, July, September and November with a final 50 basis point increase in December to end the year at 7.50%. In 2023, there were four additional 25 basis point increases in February, March, May and July to the current prime rate of 8.50%. Overall, total interest income was $38.7 million higher for 2023 than 2022 on an additional $378.9 million in total average earning assets and was $24.3 million higher for 2022 than 2021 on an additional $511.4 million in total average earning assets.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(which includes deposit, federal funds purchased, securities sold under agreement to repurchase, borrowed funds and subordinated notes) increased from all interest bearing funding sources in 2023 over the time period of 2022 and 2022 over the time period of 2021. Average interest bearing liabilities increased $366.4 million over 2022 with an additional $44.0 million of interest expense while average interest bearing liabilities increased $414.2 million over 2021 with an additional $7.0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million of interest expense. Overall, the funding goal the last three years has been to grow core deposits. Two strategies have been employed through the years, one of allowing expensive time deposits to run off until needed for funding and secondly to offer new non-interest bearing deposit products. Both of these strategies were designed to assist in controlling interest expense in a rising rate environment. In 2023, liquidity needs and loan growth created the need to quickly generate deposits. The Bank raised $100 million through several deposit promotions during the last half of the year. Competition within the market areas forced us to increase rates for deposits in 2023 and 2022 while rates were lowered or remained flat in 2021 in response to the prime rate drop of 150 basis points in March 2020. Between 2022 and 2023, the prime rate increased 525 basis points. Average interest bearing deposits increased $230.4 million compared to 2022. During 2023, interest expense from deposits increased by $37.0 million from 2022 and 2022 increased by $4.5 million from 2021. The majority, approximately 95.5%, of the increased deposit expense of 2023 and 59.7%, of the increased expense of 2022 was influenced by rates rather than due to additional cost associated with deposit growth. Borrowed fund balances increased in 2023 and 2022 by $145.8 million and $44.9 million, respectively, as a means to fund the phenomenal loan growth which resulted in an additional interest expense of $6.7 million and $1.4 million, respectively. During 2021, the Company issued subordinated notes and incurred $1.1 million of interest expense in both 2023 and 2022. Refer to Note 10 of the Company’s consolidated financial statements for further discussion regarding subordinated notes.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interest expense totaled $58.4, $14.4 and $7.3 million for 2023, 2022 and 2021, respectively. The increased expense was approximately 87.2% attributable to the rising interest rate environment in 2023 as compared to 2022 and 43.2% attributable to the rising interest rate environment in 2022 as compared to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concludes the discussion by the independent components of the ratios. Now the discussion moves on to the percentages and the change in the net interest margin and spread.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Overall, we have seen a decrease in the net interest margin and spread comparing 2021 to 2023. The increased interest expense resulted in a decrease in interest margin of 60 basis points and interest spread of 99 basis points compared to the prior year due to the cost of funds increasing more than the increase in asset yield. Interest margin increased by 1 basis point while interest spread decreased by 5 basis points in 2022 as compared to 2021 with the increased cost of funds only being partly offset by the higher asset yields. For 2023, average loan balances increased $417.8 million over the prior year with increased interest income of $35.1 million. In 2023, the Bank was able to see the impact of rate increases with 45.8% of the increased interest income related to rate changes as presented in the below charts. Average balances of fed funds sold and interest bearing deposits with other institutions decreased $10.3 million; however, increased interest rates generated an additional $3.0 million in interest income over 2022. The overall asset yield for 2023 increased 80 basis points as compared to 2022. Looking at the components behind the change in net interest margin for 2022 as compared to 2021, increased average balances in loans of $551.6 million stands out. Loans acquired with the one acquisition in 2022 were $101.8 million. The additional revenue of $22.6 million that those balances were responsible for was the largest contributor to the increased interest income of $24.3 million. In 2022 and 2021, loan revenue was negatively impacted by the change in the interest rate. Roughly 26.5% of the Bank's loans are variable with the majority of those loans with floor rates that had attained the point where rate increases would cause to go above the floor. As mentioned previously, 2022 had seven rate increases totaling 425 basis points. The large revenue gain in loan interest was aided by the increased earnings in securities of $1.1 million. Average balances of fed funds sold and interest bearing deposits decreased in average balances by $91.7 million as the funds were used for loan growth. The overall asset yield in 2022 increased by 26 basis points over 2021.</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2023, interest expense continued to increase and was 306.7% higher than 2022 and was 87.2% impacted by changes in interest rates. Competition for deposits was extremely high and rate shopping between financial institutions was apparent. The Company’s goal is to increase core deposits which includes savings deposits and non-interest bearing demand deposits which increased $41.0 and $13.4 million in average balances, respectively as compared to 2022. In 2023, the Company ran several time deposit promotions which resulted in increased average balances of $189.4 million. The increased interest expense in 2023 for savings deposits and time deposits accounted for 84.1% of the total interest expense increase. Overall, cost of funds increased 179 basis points or 241.9% over 2022 with only 12.8% due to volume increases. The remaining 87.2% was related to changes in interest rates as the prime rate increased 525 basis points between 2022 and 2023. The increased interest expense in 2022 correlated to a much higher rate environment in which competition for deposits forced higher interest rates as compared to 2021 while the decreased interest expense in 2021 correlated to a much lower rate environment. In the area where the strategic plan was to gather core deposits, the average balance in savings grew by $189.6 million during 2022 as compared to 2021’s average balance. Interest bearing deposits acquired with the one acquisition were $104.7 million. The other average balance increase for core deposits was the change in non-interest bearing demand deposits. 2022’s average balance in this portfolio was $79.6 million higher than 2021’s average balance. Non-interest bearing demand deposits acquired with the one acquisition were $7.1 million. Overall, cost of funds increased 26 basis points for 2022 over 2021. The reason behind the increase was 43.2% due to rate increases and 56.8% due to volume increases.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In comparing 2023 to 2022, net interest margin was 2.72% which decreased 60 basis points while net interest spread decreased 99 basis points to 2.14%. Loan volume accounted for $35.1 million or 90.7% of the increased interest income with an increased asset yield of 64 basis points. The asset yield on fed funds sold and interest bearing deposits increased 361 basis points year over year. Total asset yield increased 80 basis points while total cost of funds increased 179 basis points, creating the 99 basis point difference in spread. Overall yield improves when the balances of the highest yielding asset, which is loans, increases. Loans as a percentage of earning assets was 83.2% while loans to total assets was 78.0% for 2023. The goal is, as always, to improve the net interest margin and spread and thereby improve profitability.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interest margin for 2022 was 3.32% compared to 2021 which was 3.31%. The 0.01% increase for 2022 was related to the increased interest income which was greater than the increased interest expense. Net interest spread was 3.13% for 2022 compared to 2021’s 3.18%, creating a 5 basis point difference in the spread. Loans as a percentage of earning assets was 79.2% while loans to total assets was 74.7% for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always prefer to see improvement in real dollars over percentages. The strategy for increasing core deposits, in order to mitigate the higher cost of funds and to continue the opportunity for fee dollars from services provided, is a top focus for 2024.</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assets of the Company increased overall as did the earning assets in both average and year-end during 2023 and 2022. This matched the increase in interest dollars. The percentage of average earning assets to total average assets reflects the best utilization of funds. For 2023, the percentage at 93.80% was slightly lower than 2022 at 94.29%. The addition of new offices increased the non-earning assets with cash balances held at the new offices and also the investment in the capital assets of their building and furniture. One of the things that helped to improve the profitability of 2022 was the percentage of average loans to total assets. For 2023 the average balance of loans to total average assets was 78.02%, 74.73% for 2022 and 68.26% for 2021. Loans are the highest yielding asset for the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In a rising rate environment, the challenge is to hold the cost steady while allowing time for the asset portfolio to rise. Floors and ceilings on variable products also impact the level of increase in either scenario. The floors provide yield protection in a lower rate environment while the rising rates will not benefit the asset yield until the spread plus prime is higher than the floor. The challenge is to increase the spread during renewals and on new loans. After the rate hikes in 2022 and 2023, the majority of loans have increased over the floors.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terms of interest expense, 2023’s increase as compared to 2022 was approximately 87.2% due to the increase in rates. 2022’s increase was approximately 43.2% due to the increase in rates as compared to 2021.</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impact of the change in the portfolio mix was a factor in the liabilities as it was in the assets. In comparing to 2022, 2023 had increases in average balances of all interest bearing liabilities with the exception of fed funds purchased and securities sold under agreement to repurchase while 2022 as compared to 2021, had average balance increases in all categories. Refer to Note 10 for additional information on other borrowed money, which consists of both short and long term borrowings, and subordinated notes.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tables present net interest income, interest spread and net interest margin for the three years 2021 through 2023, comparing average outstanding balances of earning assets and interest bearing liabilities with the associated interest income and expense. The tables show the corresponding average rates of interest earned and paid. Average outstanding loan balances include non-performing loans, real estate loans held for sale and carrying value adjustments of $2.7 million related to interest rate swaps for 2023. Average outstanding security balances are computed based on carrying values including unrealized gains and losses on available-for-sale securities. The average cost of funds for 2023 was 2.53%, 179 basis points higher than 2022’s 0.74%.</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yield on tax-exempt investment securities shown in the following charts were computed on a tax equivalent basis. The yield on loans has also been tax adjusted for the portion of tax-exempt IDB loans included in the total. Total interest earning assets is therefore also reflecting a tax equivalent yield in both line items, also within the net interest spread and margin. The adjustments were based on a 21% tax rate for all years. The tax-exempt interest income was $590, $614 and $551 thousand for 2023, 2022 and 2021, respectively which resulted in a federal income tax savings of $124, $129 and $116 thousand,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Interest/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Dividends</w:t>
            </w:r>
          </w:p>
        </w:tc>
        <w:tc>
          <w:tcPr>
            <w:tcW w:w="160" w:type="dxa"/>
            <w:vAlign w:val="bottom"/>
          </w:tcPr>
          <w:p>
            <w:pPr>
              <w:spacing w:after="0"/>
              <w:rPr>
                <w:sz w:val="21"/>
                <w:szCs w:val="21"/>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Yield/Rate</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2,491,502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129,344</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5.19 %</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sold &amp; other</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85,018</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4.58 %</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Earning Assets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2,995,630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139,808</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Earning Assets:</w:t>
            </w: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40,021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3,193,356</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28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deposits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1,376,318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27,424</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time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640,390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19,499</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borrowed money</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8,876</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0" w:type="dxa"/>
            <w:vAlign w:val="bottom"/>
          </w:tcPr>
          <w:p>
            <w:pPr>
              <w:spacing w:after="0"/>
              <w:rPr>
                <w:sz w:val="1"/>
                <w:szCs w:val="1"/>
                <w:color w:val="auto"/>
              </w:rPr>
            </w:pPr>
          </w:p>
        </w:tc>
      </w:tr>
      <w:tr>
        <w:trPr>
          <w:trHeight w:val="222"/>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securities sold under</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agreement to repurchase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notes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Bearing Liabilities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2,306,944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58,411</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Bearing Liabilities:</w:t>
            </w: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Non-interest bearing demand deposits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493,820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2,887,875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3,193,356</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Interest/Dividend income/yield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139,808</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Expense/cost</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58,411</w:t>
            </w:r>
          </w:p>
        </w:tc>
        <w:tc>
          <w:tcPr>
            <w:tcW w:w="1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0" w:type="dxa"/>
            <w:vAlign w:val="bottom"/>
          </w:tcPr>
          <w:p>
            <w:pPr>
              <w:spacing w:after="0"/>
              <w:rPr>
                <w:sz w:val="1"/>
                <w:szCs w:val="1"/>
                <w:color w:val="auto"/>
              </w:rPr>
            </w:pPr>
          </w:p>
        </w:tc>
      </w:tr>
      <w:tr>
        <w:trPr>
          <w:trHeight w:val="33"/>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81,397</w:t>
            </w:r>
          </w:p>
        </w:tc>
        <w:tc>
          <w:tcPr>
            <w:tcW w:w="1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-4276725</wp:posOffset>
            </wp:positionV>
            <wp:extent cx="570039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-3985260</wp:posOffset>
            </wp:positionV>
            <wp:extent cx="57003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-2459355</wp:posOffset>
            </wp:positionV>
            <wp:extent cx="570039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-2167890</wp:posOffset>
            </wp:positionV>
            <wp:extent cx="5700395"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-3685540</wp:posOffset>
            </wp:positionV>
            <wp:extent cx="570039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-2922270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-2905125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-1739265</wp:posOffset>
            </wp:positionV>
            <wp:extent cx="570039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-976630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-668020</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-650875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-496570</wp:posOffset>
            </wp:positionV>
            <wp:extent cx="570039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-170815</wp:posOffset>
            </wp:positionV>
            <wp:extent cx="570039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1001" w:right="139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Balance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Dividends</w:t>
            </w:r>
          </w:p>
        </w:tc>
        <w:tc>
          <w:tcPr>
            <w:tcW w:w="180" w:type="dxa"/>
            <w:vAlign w:val="bottom"/>
          </w:tcPr>
          <w:p>
            <w:pPr>
              <w:spacing w:after="0"/>
              <w:rPr>
                <w:sz w:val="21"/>
                <w:szCs w:val="21"/>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Yield/Rate</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2,073,737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94,264</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4.55 %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sold &amp; other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95,301</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0.97 %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Earning Assets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2,616,739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101,149</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Earning Assets:</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2,775,100</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deposits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1,335,271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0.48 %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time deposits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0.78 %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borrowed money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222"/>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securities sold under</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agreement to repurchase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notes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34,524</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Bearing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1,940,501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0.74 %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Bearing Liabilities:</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Non-interest bearing demand deposits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480,389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2,487,232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2,775,100</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Interest/Dividend income/yield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101,149</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Expense/cost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0.74 %</w:t>
            </w:r>
          </w:p>
        </w:tc>
        <w:tc>
          <w:tcPr>
            <w:tcW w:w="0" w:type="dxa"/>
            <w:vAlign w:val="bottom"/>
          </w:tcPr>
          <w:p>
            <w:pPr>
              <w:spacing w:after="0"/>
              <w:rPr>
                <w:sz w:val="1"/>
                <w:szCs w:val="1"/>
                <w:color w:val="auto"/>
              </w:rPr>
            </w:pPr>
          </w:p>
        </w:tc>
      </w:tr>
      <w:tr>
        <w:trPr>
          <w:trHeight w:val="33"/>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86,787</w:t>
            </w: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-4276725</wp:posOffset>
            </wp:positionV>
            <wp:extent cx="570039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-3985260</wp:posOffset>
            </wp:positionV>
            <wp:extent cx="570039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-2459355</wp:posOffset>
            </wp:positionV>
            <wp:extent cx="570039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-2167890</wp:posOffset>
            </wp:positionV>
            <wp:extent cx="5700395"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-3685540</wp:posOffset>
            </wp:positionV>
            <wp:extent cx="570039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-2922270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-2905125</wp:posOffset>
            </wp:positionV>
            <wp:extent cx="59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-1739265</wp:posOffset>
            </wp:positionV>
            <wp:extent cx="570039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-976630</wp:posOffset>
            </wp:positionV>
            <wp:extent cx="59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-668020</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-650875</wp:posOffset>
            </wp:positionV>
            <wp:extent cx="59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-496570</wp:posOffset>
            </wp:positionV>
            <wp:extent cx="570039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-170815</wp:posOffset>
            </wp:positionV>
            <wp:extent cx="570039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1001" w:right="1399" w:bottom="1440" w:gutter="0" w:footer="0" w:header="0"/>
        </w:sectPr>
      </w:pPr>
    </w:p>
    <w:bookmarkStart w:id="29" w:name="page30"/>
    <w:bookmarkEnd w:id="29"/>
    <w:tbl>
      <w:tblPr>
        <w:tblLayout w:type="fixed"/>
        <w:tblInd w:w="114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Balance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Dividends</w:t>
            </w:r>
          </w:p>
        </w:tc>
        <w:tc>
          <w:tcPr>
            <w:tcW w:w="180" w:type="dxa"/>
            <w:vAlign w:val="bottom"/>
          </w:tcPr>
          <w:p>
            <w:pPr>
              <w:spacing w:after="0"/>
              <w:rPr>
                <w:sz w:val="21"/>
                <w:szCs w:val="21"/>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Yield/Rate</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1,522,088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71,645</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sold &amp; interest bearing deposits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187,003</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Earning Assets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2,105,343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76,840</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Earning Assets:</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31,829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2,229,992</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06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deposits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1,145,636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0.22 %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time deposits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0.96 %</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borrowed money</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0" w:type="dxa"/>
            <w:vAlign w:val="bottom"/>
          </w:tcPr>
          <w:p>
            <w:pPr>
              <w:spacing w:after="0"/>
              <w:rPr>
                <w:sz w:val="1"/>
                <w:szCs w:val="1"/>
                <w:color w:val="auto"/>
              </w:rPr>
            </w:pPr>
          </w:p>
        </w:tc>
      </w:tr>
      <w:tr>
        <w:trPr>
          <w:trHeight w:val="222"/>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securities sold under</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agreement to repurchase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notes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14,777</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Bearing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1,526,323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0.48 %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Bearing Liabilities:</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Non-interest bearing demand deposits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400,801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1,971,467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2,229,992</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Interest/Dividend income/yield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76,840</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Expense/cost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0.48 %</w:t>
            </w:r>
          </w:p>
        </w:tc>
        <w:tc>
          <w:tcPr>
            <w:tcW w:w="0" w:type="dxa"/>
            <w:vAlign w:val="bottom"/>
          </w:tcPr>
          <w:p>
            <w:pPr>
              <w:spacing w:after="0"/>
              <w:rPr>
                <w:sz w:val="1"/>
                <w:szCs w:val="1"/>
                <w:color w:val="auto"/>
              </w:rPr>
            </w:pPr>
          </w:p>
        </w:tc>
      </w:tr>
      <w:tr>
        <w:trPr>
          <w:trHeight w:val="33"/>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69,498</w:t>
            </w: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-4276725</wp:posOffset>
            </wp:positionV>
            <wp:extent cx="570039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-3985895</wp:posOffset>
            </wp:positionV>
            <wp:extent cx="570039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-2459355</wp:posOffset>
            </wp:positionV>
            <wp:extent cx="570039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-2168525</wp:posOffset>
            </wp:positionV>
            <wp:extent cx="5700395"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-3685540</wp:posOffset>
            </wp:positionV>
            <wp:extent cx="570039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-2922270</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-2905760</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-1739900</wp:posOffset>
            </wp:positionV>
            <wp:extent cx="570039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-976630</wp:posOffset>
            </wp:positionV>
            <wp:extent cx="59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-668020</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-650875</wp:posOffset>
            </wp:positionV>
            <wp:extent cx="59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570039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1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2023 vs 2022</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Change Due</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to</w:t>
            </w:r>
          </w:p>
        </w:tc>
        <w:tc>
          <w:tcPr>
            <w:tcW w:w="22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Volume</w:t>
            </w:r>
          </w:p>
        </w:tc>
        <w:tc>
          <w:tcPr>
            <w:tcW w:w="220" w:type="dxa"/>
            <w:vAlign w:val="bottom"/>
          </w:tcPr>
          <w:p>
            <w:pPr>
              <w:spacing w:after="0"/>
              <w:rPr>
                <w:sz w:val="21"/>
                <w:szCs w:val="2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Rate</w:t>
            </w: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4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(395 )</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funds sold &amp; other</w:t>
            </w: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4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20,127</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funds purchased and securities sold</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 agreement to repurchase</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(261 )</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Bearing Liabilities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44,049</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-2005330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-2005330</wp:posOffset>
            </wp:positionV>
            <wp:extent cx="59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-2005330</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-599440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-599440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-599440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1" w:right="359" w:bottom="622" w:gutter="0" w:footer="0" w:header="0"/>
        </w:sectPr>
      </w:pPr>
    </w:p>
    <w:bookmarkStart w:id="30" w:name="page31"/>
    <w:bookmarkEnd w:id="30"/>
    <w:tbl>
      <w:tblPr>
        <w:tblLayout w:type="fixed"/>
        <w:tblInd w:w="114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2022 vs 2021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Change Due</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to</w:t>
            </w:r>
          </w:p>
        </w:tc>
        <w:tc>
          <w:tcPr>
            <w:tcW w:w="220" w:type="dxa"/>
            <w:vAlign w:val="bottom"/>
          </w:tcPr>
          <w:p>
            <w:pPr>
              <w:spacing w:after="0"/>
              <w:rPr>
                <w:sz w:val="20"/>
                <w:szCs w:val="20"/>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w:t>
            </w:r>
          </w:p>
        </w:tc>
      </w:tr>
      <w:tr>
        <w:trPr>
          <w:trHeight w:val="250"/>
        </w:trPr>
        <w:tc>
          <w:tcPr>
            <w:tcW w:w="5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Volume</w:t>
            </w:r>
          </w:p>
        </w:tc>
        <w:tc>
          <w:tcPr>
            <w:tcW w:w="220" w:type="dxa"/>
            <w:vAlign w:val="bottom"/>
          </w:tcPr>
          <w:p>
            <w:pPr>
              <w:spacing w:after="0"/>
              <w:rPr>
                <w:sz w:val="21"/>
                <w:szCs w:val="21"/>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Rate</w:t>
            </w: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(3,369 )</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(104 )</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funds sold &amp; interest bearing deposits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(174 )</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FF0FC"/>
          </w:tcPr>
          <w:p>
            <w:pPr>
              <w:spacing w:after="0"/>
              <w:rPr>
                <w:sz w:val="21"/>
                <w:szCs w:val="2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(2,174 )</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1"/>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(836 )</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21"/>
                <w:szCs w:val="21"/>
                <w:color w:val="auto"/>
              </w:rPr>
            </w:pPr>
          </w:p>
        </w:tc>
      </w:tr>
      <w:tr>
        <w:trPr>
          <w:trHeight w:val="211"/>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funds purchased and securities sold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 agreement to repurchase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r>
      <w:tr>
        <w:trPr>
          <w:trHeight w:val="250"/>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r>
      <w:tr>
        <w:trPr>
          <w:trHeight w:val="237"/>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Interest Bearing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Borders>
              <w:top w:val="single" w:sz="8" w:color="CFF0FC"/>
            </w:tcBorders>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-1593850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now focuses on the noninterest income and expense generated by the Company for the years ended 2021 through 2023. For 2023, noninterest income was $16.0 million an increase of 3.2% over 2022. Noninterest income decreased to $15.5 million, or 11.8% in total for 2022 as compared to 2021 which ended at $17.6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service charges and fees increased $2.4 million during 2023 as compared to 2022. The establishment of agricultural real estate servicing rights during 2023 recognized $2.3 million of service charge income that was not present in prior years. Overdraft, returned check charges and recurring overdraft fees also increased during 2023 as compared to 2022. Customer service fees decreased $366 thousand during 2023 as compared to 2022. Decreased fee income from credit cards was the largest factor for the decrease. 2022 customer service fee revenue was $287 thousand higher than 2021, mostly due to increased credit card income.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two line items of noninterest income on the consolidated income statement for 2022 which improved over 2021 were customer service fee revenue and other service charges and fees. 2022 customer service fee revenue was $287 thousand higher than 2021, mostly due to increased credit card income. The increase of other service charges and fees in 2022 was attributed to overdraft, returned check charges and recurring overdraft fees from combined business accounts and consumer accounts. Upgrades to our digital products and services continue to occur in both retail and business lines.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has long promoted the use of debit cards by its customers and continues to build on that philosophy with the introduction of new products. Interchange revenue and fees collected on foreign ATM usage (noncustomers utilizing our ATMs) increased $323 thousand to $5.3 million during 2023 as compared to 2022. During 2022 the Bank collected interchange revenue, combined with fees collected on foreign ATM usage, of $5.0 million which was $149.3 thousand higher than 2021. 2023 included a Mastercard growth credit of $196.3 thousand. For 2022, the Mastercard growth credit was $188 thousand and $151 thousand for 2021. In December of 2019, the Bank became a principal with MasterCard and received a $1.75 million signing bonus. The signing bonus is based on achieving $1.1 billion in signature transactions over five years. The bonus is being recognized over 60 months with $350.8 thousand included in 2023, 2022 and 2021’s $5.3 million, $5.0 million and $4.8 million, respectively. While this revenue stream continues to improve with more depositors using electronic methods for purchasing, the expense attributable to card fraud has offset a portion of the revenue gain. Further discussion can be found in the noninterest expense section regarding the net effect of debit card activity.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has seen a decrease in its mortgage production volume and the corresponding gains on the sale of these loans. Loan originations driven by refinance activity have decreased with the higher interest rates in 2023. Noninterest income from net gain on sales of loans was the highest in 2021 of the three year periods shown. Net gain on sales of loans was $699 thousand, $1.4 million and $3.9 million respectively in 2023, 2022 and 2021. The net gain on sale of loans is derived from sales of real estate loans into the secondary market. Of these loan types, the Bank sells 100% of the residential loans and 90% of the agricultural loans. 84.3% of the gains were attributed to the residential loans in 2023, 37.6% in 2022 and 47.4% in 2021. In conjunction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sales, the Bank maintains servicing rights. The income from one to four mortgage servicing rights was $415 thousand, $537 thousand and $1.4 million for 2023, 2022 and 2021 respectively. Agriculture mortgage servicing rights were $2.3 million in 2023.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last item in the noninterest income section is the net gain or loss of sale of investments. During the first quarter of 2023, securities were swapped at a loss of $891 thousand with securities with a higher annual yield. The loss was recouped by the higher yield during the first eight months of 2023. The Bank did not sell any securities in 2022. The Bank had sold securities in 2021 for two main purposes: to provide funds for loan growth and to take advantage of the position of the yield curve when a gain can be recognized on sales without extending the duration of the portfolio longer than wanted. In March of 2021, the Company sold and recognized a gain on the sale of securities from the holding company of $293 thousand in preparation for the acquisition of Ossian State Bank. The available for sale security portfolio switched from an unrealized gain position in 2020 into an unrealized loss position in 2021 that continued through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Noninterest expense increased 17.6% in 2023 as compared to 2022 and was preceded by a 5.7% increase in 2022 as compared to 2021. Represented in dollars, 2023 was $10.1 million higher than 2022 and 2022 was $3.1 million higher than 2021. Acquisition costs incurred in 2023 and 2022 totaled $207.6 thousand and $2.5 million, respectively with expenses being recorded in multiple line items. The largest factor behind the increase in both years was the expense of employee salaries and wages. During 2023, an additional $4.2 million was spent over 2022 which correlates to an 18.6% increase. When making the same analysis for 2022 as compared to 2021, 2022’s costs increased $2.5 million or 12.5%. Three main components flow into salaries and wages: base salary, deferred costs, and incentives comprised of the expense of restricted stock awards and performance incentives. 2023 saw an increase due to the investment in people for our strategic growth initiative and staffing of new offices. 2022 increased with the acquisition of Peoples Federal Savings and Loan offices. 2021 increased with the addition of one new office and the acquisition of Ossian State Bank and Perpetual Federal Savings Bank offices. Normal yearly increases to the employees would be included in all years. Base pay was up $4.7 million for 2023 over the previous year and 2022 was up $2.7 million over 2021. The full time equivalent number of employees at each year-end increased to 456 for 2023, to 431 for 2022 compared to 2021’s 385.</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Incentive pay as it relates to performance was down $1.7 million in 2023 over 2022 and up $464.1 thousand in 2022 over 2021. The Return on Assets multiple used to award incentive pay decreased in 2023 to 0.36 compared to 1.196 in 2022 and 1.165 in 2021. In 2022 and 2021, acquisition costs were eliminated from the calculation. The expense for the restricted stock awards increased in 2023 due to more shares being granted to a slightly larger number of employees. 13,897 additional shares were awarded in 2023 with lower market values. The expense for 2023 increased by $381.8 thousand over 2022. The expense for the restricted stock awards increased in 2022 due to more shares being granted to a slightly larger number of employees and the market value of the shares increasing compared to 2021. 7,746 additional shares were awarded in 2022 with a higher value as compared to 2021. The expense for 2022 was higher by $77.4 thousand which included reduced expense due to retirement of $56.9 thousand as compared to 2021.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11 of the consolidated financial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 benefits expense increased in 2023 as compared to 2022. Employee group insurance accounted for the largest portion of the increase, which was an increase of $665.0 thousand over 2022. Acquisition related costs included in employee benefits expense were $143.9 thousand in 2023. The cost of the 401-K retirement plan decreased $215.7 thousand for 2023 as compared to 2022. The contribution portion relating to the discretionary profit-sharing percentage was 1.7% in 2023 compared to 5.5% in 2022. Overall, employee benefits increased $616.9 thousand or 8.9% from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 benefits expense decreased in 2022 as compared to 2021. Miscellaneous personnel expense accounted for the largest portion of the decrease, which was a decrease of $528.1 thousand over 2021. Acquisition related costs included in this line were $217.3 thousand. The cost of the 401-K retirement plan decreased $251.6 thousand for 2022 as compared to 2021. The contribution portion relating to the discretionary profit-sharing percentage was 5.5% in 2022 compared to 5.0% for 2021. Overall, employee benefits decreased $418.8 thousand or 5.7% from 2021.</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occupancy expense typically increases as the Company expands. Net occupancy expense increased for 2023 $1.3 million and increased $381.8 thousand in 2022. One factor that can offset occupancy expense is the receipt by the Company of building rent as it is netted out of occupancy expense. The greatest contributor to building rent comes from the division of FM Investments within the Bank. For 2023, building rent as generated from FM Investments decreased by $93.8 thousand. Rent is received in lieu of commissions. This revenue was able to partially offset increased building repair and maintenance expenses of $113.0 thousand and lease expense of $296.1 thousand and increased building depreciation expense of $367.3 thousand. Building rent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as generated by FM Investments was higher by $106.5 thousand in 2022 which offset building repair and maintenance expenses of $14.0 thousand. Net occupancy expense increased for 2022 $381.8 thousand over 2021.</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1-4 family real estate refinancing activity continued to decrease from 2022 with the increase in interest rates. 2020 accounted for the largest number of loans being closed in the Bank’s history. A correlating expense to that activity as it relates to loans sold to the secondary market, is the amortization of servicing rights. The amortization is the expense that offsets the income recognized when the loan is first made. Income is recorded when the real estate loan is first sold with servicing retained and is therefore recognized immediately.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Prior to 2023, servicing rights only included 1-4 family real estate loans. The establishment of agricultural real estate servicing rights, incorporated in the table below for 2023, included capitalized additions of $2.3 million and corresponding amortization of $123 thousand. For 2023, combined servicing rights yielded a net income of $2.1 million along with the establishment of a $7 thousand valuation allowance. 2022 had a net loss of $22 thousand which excluded the reversal of the $414 thousand valuation allowance established the prior year. The net income for 2021 was $251 thousand with a carrying value that was greater than the $3.2 million market value thus creating the need to establish a $414 thousand valuation allowance. Of course, the value (or income) of the servicing right when the loans are sold also impacts the net position. As of December 31, 2023, 3,749 1-4 family real estate loans and 593 agricultural loans are being serviced with corresponding balances of $367.8 million and $135.8 million, respectively. 2022 had 3,861 loans serviced with corresponding balances of $375.6 million. As of December 2021, 3,961 loans were being serviced with balances of $380.8 million. Refer to Note 7 for additional information on servicing rights.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servicing rights to both noninterest income and expense is shown in the following table:</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1"/>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shd w:val="clear" w:color="auto" w:fill="CFF0FC"/>
          </w:tcPr>
          <w:p>
            <w:pPr>
              <w:spacing w:after="0"/>
              <w:rPr>
                <w:sz w:val="20"/>
                <w:szCs w:val="20"/>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Additions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20"/>
                <w:szCs w:val="20"/>
                <w:color w:val="auto"/>
              </w:rPr>
            </w:pPr>
          </w:p>
        </w:tc>
      </w:tr>
      <w:tr>
        <w:trPr>
          <w:trHeight w:val="243"/>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(604 )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(1,166 )</w:t>
            </w:r>
          </w:p>
        </w:tc>
      </w:tr>
      <w:tr>
        <w:trPr>
          <w:trHeight w:val="237"/>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Borders>
              <w:top w:val="single" w:sz="8" w:color="CFF0FC"/>
            </w:tcBorders>
          </w:tcPr>
          <w:p>
            <w:pPr>
              <w:spacing w:after="0"/>
              <w:rPr>
                <w:sz w:val="20"/>
                <w:szCs w:val="20"/>
                <w:color w:val="auto"/>
              </w:rPr>
            </w:pPr>
          </w:p>
        </w:tc>
      </w:tr>
      <w:tr>
        <w:trPr>
          <w:trHeight w:val="243"/>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(414 )</w:t>
            </w:r>
          </w:p>
        </w:tc>
      </w:tr>
      <w:tr>
        <w:trPr>
          <w:trHeight w:val="241"/>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December 31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tcBorders>
              <w:top w:val="single" w:sz="8" w:color="CFF0FC"/>
            </w:tcBorders>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-505460</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-505460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-187960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-187960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Furniture and equipment steadily increase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Data processing costs were lower in 2023 as compared to 2022 by $808.3 thousand. Data processing costs were higher in 2022 as compared to 2021 by $454.2 thousand. Acquisition related data processing expense decreased $257.2 thousand in 2022 compared to 2021. As the pricing on many services is based on number of accounts which the Bank fully expects to increase with the growth from the newer offices and overall Bank growth, data processing costs are expected to increase.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ATM expense increased $394.1 thousand over 2022 while 2022 increased $371.2 thousand from 2021. Included in this line are the debit card fees incurred which offset the debit card income as discussed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FDIC assessment increased from 2022 due to an increased assessment base while 2022 decreased as compared to 2021 due to a decreased assessment rate. With continued growth, the assessment base increases which leads to a greater expense. 2023’s assessment was $1.1 million over 2022. The assessment for 2022 was down $168.3 thousand compared to 2021 as a result of the decreased assessment rate.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and public relations increased in 2023 by $960.8 thousand and increased in 2022 by $210.1 thousand. With the addition of new offices and our new logo launch, 2023 was expected to increase over 2022. 2022 saw the celebration and promotion of the Bank's 125th anniversary.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last line items with significant variation in noninterest expense to discuss is “consulting fees” and “other general and administrative.” Consulting fees decreased by $469.9 thousand in 2023 from 2022 and decreased $332.8 thousand in 2022 compared to 2021. Consulting expenses related to acquisitions were $542.9 thousand in 2022 and $892.1 thousand in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Acquisition expenses included in the other general and administrative line were $45.6 thousand for 2023 and $590.3 thousand for 2022. Credit card expense increased $458.6 thousand over 2022. The conversion of our credit card platform in 2023 included $108 thousand of scorecard conversion expense. This represented awards earned by customers that the Company paid to honor rather than allowing them to be lost in the conversion. Auditing and exam fees increased $124.4 thousand in 2023 over 2022 which included $33.6 thousand of acquisition expense and 2022 increased $103.1 thousand over 2021 which included $77.3 thousand of acquisition related costs. Legal expenses decreased in 2023 by $226.4 thousand which included $4.0 thousand of acquisition expense. In 2022, loan and collection expenses increased $287.0 thousand over 2021 and legal expenses decreased $223.3 thousand from 2021 of which $205.1 thousand of the decrease was acquisition related.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 expense decreased by $2.9 million for 2023 as compared to 2022 and increased by $1.2 million for 2022 as compared to 2021. The increase in provision expense for 2022 was attributed to the net charge-off activity and significant loan growth. Sustained strong asset quality kept the provision expense lower than the growth alone would have warranted. Management continues to monitor asset quality, making adjustments to the provision as necessary. The commercial and industrial portfolio had the highest level of charge-off activity in 2023, 2022 and 2021 at $565, $418 and $814 thousand, respectively. Net charge-offs in the commercial and industrial portfolio were $481, $325 and $557 thousand in 2023, 2022 and 2021, respectively. Total net charge-offs were $551, $529 and $874 thousand for 2023, 2022 and 2021,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(ACL) represents management’s estimate of probable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external, independent loan review of approximately 35% of its commercial and agricultural loan portfolio. Management in turn assesses the results from the reviews to make changes in internal risk ratings of loans and the related ACL.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probable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Construction &amp; Land Development, Multi-family real estate, Commercial &amp; Industrial, Farmland, Agriculture, Single Family real estate, Home Equity Lines of Credit,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Company’s loss history not being sufficient enough to predict future losses, the Company is utilizing peer data from a peer group of 307 banks in the region with asset sizes less than $5 billion.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Change in real GDP and National Unemployment is completed. Annual projections are broken down using a straight-line approach for quarterly changes.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to assess the general reserve on the loan portfolio.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 dependent loans are based on the expected shortfall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of the loan based on the discounted collateral value. This specific reserve portion of the ACL was $0.4 million at December 31, 2023, and $2.0 million at December 31, 2022.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in most estimates is imprecision. Bank regulatory agencies and external auditors periodically review the Bank’s methodology and adequacy of the ACL. Any required changes in the ACL or loan charge-offs by these agencies or auditors may have a material effect on the ACL. For more information regarding the estimates and calculations used to establish the ACL please see Note 1 to the consolidated financial statements provided herewith.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Watch list loan balances are comprised of loans graded 5-8. At year-end December 31, 2023, these loans totaled $104.9 million and were $44.9 million higher than December 31, 2022. Commercial real estate, agricultural real estate and commercial loans comprised $68.6 million, $17.5 million and $8.8 million of the watch list loans, respectively. Grade 5 increased $54.9 million in 2023 as compared to 2022 and Grade 6 decreased $10.4 million in the same comparison. Grade 7 increased $257 thousand over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year-end December 31, 2022, these loans totaled $60.0 million and were approximately $4.6 million higher than December 31, 2021. Grade 5 increased $2.6 million in 2022 as compared to 2021 and Grade 6 increased $2.0 million in the same comparison.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year-end December 31, 2021 these loans totaled $55.4 million and were $1.0 million lower than December 31, 2020. Grade 5 increased $4.4 million in 2021 as compared to 2020 and Grade 6 decreased by $4.3 million in the same comparison. Grade 7 decreased $1.1 million in 2021 as compared to 2020.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aggregate watch list loan balances, as of December 31, 2023, 75.8% of the watch list was classified as special mention, with an additional 23.8% classified as substandard and a small 0.2% or $257 thousand of the $104.9 million watch list was classified as doubtful.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of the $60.0 million watch list loans, 41.0% were classified as special mention and 59.0% were classified as substandard. At year-end 2021, of the $55.4 million watch list loans, 39.7% were classified as special mention and 60.3% were classified as substandard.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these fluctuations and the offset by loan growth during 2021 through 2023, the Bank’s ACL to outstanding loan coverage percentage changed to 0.97% as of December 31, 2023, 0.86% as of December 31, 2022 and 0.87% as of December 31, 2021. In addition, for 2023, 2022 and 2021, our allowance for credit losses does not include a $363 thousand, $785 thousand and $1.2 million credit mark associated with the Limberlost acquisition. For 2023, 2022 and 2021, our allowance for credit losses also does not include a $294 thousand, $480 thousand or $966 thousand credit mark associated with the Ossian acquisition. The credit mark not included in the allowance for credit losses associated with the Perpetual Federal Savings Bank acquisition for 2023, 2022 and 2021 was $2.8 million, $4.4 million and $5.5 million, respectively. 2023 and 2022 also include a $566 thousand and $798 thousand credit mark associated with the Peoples Federal Savings and Loan Bank acquisition. Together, all of the credit marks further support the current position of the ACL.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commercial and agricultural relationships with lines of credit greater than $100,000 and aggregate loan exposure greater than $250,000 are reviewed annually by the Bank’s Credit Department. All commercial and agricultural relationships with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debt only and aggregate loan exposure greater than $1,000,000 are also reviewed by the Bank’s Credit Department. These reviews are conducted to identify early signs of deterioration.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increased $5.7 million during 2023 which included an increase to the allowance for credit losses of $3.6 million and unfunded loan commitments of $904 thousand with the adoption of CECL. The ACL increased $4.3 million and $3.0 million during 2022 and 2021, respectively. December 31, 2021 had the lowest loans past due 30+ day percentage at 0.09% in the last ten years. December 31, 2020 and 2022 were at respectable lows of 0.29% and 0.26%. At December 31, 2023, the loans past due 30+ day percentage was slightly higher but still respectable at 0.45%.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Note 4 in the consolidated financial statement for additional tables regarding the composition of the ACL.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$2.4 million lower for 2023 than 2022 as result of approximately a $12.1 million decrease of pretax income. Effective tax rates were 19.63%, 19.67% and 20.35% for 2023, 2022 and 2021 respectively. The effect of tax-exempt interest from holding tax-exempt securities and Industrial Development Bonds (IDBs) was $149, $137 and $119 thousand for 2023, 2022 and 2021, respectively less the TEFRA adjustments of $20, $5 and $3 thousand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Changes in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shifts in the balance sheet during 2021 through 2023 have positioned the Company for continued improvement in profitability. On the asset side, interest income increased primarily from loan growth with funding for the increase provided by growth in core deposits, other time deposits and growth in other borrowings. The cost of funds beginning in 2022 has been impacted by the increase of both interest bearing liabilities, the pressure on rates from competition for funds and a rising rate environment. In 2023, the rate pressure from competition was extremely high with many depositors rate shopping. Going forward, there is a heightened focus on controlling the cost of funds. Loan growth contributed to an increase in profitability in 2021 through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earning assets increased in balances for all years during 2021 through 2023 with loan growth the primary factor for the increase.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CONSOLIDATED FINANCIAL DATA</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Consolidated Statement of Income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Summary of Income: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139,808</w:t>
            </w:r>
          </w:p>
        </w:tc>
        <w:tc>
          <w:tcPr>
            <w:tcW w:w="3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101,149</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76,840</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70,169</w:t>
            </w:r>
          </w:p>
        </w:tc>
        <w:tc>
          <w:tcPr>
            <w:tcW w:w="28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58,411</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Credit Losses - Loans*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 - Off Balance</w:t>
            </w: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6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Sheet Credit Exposures*</w:t>
            </w: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660" w:type="dxa"/>
            <w:vAlign w:val="bottom"/>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w:t>
            </w: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79,653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66,054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52,795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6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Credit Losses*</w:t>
            </w:r>
          </w:p>
        </w:tc>
        <w:tc>
          <w:tcPr>
            <w:tcW w:w="240" w:type="dxa"/>
            <w:vAlign w:val="bottom"/>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6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780" w:type="dxa"/>
            <w:vAlign w:val="bottom"/>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66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 (expense), net</w:t>
            </w: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(51,299 )</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(41,712 )</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(36,557 )</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(27,589 )</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(29,647 )</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28,354</w:t>
            </w:r>
          </w:p>
        </w:tc>
        <w:tc>
          <w:tcPr>
            <w:tcW w:w="3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40,475</w:t>
            </w: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29,497</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25,206</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22,787</w:t>
            </w:r>
          </w:p>
        </w:tc>
        <w:tc>
          <w:tcPr>
            <w:tcW w:w="3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32,515</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20,095</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18,402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 Share of Common Stock:</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Earnings per common share outstanding**</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Dividends</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0.8500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0.8125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0.7100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0.6600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outstanding, including participating</w:t>
            </w: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13,641,336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13,206,713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11,664,852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11,146,270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11,113,810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-2476500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-1028065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-1010920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-1028065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-1010920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-1028065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-1010920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-1028065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-1010920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-410845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-410845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-410845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-410845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2016-13 was adopted during the first quarter of 2023; therefore, 2019 through 2022 provision amounts reflect the incurred loss method.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weighted average number of shares outstanding.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Summary of Consolidated Balance Sheet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72"/>
        </w:trPr>
        <w:tc>
          <w:tcPr>
            <w:tcW w:w="4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3,283,229</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3,015,351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2,638,300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1,909,544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1,607,330</w:t>
            </w:r>
          </w:p>
        </w:tc>
        <w:tc>
          <w:tcPr>
            <w:tcW w:w="100" w:type="dxa"/>
            <w:vAlign w:val="bottom"/>
            <w:shd w:val="clear" w:color="auto" w:fill="CFF0FC"/>
          </w:tcPr>
          <w:p>
            <w:pPr>
              <w:spacing w:after="0"/>
              <w:rPr>
                <w:sz w:val="19"/>
                <w:szCs w:val="19"/>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2,556,167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2,336,074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1,841,177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1,289,318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1,211,771</w:t>
            </w:r>
          </w:p>
        </w:tc>
        <w:tc>
          <w:tcPr>
            <w:tcW w:w="100" w:type="dxa"/>
            <w:vAlign w:val="bottom"/>
          </w:tcPr>
          <w:p>
            <w:pPr>
              <w:spacing w:after="0"/>
              <w:rPr>
                <w:sz w:val="19"/>
                <w:szCs w:val="19"/>
                <w:color w:val="auto"/>
              </w:rPr>
            </w:pPr>
          </w:p>
        </w:tc>
      </w:tr>
      <w:tr>
        <w:trPr>
          <w:trHeight w:val="23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2,607,463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2,468,864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2,193,462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1,596,162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1,288,347</w:t>
            </w:r>
          </w:p>
        </w:tc>
        <w:tc>
          <w:tcPr>
            <w:tcW w:w="100" w:type="dxa"/>
            <w:vAlign w:val="bottom"/>
            <w:shd w:val="clear" w:color="auto" w:fill="CFF0FC"/>
          </w:tcPr>
          <w:p>
            <w:pPr>
              <w:spacing w:after="0"/>
              <w:rPr>
                <w:sz w:val="20"/>
                <w:szCs w:val="20"/>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230,258</w:t>
            </w:r>
          </w:p>
        </w:tc>
        <w:tc>
          <w:tcPr>
            <w:tcW w:w="10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Key Ratios</w:t>
            </w:r>
          </w:p>
        </w:tc>
        <w:tc>
          <w:tcPr>
            <w:tcW w:w="27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Return on average equity</w:t>
            </w:r>
          </w:p>
        </w:tc>
        <w:tc>
          <w:tcPr>
            <w:tcW w:w="27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7.46 %</w:t>
            </w: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11.30 %</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9.09 %</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8.38 %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8.26 %</w:t>
            </w:r>
          </w:p>
        </w:tc>
      </w:tr>
      <w:tr>
        <w:trPr>
          <w:trHeight w:val="229"/>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Return on average assets</w:t>
            </w:r>
          </w:p>
        </w:tc>
        <w:tc>
          <w:tcPr>
            <w:tcW w:w="27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0.71 %</w:t>
            </w: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1.17 %</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1.05 %</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1.14 %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30"/>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 to deposits</w:t>
            </w:r>
          </w:p>
        </w:tc>
        <w:tc>
          <w:tcPr>
            <w:tcW w:w="27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97.93 %</w:t>
            </w: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94.62 %</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83.94 %</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80.78 %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94.06 %</w:t>
            </w:r>
          </w:p>
        </w:tc>
      </w:tr>
      <w:tr>
        <w:trPr>
          <w:trHeight w:val="229"/>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to assets</w:t>
            </w:r>
          </w:p>
        </w:tc>
        <w:tc>
          <w:tcPr>
            <w:tcW w:w="27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9.64 %</w:t>
            </w: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9.89 %</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11.26 %</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13.05 %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14.33 %</w:t>
            </w:r>
          </w:p>
        </w:tc>
      </w:tr>
      <w:tr>
        <w:trPr>
          <w:trHeight w:val="230"/>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 payout</w:t>
            </w:r>
          </w:p>
        </w:tc>
        <w:tc>
          <w:tcPr>
            <w:tcW w:w="27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50.37 %</w:t>
            </w: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32.74 %</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35.08 %</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36.36 %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Bank uses Promontory’s ICS product which utilizes a nation-wide bank network to provide FDIC insurance coverage to the Bank’s depositors to protect balances over $250 thousand. The Bank is using the product to replace pledging securities for the Bank’s Ohio public customers and commercial sweep customers; thereby increasing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Bank’s security portfolio is categorized as available for sale and as such is recorded at market value.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05"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Our cash position increased with each of our recent acquisitions and the excess cash was partially invested in the security portfolio. Security balances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are summarized below:</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1"/>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80,270</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89,177</w:t>
            </w:r>
          </w:p>
        </w:tc>
        <w:tc>
          <w:tcPr>
            <w:tcW w:w="80" w:type="dxa"/>
            <w:vAlign w:val="bottom"/>
            <w:shd w:val="clear" w:color="auto" w:fill="CFF0FC"/>
          </w:tcPr>
          <w:p>
            <w:pPr>
              <w:spacing w:after="0"/>
              <w:rPr>
                <w:sz w:val="20"/>
                <w:szCs w:val="20"/>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156,886</w:t>
            </w:r>
          </w:p>
        </w:tc>
        <w:tc>
          <w:tcPr>
            <w:tcW w:w="80" w:type="dxa"/>
            <w:vAlign w:val="bottom"/>
          </w:tcPr>
          <w:p>
            <w:pPr>
              <w:spacing w:after="0"/>
              <w:rPr>
                <w:sz w:val="20"/>
                <w:szCs w:val="20"/>
                <w:color w:val="auto"/>
              </w:rPr>
            </w:pPr>
          </w:p>
        </w:tc>
      </w:tr>
      <w:tr>
        <w:trPr>
          <w:trHeight w:val="24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80" w:type="dxa"/>
            <w:vAlign w:val="bottom"/>
            <w:shd w:val="clear" w:color="auto" w:fill="CFF0FC"/>
          </w:tcPr>
          <w:p>
            <w:pPr>
              <w:spacing w:after="0"/>
              <w:rPr>
                <w:sz w:val="21"/>
                <w:szCs w:val="21"/>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65,941</w:t>
            </w:r>
          </w:p>
        </w:tc>
        <w:tc>
          <w:tcPr>
            <w:tcW w:w="80" w:type="dxa"/>
            <w:vAlign w:val="bottom"/>
          </w:tcPr>
          <w:p>
            <w:pPr>
              <w:spacing w:after="0"/>
              <w:rPr>
                <w:sz w:val="20"/>
                <w:szCs w:val="20"/>
                <w:color w:val="auto"/>
              </w:rPr>
            </w:pPr>
          </w:p>
        </w:tc>
      </w:tr>
      <w:tr>
        <w:trPr>
          <w:trHeight w:val="276"/>
        </w:trPr>
        <w:tc>
          <w:tcPr>
            <w:tcW w:w="44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390,789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429,931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maturities of investment securities as of December 31, 2023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Maturities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5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8"/>
              </w:rPr>
              <w:t>After One Year</w:t>
            </w:r>
          </w:p>
        </w:tc>
        <w:tc>
          <w:tcPr>
            <w:tcW w:w="160" w:type="dxa"/>
            <w:vAlign w:val="bottom"/>
          </w:tcPr>
          <w:p>
            <w:pPr>
              <w:spacing w:after="0"/>
              <w:rPr>
                <w:sz w:val="20"/>
                <w:szCs w:val="20"/>
                <w:color w:val="auto"/>
              </w:rPr>
            </w:pPr>
          </w:p>
        </w:tc>
      </w:tr>
      <w:tr>
        <w:trPr>
          <w:trHeight w:val="245"/>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Within One Year</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7"/>
              </w:rPr>
              <w:t>Within Five Years</w:t>
            </w:r>
          </w:p>
        </w:tc>
      </w:tr>
      <w:tr>
        <w:trPr>
          <w:trHeight w:val="237"/>
        </w:trPr>
        <w:tc>
          <w:tcPr>
            <w:tcW w:w="5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4"/>
              </w:rPr>
              <w:t>Yield</w:t>
            </w:r>
          </w:p>
        </w:tc>
        <w:tc>
          <w:tcPr>
            <w:tcW w:w="3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Yield</w:t>
            </w:r>
          </w:p>
        </w:tc>
        <w:tc>
          <w:tcPr>
            <w:tcW w:w="160" w:type="dxa"/>
            <w:vAlign w:val="bottom"/>
          </w:tcPr>
          <w:p>
            <w:pPr>
              <w:spacing w:after="0"/>
              <w:rPr>
                <w:sz w:val="20"/>
                <w:szCs w:val="20"/>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0.82 %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Taxable state and local governments</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1.20 %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702"/>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After Five Years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Within Ten Years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7"/>
              </w:rPr>
              <w:t>After Ten Years</w:t>
            </w:r>
          </w:p>
        </w:tc>
      </w:tr>
      <w:tr>
        <w:trPr>
          <w:trHeight w:val="237"/>
        </w:trPr>
        <w:tc>
          <w:tcPr>
            <w:tcW w:w="5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4"/>
              </w:rPr>
              <w:t>Yield</w:t>
            </w:r>
          </w:p>
        </w:tc>
        <w:tc>
          <w:tcPr>
            <w:tcW w:w="3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Yield</w:t>
            </w:r>
          </w:p>
        </w:tc>
        <w:tc>
          <w:tcPr>
            <w:tcW w:w="160" w:type="dxa"/>
            <w:vAlign w:val="bottom"/>
          </w:tcPr>
          <w:p>
            <w:pPr>
              <w:spacing w:after="0"/>
              <w:rPr>
                <w:sz w:val="20"/>
                <w:szCs w:val="20"/>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62,556</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3.69 %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Taxable state and local governments</w:t>
            </w: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24,654</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2.34 %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-2305050</wp:posOffset>
            </wp:positionV>
            <wp:extent cx="641223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-1996440</wp:posOffset>
            </wp:positionV>
            <wp:extent cx="641223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-1688465</wp:posOffset>
            </wp:positionV>
            <wp:extent cx="641223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-762635</wp:posOffset>
            </wp:positionV>
            <wp:extent cx="641223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 Bank also holds stock in the Federal Home Loan Bank of Cincinnati and Indianapolis at a cost of $14.8 million. This is required in order to obtain Federal Home Loan Bank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table shows the Bank’s gross loan portfolio, excluding loans held for sale, by category of loan as of December 31 of each year: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45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spacing w:after="0"/>
              <w:rPr>
                <w:sz w:val="17"/>
                <w:szCs w:val="17"/>
                <w:color w:val="auto"/>
              </w:rPr>
            </w:pPr>
          </w:p>
        </w:tc>
        <w:tc>
          <w:tcPr>
            <w:tcW w:w="88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CFF0FC"/>
          </w:tcPr>
          <w:p>
            <w:pPr>
              <w:spacing w:after="0"/>
              <w:rPr>
                <w:sz w:val="20"/>
                <w:szCs w:val="20"/>
                <w:color w:val="auto"/>
              </w:rPr>
            </w:pPr>
          </w:p>
        </w:tc>
        <w:tc>
          <w:tcPr>
            <w:tcW w:w="4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521,895</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395,873</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175,588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165,349</w:t>
            </w:r>
          </w:p>
        </w:tc>
        <w:tc>
          <w:tcPr>
            <w:tcW w:w="100" w:type="dxa"/>
            <w:vAlign w:val="bottom"/>
            <w:shd w:val="clear" w:color="auto" w:fill="CFF0FC"/>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199,105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132,560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111,820</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551,309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254,935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242,360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208,270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189,246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49,237</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45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2,580,674</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2,357,903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1,859,157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1,305,473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1,220,765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-187960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maturity of loans excluding fair value adjustments as of December 31, 2023:</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After One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After Five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Within</w:t>
            </w:r>
          </w:p>
        </w:tc>
        <w:tc>
          <w:tcPr>
            <w:tcW w:w="2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Year Within</w:t>
            </w:r>
          </w:p>
        </w:tc>
        <w:tc>
          <w:tcPr>
            <w:tcW w:w="2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Years Within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After</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7"/>
              </w:rPr>
              <w:t>One Year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6"/>
              </w:rPr>
              <w:t>Five Years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Fifteen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Fifteen</w:t>
            </w:r>
          </w:p>
        </w:tc>
        <w:tc>
          <w:tcPr>
            <w:tcW w:w="0" w:type="dxa"/>
            <w:vAlign w:val="bottom"/>
          </w:tcPr>
          <w:p>
            <w:pPr>
              <w:spacing w:after="0"/>
              <w:rPr>
                <w:sz w:val="1"/>
                <w:szCs w:val="1"/>
                <w:color w:val="auto"/>
              </w:rPr>
            </w:pPr>
          </w:p>
        </w:tc>
      </w:tr>
      <w:tr>
        <w:trPr>
          <w:trHeight w:val="126"/>
        </w:trPr>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Years</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157,139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619,438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103,806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632,515</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947,627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-187960</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-187960</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of loans excluding fair value adjustments due after one year which has either 1) predetermined interest rates (fixed) or 2) floating or adjustable interest rates (variable):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Fixed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Variable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Rate</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Rate</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487,984</w:t>
            </w:r>
          </w:p>
        </w:tc>
        <w:tc>
          <w:tcPr>
            <w:tcW w:w="4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513,595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223,870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1,016,254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212,433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1,228,687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145,756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157,615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1,988,730</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309,761</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2,298,491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-1242060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-1242060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-1242060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amortized cost of nonaccrual loans by class of loans as of December 31, 2023 and the recorded investment of nonaccrual, past due 90 days or more and still accruing loans, and accruing troubled debt restructurings as of December 31, 2022 through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Nonaccrual</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Loans Past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With No</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Due Over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Allowance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89 Days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for Credit Loss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Nonaccrual</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8"/>
              </w:rPr>
              <w:t>Still Accruing</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1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2020</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0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4,689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6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Modified loans for borrowers experiencing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1,184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financial difficulty, not included above</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gridSpan w:val="3"/>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gridSpan w:val="2"/>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0"/>
                <w:szCs w:val="20"/>
                <w:color w:val="auto"/>
              </w:rPr>
            </w:pPr>
          </w:p>
        </w:tc>
        <w:tc>
          <w:tcPr>
            <w:tcW w:w="17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5,873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-1567815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-1567815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loans may be classified as non-performing, some pay on a regular basis, and many continue to pay interest irregularly or at less than original contractual rates. Interest income that would have been recorded under the original terms of these loans would have aggregated $1.6 million for 2023, $157 thousand for 2022 and $502 thousand for 2021. Any collections of interest on nonaccrual loans are included in interest income when collected unless it is on a loan with expected credit loss and with a specific allocation. A collection of interest on a loan with an expected credit loss and with a specific allocation is applied to the loan balance to decrease the allocation. Total interest collections, whether on an accrued or cash basis, amounted to $43 thousand for 2023, $361 thousand for 2022 and $292 thousand for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placed on nonaccrual status in the event that the loan is in past due status for more than 90 days or payment in full of principal and interest is not expected. The Bank had nonaccrual loan balances of $22.4 million at December 31, 2023 compared to balances of $4.7 million and $8.1 million as of year-end 2022 and 2021. All of the balances of nonaccrual loans for the past three years were collaterally secured.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Bank had $102.8 million of loans which it considers to be “potential problem loans” in that the borrowers are experiencing financial difficulties which are not reflected in the table above. Commercial real estate, agricultural real estate, commercial and agricultural loans comprised $69.2 million, $18.7 million, $8.7 million and $6.2 million respectively. At December 31, 2022, the Bank had $60.0 million of these loans and at December 31, 2021, the Bank had $55.4 million of these loans. These loans are subject to constant management attention and are reviewed at least monthly. The amount of the potential problem loans was considered in management’s determination of the allowance for credit losses at December 31, 2023, 2022 and 2021.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extending credit to families, businesses and governments, banks accept a measure of risk against which an allowance for possible credit losses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Bank had loans outstanding to individuals and firms engaged in the various fields of agriculture in the amount of $132.6 million with an additional $223.8 million in agricultural real estate loans which compared to $128.7 and $220.9 million respectively as of December 31, 2022. The ratio of this segment of loans to the total loan portfolio is not considered unusual for a bank engaged in and servicing rural communities.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Bank had $357.3 thousand of its loans that were considered modified for borrowers experiencing financial difficulty, of which $254.8 thousand are included in nonaccrual loans. As of December 31, 2022, the Bank had $3.6 million of its loans that were classified as troubled debt restructurings, of which $2.5 million are included in nonaccrual loans. This compares to $7.6 million of troubled debt restructurings, of which $6.5 million are included in nonaccrual loans for 2021 and $6.5 million of troubled debt restructuring, of which $5.6 million are included in nonaccrual loans for 2020. Interest rate modification to reflect a decrease in market interest rates or maintain a relationship with the debtor, where the debtor is not experiencing financial difficulty and can obtain funding from other sources, is not considered a troubled debt restructuring.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Updated appraisals are required on all collateral dependent loans once they are deemed impaired. The Bank may also require an updated appraisal of a watch list loan which the Bank monitors under its loan policy. On a quarterly basis, Bank management reviews properties supporting asset dependent loans to consider market events that may indicate a change in value has occurred.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determine observable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as to value are addressed at that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Credit Analyst Department will meet to review all commercial credits either deemed to be impaired or on the Bank’s watch list. An external review by an independent firm of 35% of our larger credits is also completed annually.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of the Consolidated Financial Statements may also be reviewed for additional tables dealing with the Bank’s loans and ACL.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ASU 2016-13 on January 1, 2023, using the modified retrospective method for all financial assets measured at amortized cost and off-balance sheet credit exposures. ASU 2016-13 requires an expected credit losses approach, referred to as the Current Expected Credit Losses (CECL) approach to evaluating the allowance for credit losses. Results for reporting periods beginning after January 1, 2023 are presented under CECL while prior period amounts continue to be reported in accordance with the incurred loss accounting standards. The Company did not make any material changes to its business practices as a result of implementing the ASU.</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transition adjustment of the CECL adoption included an increase in the allowance for credit losses of $3.6 million, increase in the allowance for unfunded loan commitment and letters of credit of $0.9 million and a $3.4 million decrease to the retained earnings account to reflect the cumulative effect of adopting CECL on our consolidated balance sheets, with the $1.1 million tax impact portion being recorded as part of the deferred tax asset in other assets on our consolidated balance sheets. 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As presented in the table on the next page, charge-offs increased to $990 thousand for 2023. 57.1% of the charge-offs stemmed from the commercial and industrial portfolio. Charge-offs were $827 thousand for 2022, $1.3 million for 2021, preceded by $720 thousand for 2020 and $841thousand for 2019. Recoveries were $439 thousand in 2023 compared to $298, $458, $183 and $156 thousand for 2022, 2021, 2020 and 2019, respectively. The net charge-offs for the last five years were all under $900 thousand with 2021 the highest at $874 thousand and 2022 the lowest at $529 thousand.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controlled loan growth resulted in lower provision expense. Higher provision expense was used to fund the ACL for loan growth in 2022 and 2019. 2021 and 2020 had higher provision expense due to the uncertainty surrounding COVID-19 and its impact on individuals and businesses. Overall, the ACL increased from $7.2 million at year-end 2019 to $25.0 million at year-end 2023. After adding the allowance for unfunded loan commitments, the ACL ended 2023 at $27.2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allowance for credit losses for the years ended December 31, 2023, 2022, 2021, 2020 and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2,578,472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2,356,387</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1,857,419</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1,302,990</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1,218,999</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Daily average of outstanding loans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2,491,502</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2,073,737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1,522,088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1,313,675</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1,129,231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22,353</w:t>
            </w:r>
          </w:p>
        </w:tc>
        <w:tc>
          <w:tcPr>
            <w:tcW w:w="2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2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Allowance for Credit Losses - Jan 1</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16,242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 for accounting change (ASU 2016-13)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Loans Charged off:</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 Real Estate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Agricultural Real Estate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Agricultural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Loan Recoveries: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 Real Estate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Agricultural Real Estate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Agricultural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Charge-offs: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 Real Estate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(35 )</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Agricultural Real Estate</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(105 )</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Agricultural</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(10 )</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 provision for credit losses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 Dec 31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Allowance for Unfunded Loan</w:t>
            </w: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Commitments &amp; Letters of Credit - Dec 31</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Allowance for Credit Losses - Dec 31</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Net Charge-offs to Average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0.02 %</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0.03 %</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0.06 %</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0.04 %</w:t>
            </w:r>
          </w:p>
        </w:tc>
        <w:tc>
          <w:tcPr>
            <w:tcW w:w="240" w:type="dxa"/>
            <w:vAlign w:val="bottom"/>
          </w:tcPr>
          <w:p>
            <w:pPr>
              <w:spacing w:after="0"/>
              <w:rPr>
                <w:sz w:val="16"/>
                <w:szCs w:val="16"/>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0.06 %</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Loans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Nonaccrual Loans to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0.87 %</w:t>
            </w:r>
          </w:p>
        </w:tc>
        <w:tc>
          <w:tcPr>
            <w:tcW w:w="2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0.20 %</w:t>
            </w:r>
          </w:p>
        </w:tc>
        <w:tc>
          <w:tcPr>
            <w:tcW w:w="2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0.43 %</w:t>
            </w:r>
          </w:p>
        </w:tc>
        <w:tc>
          <w:tcPr>
            <w:tcW w:w="2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0.72 %</w:t>
            </w:r>
          </w:p>
        </w:tc>
        <w:tc>
          <w:tcPr>
            <w:tcW w:w="2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the Allowance for Credit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0.97 %</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0.86 %</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0.87 %</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1.05 %</w:t>
            </w:r>
          </w:p>
        </w:tc>
        <w:tc>
          <w:tcPr>
            <w:tcW w:w="240" w:type="dxa"/>
            <w:vAlign w:val="bottom"/>
          </w:tcPr>
          <w:p>
            <w:pPr>
              <w:spacing w:after="0"/>
              <w:rPr>
                <w:sz w:val="16"/>
                <w:szCs w:val="16"/>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0.59 %</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to Loans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the Allowance for Credit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111.95 %</w:t>
            </w:r>
          </w:p>
        </w:tc>
        <w:tc>
          <w:tcPr>
            <w:tcW w:w="260" w:type="dxa"/>
            <w:vAlign w:val="bottom"/>
          </w:tcPr>
          <w:p>
            <w:pPr>
              <w:spacing w:after="0"/>
              <w:rPr>
                <w:sz w:val="15"/>
                <w:szCs w:val="15"/>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273.67 %</w:t>
            </w:r>
          </w:p>
        </w:tc>
        <w:tc>
          <w:tcPr>
            <w:tcW w:w="24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201.11 %</w:t>
            </w:r>
          </w:p>
        </w:tc>
        <w:tc>
          <w:tcPr>
            <w:tcW w:w="24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145.47 %</w:t>
            </w:r>
          </w:p>
        </w:tc>
        <w:tc>
          <w:tcPr>
            <w:tcW w:w="240" w:type="dxa"/>
            <w:vAlign w:val="bottom"/>
          </w:tcPr>
          <w:p>
            <w:pPr>
              <w:spacing w:after="0"/>
              <w:rPr>
                <w:sz w:val="15"/>
                <w:szCs w:val="15"/>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209.70 %</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to Nonaccrual Loans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the Allowance for Credit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111.95 %</w:t>
            </w:r>
          </w:p>
        </w:tc>
        <w:tc>
          <w:tcPr>
            <w:tcW w:w="260" w:type="dxa"/>
            <w:vAlign w:val="bottom"/>
          </w:tcPr>
          <w:p>
            <w:pPr>
              <w:spacing w:after="0"/>
              <w:rPr>
                <w:sz w:val="15"/>
                <w:szCs w:val="15"/>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273.67 %</w:t>
            </w:r>
          </w:p>
        </w:tc>
        <w:tc>
          <w:tcPr>
            <w:tcW w:w="24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201.11 %</w:t>
            </w:r>
          </w:p>
        </w:tc>
        <w:tc>
          <w:tcPr>
            <w:tcW w:w="24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145.47 %</w:t>
            </w:r>
          </w:p>
        </w:tc>
        <w:tc>
          <w:tcPr>
            <w:tcW w:w="240" w:type="dxa"/>
            <w:vAlign w:val="bottom"/>
          </w:tcPr>
          <w:p>
            <w:pPr>
              <w:spacing w:after="0"/>
              <w:rPr>
                <w:sz w:val="15"/>
                <w:szCs w:val="15"/>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209.70 %</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to Nonperforming Loans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-6480175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-6463030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-6480175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-6463030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-6480175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-6463030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-6480175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-6463030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-6480175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-6463030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-4679950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-4679950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-4679950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-4679950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-3496945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-3496945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-3496945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-3496945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-2313940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-2313940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-2313940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-2313940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-1447800</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-1447800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-1447800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-1447800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274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74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loans at December 31, 2023 within this chart does not include a fair value basis adjustment for derivatives of $2.7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2016-13 was adopted during the first quarter of 2023; therefore, 2019 through 2022 provision amounts reflect the incurred loss method.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1"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Allocation of ACL per Loan Category in terms of dollars and percentage of loans in each category to total loans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2021</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2020</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940" w:type="dxa"/>
            <w:vAlign w:val="bottom"/>
            <w:gridSpan w:val="4"/>
          </w:tcPr>
          <w:p>
            <w:pPr>
              <w:jc w:val="center"/>
              <w:ind w:right="40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4"/>
          </w:tcPr>
          <w:p>
            <w:pPr>
              <w:jc w:val="center"/>
              <w:ind w:right="40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9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w w:val="99"/>
              </w:rPr>
              <w:t>(000's)</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w w:val="99"/>
              </w:rPr>
              <w:t>(000's)</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(000's)</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(000's)</w:t>
            </w:r>
          </w:p>
        </w:tc>
        <w:tc>
          <w:tcPr>
            <w:tcW w:w="4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(000's)</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End of Period</w:t>
            </w:r>
          </w:p>
        </w:tc>
        <w:tc>
          <w:tcPr>
            <w:tcW w:w="14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Applicable To:</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Agricultural Real Estate</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Agricultural</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3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Commercial Real Estate</w:t>
            </w: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17,40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11,924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8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300" w:type="dxa"/>
            <w:vAlign w:val="bottom"/>
            <w:shd w:val="clear" w:color="auto" w:fill="CFF0FC"/>
          </w:tcPr>
          <w:p>
            <w:pPr>
              <w:ind w:left="200"/>
              <w:spacing w:after="0" w:line="133"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25,02</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20,31</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8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16,24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4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13,67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6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8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380" w:type="dxa"/>
            <w:vAlign w:val="bottom"/>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Off Balance Sheet</w:t>
            </w:r>
          </w:p>
        </w:tc>
        <w:tc>
          <w:tcPr>
            <w:tcW w:w="1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Commitments</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00" w:type="dxa"/>
            <w:vAlign w:val="bottom"/>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Allowance for</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27,23</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21,57</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17,28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14,31</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7,707</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3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Credit Losses</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3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-25400</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-25400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*ASU 2016-13 was adopted during the first quarter of 2023; therefore, the 2022 through 2019 methodology reflects the incurred loss method.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outstanding time certificates of deposits and other time deposits in amounts of $100,000 or more by maturity both in total and uninsured greater than $250,000 as of December 31, 2023 are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Over Three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Over Six</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Months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Months Less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Over</w:t>
            </w:r>
          </w:p>
        </w:tc>
      </w:tr>
      <w:tr>
        <w:trPr>
          <w:trHeight w:val="230"/>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Under</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Less than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Than One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7"/>
              </w:rPr>
              <w:t>One</w:t>
            </w:r>
          </w:p>
        </w:tc>
      </w:tr>
      <w:tr>
        <w:trPr>
          <w:trHeight w:val="243"/>
        </w:trPr>
        <w:tc>
          <w:tcPr>
            <w:tcW w:w="4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Three Months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Six Months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89"/>
              </w:rPr>
              <w:t>Year</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6"/>
              </w:rPr>
              <w:t>Year</w:t>
            </w:r>
          </w:p>
        </w:tc>
        <w:tc>
          <w:tcPr>
            <w:tcW w:w="100" w:type="dxa"/>
            <w:vAlign w:val="bottom"/>
          </w:tcPr>
          <w:p>
            <w:pPr>
              <w:spacing w:after="0"/>
              <w:rPr>
                <w:sz w:val="21"/>
                <w:szCs w:val="21"/>
                <w:color w:val="auto"/>
              </w:rPr>
            </w:pPr>
          </w:p>
        </w:tc>
      </w:tr>
      <w:tr>
        <w:trPr>
          <w:trHeight w:val="263"/>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129,746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78,278</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91,199</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103,213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Uninsured Time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27,450</w:t>
            </w:r>
          </w:p>
        </w:tc>
        <w:tc>
          <w:tcPr>
            <w:tcW w:w="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35,642</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-196850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-179705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-196850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-179705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-196850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-179705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-196850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average amount of and average rate paid on each deposit category:</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Non-Interest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gridSpan w:val="2"/>
          </w:tcPr>
          <w:p>
            <w:pPr>
              <w:spacing w:after="0"/>
              <w:rPr>
                <w:sz w:val="20"/>
                <w:szCs w:val="20"/>
                <w:color w:val="auto"/>
              </w:rPr>
            </w:pPr>
          </w:p>
        </w:tc>
      </w:tr>
      <w:tr>
        <w:trPr>
          <w:trHeight w:val="245"/>
        </w:trPr>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DDAs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DDAs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Accounts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w w:val="99"/>
              </w:rPr>
              <w:t>Accounts</w:t>
            </w:r>
          </w:p>
        </w:tc>
      </w:tr>
      <w:tr>
        <w:trPr>
          <w:trHeight w:val="223"/>
        </w:trPr>
        <w:tc>
          <w:tcPr>
            <w:tcW w:w="148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9"/>
              </w:rPr>
              <w:t>December 31, 2023:</w:t>
            </w:r>
          </w:p>
        </w:tc>
        <w:tc>
          <w:tcPr>
            <w:tcW w:w="540" w:type="dxa"/>
            <w:vAlign w:val="bottom"/>
            <w:tcBorders>
              <w:bottom w:val="single" w:sz="8" w:color="CFF0FC"/>
            </w:tcBorders>
            <w:shd w:val="clear" w:color="auto" w:fill="CFF0FC"/>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Average balance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493,820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766,158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610,160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640,390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Average rate</w:t>
            </w: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60" w:type="dxa"/>
            <w:vAlign w:val="bottom"/>
          </w:tcPr>
          <w:p>
            <w:pPr>
              <w:spacing w:after="0"/>
              <w:rPr>
                <w:sz w:val="20"/>
                <w:szCs w:val="20"/>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02"/>
        </w:trPr>
        <w:tc>
          <w:tcPr>
            <w:tcW w:w="20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December 31, 2022:</w:t>
            </w: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
        </w:trPr>
        <w:tc>
          <w:tcPr>
            <w:tcW w:w="5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Average balance</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480,389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688,908</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646,363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451,013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Average rate</w:t>
            </w: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0.71 %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60" w:type="dxa"/>
            <w:vAlign w:val="bottom"/>
          </w:tcPr>
          <w:p>
            <w:pPr>
              <w:spacing w:after="0"/>
              <w:rPr>
                <w:sz w:val="20"/>
                <w:szCs w:val="20"/>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7"/>
        </w:trPr>
        <w:tc>
          <w:tcPr>
            <w:tcW w:w="148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December 31, 2021:</w:t>
            </w:r>
          </w:p>
        </w:tc>
        <w:tc>
          <w:tcPr>
            <w:tcW w:w="540" w:type="dxa"/>
            <w:vAlign w:val="bottom"/>
            <w:tcBorders>
              <w:bottom w:val="single" w:sz="8" w:color="CFF0FC"/>
            </w:tcBorders>
            <w:shd w:val="clear" w:color="auto" w:fill="CFF0FC"/>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Average balance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400,801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635,544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510,092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306,600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Average rate</w:t>
            </w: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60" w:type="dxa"/>
            <w:vAlign w:val="bottom"/>
          </w:tcPr>
          <w:p>
            <w:pPr>
              <w:spacing w:after="0"/>
              <w:rPr>
                <w:sz w:val="20"/>
                <w:szCs w:val="20"/>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459"/>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80" w:type="dxa"/>
            <w:vAlign w:val="bottom"/>
            <w:gridSpan w:val="12"/>
          </w:tcPr>
          <w:p>
            <w:pPr>
              <w:jc w:val="right"/>
              <w:ind w:right="90"/>
              <w:spacing w:after="0"/>
              <w:rPr>
                <w:sz w:val="20"/>
                <w:szCs w:val="20"/>
                <w:color w:val="auto"/>
              </w:rPr>
            </w:pPr>
            <w:r>
              <w:rPr>
                <w:rFonts w:ascii="Times New Roman" w:cs="Times New Roman" w:eastAsia="Times New Roman" w:hAnsi="Times New Roman"/>
                <w:sz w:val="18"/>
                <w:szCs w:val="18"/>
                <w:color w:val="auto"/>
              </w:rPr>
              <w:t>Uninsured deposits greater than $250,000 are presented by year in the table below:</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560" w:type="dxa"/>
            <w:vAlign w:val="bottom"/>
          </w:tcPr>
          <w:p>
            <w:pPr>
              <w:spacing w:after="0"/>
              <w:rPr>
                <w:sz w:val="24"/>
                <w:szCs w:val="24"/>
                <w:color w:val="auto"/>
              </w:rPr>
            </w:pPr>
          </w:p>
        </w:tc>
        <w:tc>
          <w:tcPr>
            <w:tcW w:w="1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Uninsured Deposits</w:t>
            </w:r>
          </w:p>
        </w:tc>
        <w:tc>
          <w:tcPr>
            <w:tcW w:w="3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282,991</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332,264</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296,162</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-2013585</wp:posOffset>
            </wp:positionV>
            <wp:extent cx="641223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-1087755</wp:posOffset>
            </wp:positionV>
            <wp:extent cx="641223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96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Liquidity remains a focus as a battle for deposits existed throughout 2023 and remains going into 2024. A special emphasis was placed on deposit growth in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and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quarters of 2023 and the team responded when a deposit campaign was launched to</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raise an additional $100 million in deposits. As an industry, deposit growth from 2019 to 2022 was too easy with the additional funds funneled into the market from our government during COVID. 2023 reminded us deposits are as essential to our success as loan originations. As the competition for deposits has increased, the Company has increased emphasis on its liquidity position. The frequency of management liquidity meetings was increased to weekly to be more responsive to opportunities and threats as they arise. These have proven to be greatly beneficial and will continue. Deposits grew 5.61% or $138.6 million in 2023 as compared to year-end 2022. The largest growth was in time deposits which provides stability for liquidity. Our checking account balances, interest and noninterest bearing combined, grew $61.6 million in comparing December 31, 2023 to December 31. 2022. These represent true core balances and provide additional opportunities to benefit noninterest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first quarter, the Company had begun to experience a slowdown in its growth mode. It is partly due to a natural decrease in borrowers' loan demand as higher interest rates have made projected capital outlays too costly. The Bank has also experienced a more challenging environment in which to raise lower cost core deposits. Therefore, we also chose to participate out a portion of our larger loans with other financial institutions, both new loans and existing. The Bank has also maintained an emphasis on servicing existing clients and focus on prudent growth within our newer markets. Overall, loans grew 9.54% during 2023 or $224.8 million as compared to 2022.</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Cash balances increased drastically, up 68.6% or $57.8 million over 2022 year-end levels. Holding cash at the Federal Reserve earned the Bank the highest rate for liquid assets due to the inverted yield curve. This holds true as we head into 2024. In addition to the high cash balance, the Bank has access to $128 million of unsecured borrowings through correspondent banks. Through the Federal Home Loan Bank, the Bank also has an additional $42.5 million available based on current collateral pledging and $150.1 million through the Cash Management Advance program. The Company and Bank combined has $102.7 million of unpledged securities which may be sold or used as collateral. In addition, securities with a carrying value of $61.7 million and a par value of $69.9 million were pledged to the Federal Reserve’s Bank Term Funding program to secure additional borrowing capacity. These borrowings utilize the par value of securities. The Company kept a line of credit in place, though changed the lender upon the maturity of the line in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quarter 2023. The Bank broadened our relationships with additional broker firms to strengthen our contingency funding position.</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debt such as federal funds purchased and securities sold under agreement to repurchase also provides the Company with liquidity. These amounted to $28.2 million as of December 31, 2023, down from the $54.2 million as of December 31, 2022. The decrease was due to the elimination of need for federal funds purchased. The securities sold under agreement to repurchase accounts are used to provide a sweep product to the Bank’s commercial customers and for some term deposits.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Federal Home Loan Bank advances grew to $265.8 million as of December 31, 2023, from $127.5 million on December 31, 2022. The increase in advances helped to offset the difference for funding the loan growth which outpaced the deposit growth in both 2022 and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continue to develop our deposit gathering skills. The addition of four new retail offices will aid in establishing new relationships. Given that two of the retail offices are in communities where a loan production office was located should help to broaden those relationships with deposits. The Bank will continue to meet weekly to focus our strategic plans on increasing liquidity while improving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Asset/Liability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immediate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 and Changing Prices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Contractual obligations of the Company totaled $1.0 billion as of December 31, 2023. Time deposits, contractual agreements for certificates of deposits held by its customers, were $663.0 million. Securities sold under agreement to repurchase were $28.2 million. Short term debt, which consisted of a line of credit secured for the acquisition of Peoples Federal Savings and Loan Bank of $10.0 million, was paid off during the first quarter of 2023. There were no federal funds purchased as of December 31, 2023. Long term debt was comprised of borrowings with the Federal Home Loan Bank of $265.8 million and subordinated notes of $35.0 million. Short term and long term debt is further defined in Note 10 of the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Equity was $316.5 million as of December 31, 2023, compared to $298.1 million on December 31, 2022. Dividends declared during 2023 were $0.85 per share totaling $11.5 million, up 4.6% from $0.8125 per share dividend declared in 2022, totaling $10.6 million. Throughout 2023, the Company awarded 64,225 shares to 113 employees compared to 59,496 shares awarded to 109 employees during 2022. The majority of shares were awarded under a 3-year cliff vesting restriction in both years. 6,350 shares were forfeited under the long-term incentive plan throughout 2023 and 8,000 shares were forfeited throughout 2022. At year-end 2023, the Company held 151,350 shares in unearned stock awards, an increase from the year-end 2022 number of shares held in unearned stock awards of 128,952. For a summary of activity as it relates to the Company’s restricted stock awards, please refer to Note 12: Employee Benefit Plans in the consolidated financial statements. The Company held 899,784 shares in Treasury stock as of December 31, 2023, compared to 956,003 shares in Treasury stock as of the same date in 2022. On January 16, 2024, the Company announced the authorization of 650,000 shares for the Company’s repurchase, either in the open market, or in privately negotiated transactions, of its outstanding common stock commencing January 16, 2024, and ending December 31, 2024, by our Board of Directors. At the 2023 annual meeting, our shareholders approved the Company’s ability to establish a new class of flexible preferred stock and to issue 100,000 shares of such preferred stock at the Board of Director’s discretion. No preferred stock was issued during the remainder of 2023.</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continues to have a strong capital base and maintains regulatory capital ratios that are above the defined regulatory capital ratios. On December 31, 2023, the Bank had total risk-based capital ratios of 11.73%. Core capital to risk-based asset ratio of 10.77% for the Bank, is more than regulatory guidelines. The Bank’s leverage ratio of 8.66% is also in excess of regulatory guidelines. Under Basel III, the common equity tier I capital to risk weighted assets ratio is also well above the required 4.5% and 6.5% well capitalized levels with the Bank at 10.77%. Adding on the required capital conservation buffer of 2.5% to the previous regulatory ratios and the Bank remains well above the requirements. The Bank’s capital conservation buffer is 3.73%. For further discussion and analysis of regulatory capital requirements, refer to Note 16 of the Consolidated Audited Financial Statements.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subsidiary is restricted by regulations from making dividend distributions in excess of certain prescribed amounts. Upon prior regulatory approval, the Bank may be allowed to pay above the prescribed amounts.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line="200" w:lineRule="exact"/>
        <w:rPr>
          <w:sz w:val="20"/>
          <w:szCs w:val="20"/>
          <w:color w:val="auto"/>
        </w:rPr>
      </w:pPr>
    </w:p>
    <w:p>
      <w:pPr>
        <w:spacing w:after="0" w:line="206" w:lineRule="exact"/>
        <w:rPr>
          <w:sz w:val="20"/>
          <w:szCs w:val="20"/>
          <w:color w:val="auto"/>
        </w:rPr>
      </w:pPr>
    </w:p>
    <w:p>
      <w:pPr>
        <w:ind w:right="398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7a. QUANTITATIVE AND QUALITATIVE DISCLOSURES ABOUT MARKET RISK </w:t>
      </w:r>
      <w:r>
        <w:rPr>
          <w:rFonts w:ascii="Times New Roman" w:cs="Times New Roman" w:eastAsia="Times New Roman" w:hAnsi="Times New Roman"/>
          <w:sz w:val="18"/>
          <w:szCs w:val="18"/>
          <w:b w:val="1"/>
          <w:bCs w:val="1"/>
          <w:color w:val="auto"/>
        </w:rPr>
        <w:t>Market Risk</w:t>
      </w: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into for purposes other than trading such as loans, available for sale securities, interest bearing deposits, short term borrowings and long-term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asset/liabilities management strategies are unsuccessful, our profitability may be adversely affected. The Company employs a sensitivity analysis utilizing interest rate shocks to help in this analysis.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Bank’s balance sheet is liability sensitive which has resulted in a steep decline of net interest margin as rates rose over 2023. The level of long-term assets represents elevated risk and will continue to be an interest income anchor as those assets are at much lower rates when compared to current market rates. The Bank has utilized an interest rate hedge as protection against rising rates and is receiving some benefit, see Note 18 for disclosure. Additionally, the deposit growth was funded by a substantial portion of CDs in 2023, many of which were shorter term CD specials. As these CD specials come due in 2024, the Bank’s cost of funds may rise as the replacement rates for theses CDs currently are higher than their maturing rates in a flat rate environment. In a falling rate environment, this should provide a benefit based on the duration of the portfolio. Management continues to review and is using external assistance to monitor and adjust our assumptions concerning decay rates, key rate ties on deposit accounts and prepayment speeds on loans for 2024. Both directional changes are within the Bank's risk tolerance. The effect of the rate shocks may be mitigated to the extent that not all lines of business are directly tied to an external index and actual balance sheet composition may differ from our prediction.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at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2023,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2023,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Changes to Shareholders’ Equity for the years ended December 31, 2023, 2022 and 2021.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803265" cy="8915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580326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Board of Directors, and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Archbold, Ohio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Farmers and Merchants Bancorp, Inc. (Company) as of December 31, 2023 and 2022, the related consolidated statements of income, comprehensive income (loss), changes to stockholders’ equity, and cash flows for each of the years in the three-year period ended December 31, 2023, and the related notes (collectively referred to as the “financial statements”). 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accounting principles generally accepted in the United States of America.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2024, expressed an unqualified opinion thereon.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Accounting Principle</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1 and Note 4 to the consolidated financial statements, in 2023, the entity changed its method of accounting for credit losses on financial instruments due to the adoption of Accounting Standards Codification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public accounting firm registered with the PCAOB and are required to be independent with respect to the Company in accordance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securities laws and the applicable rules and regulations of the Securities and Exchange Commission and the PCAOB.</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 (ACL) – Qualitative Adjustments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and 4 to the consolidated financial statements and referred to in the change in accounting principle explanatory paragraph above, the Company adopted ASC 326 as of January 1, 2023, which among other things, required the Company to recognize expected credit losses over the contractual lives of financial assets carried at amortized costs, including loans receivables, utilizing the Current Expected Credit Losses (“CECL”) methodology. As of December 31, 2023, the allowance for credit losses (ACL) balance was $27,236,000. Estimates of expected credit losses are based on relevant information about current conditions, past events, and reasonable and supportable forward-looking forecasts regarding collectability of the reported amounts. The Company utilized an average charge-off model derived from historical charge-off data to construct a loss rate for each identified loan segment. Due to the Company's loss history not being sufficient and relevant enough to predict future losses, the Company is utilizing peer data from a peer group. The loss rates are then adjusted, for reasonable and supportable forecasts of relevant economic indicators as well as other environmental factors based on the risks present for each portfolio segment. The environmental factors (“qualitative adjustments”) include consideration of economic conditions and portfolio trends.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auditing the qualitative adjustments as a critical audit matter as management’s determination of the qualitative adjustments used in the ACL is subjective and involves significant management judgments; and our audit procedures related to the qualitative adjustments involved a high degree of auditor judgment and required significant audit effort, including the need to involve more experienced audit personnel.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effectiveness of controls over the qualitative adjustments used in the ACL calculation including controls addressing the:</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Significant assumptions and judgments applied in the development of the qualitative adjustments.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Mathematical accuracy of the qualitative adjustments applied to the loan segments in the ACL calculation.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testing management's determination of the qualitative adjustments used in the ACL estimate, including:</w:t>
      </w:r>
    </w:p>
    <w:p>
      <w:pPr>
        <w:spacing w:after="0" w:line="117"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oTesting management’s process for developing the qualitative adjustments, which included assessing the relevance and reliability of data used to develop the qualitative adjustments, including evaluating their judgments and assumptions for reasonableness. Among other procedures, our evaluation considered evidence from internal and external sources.</w:t>
      </w:r>
    </w:p>
    <w:p>
      <w:pPr>
        <w:spacing w:after="0" w:line="68" w:lineRule="exact"/>
        <w:rPr>
          <w:sz w:val="20"/>
          <w:szCs w:val="20"/>
          <w:color w:val="auto"/>
        </w:rPr>
      </w:pPr>
    </w:p>
    <w:p>
      <w:pPr>
        <w:ind w:left="1540" w:hanging="514"/>
        <w:spacing w:after="0" w:line="28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Analytically evaluating the qualitative adjustments for directional consistency, testing for reasonableness, and obtaining evidence for significant changes.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the qualitative adjustments applied to the loan segments in the ACL calculation.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56970" cy="2311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5697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Wayne,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r>
      <w:tr>
        <w:trPr>
          <w:trHeight w:val="216"/>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 and 2022</w:t>
            </w:r>
          </w:p>
        </w:tc>
      </w:tr>
      <w:tr>
        <w:trPr>
          <w:trHeight w:val="238"/>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(000’s Omitted, Except Share Data)</w:t>
            </w:r>
          </w:p>
        </w:tc>
      </w:tr>
      <w:tr>
        <w:trPr>
          <w:trHeight w:val="453"/>
        </w:trPr>
        <w:tc>
          <w:tcPr>
            <w:tcW w:w="8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4"/>
                <w:szCs w:val="24"/>
                <w:color w:val="auto"/>
              </w:rPr>
            </w:pPr>
          </w:p>
        </w:tc>
      </w:tr>
      <w:tr>
        <w:trPr>
          <w:trHeight w:val="243"/>
        </w:trPr>
        <w:tc>
          <w:tcPr>
            <w:tcW w:w="8200" w:type="dxa"/>
            <w:vAlign w:val="bottom"/>
            <w:shd w:val="clear" w:color="auto" w:fill="CFF0FC"/>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140,917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83,085</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0"/>
                <w:szCs w:val="20"/>
                <w:color w:val="auto"/>
              </w:rPr>
            </w:pPr>
          </w:p>
        </w:tc>
      </w:tr>
      <w:tr>
        <w:trPr>
          <w:trHeight w:val="241"/>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100" w:type="dxa"/>
            <w:vAlign w:val="bottom"/>
            <w:shd w:val="clear" w:color="auto" w:fill="CFF0FC"/>
          </w:tcPr>
          <w:p>
            <w:pPr>
              <w:spacing w:after="0"/>
              <w:rPr>
                <w:sz w:val="20"/>
                <w:szCs w:val="20"/>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390,789</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 of allowance for credit losses of $25,024 and $20,313</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2,556,167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2,336,074</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servicing rights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43,218</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100" w:type="dxa"/>
            <w:vAlign w:val="bottom"/>
          </w:tcPr>
          <w:p>
            <w:pPr>
              <w:spacing w:after="0"/>
              <w:rPr>
                <w:sz w:val="20"/>
                <w:szCs w:val="20"/>
                <w:color w:val="auto"/>
              </w:rPr>
            </w:pPr>
          </w:p>
        </w:tc>
      </w:tr>
      <w:tr>
        <w:trPr>
          <w:trHeight w:val="281"/>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3,283,229</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3,015,351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820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532,794</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NOW accounts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816,790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750,887</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627,203</w:t>
            </w:r>
          </w:p>
        </w:tc>
        <w:tc>
          <w:tcPr>
            <w:tcW w:w="100" w:type="dxa"/>
            <w:vAlign w:val="bottom"/>
          </w:tcPr>
          <w:p>
            <w:pPr>
              <w:spacing w:after="0"/>
              <w:rPr>
                <w:sz w:val="20"/>
                <w:szCs w:val="20"/>
                <w:color w:val="auto"/>
              </w:rPr>
            </w:pPr>
          </w:p>
        </w:tc>
      </w:tr>
      <w:tr>
        <w:trPr>
          <w:trHeight w:val="243"/>
        </w:trPr>
        <w:tc>
          <w:tcPr>
            <w:tcW w:w="82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Time</w:t>
            </w: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663,017</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2,607,463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2,468,864</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 to repurchase</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54,206</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265,750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127,485</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borrowings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34,586</w:t>
            </w:r>
          </w:p>
        </w:tc>
        <w:tc>
          <w:tcPr>
            <w:tcW w:w="100" w:type="dxa"/>
            <w:vAlign w:val="bottom"/>
          </w:tcPr>
          <w:p>
            <w:pPr>
              <w:spacing w:after="0"/>
              <w:rPr>
                <w:sz w:val="20"/>
                <w:szCs w:val="20"/>
                <w:color w:val="auto"/>
              </w:rPr>
            </w:pPr>
          </w:p>
        </w:tc>
      </w:tr>
      <w:tr>
        <w:trPr>
          <w:trHeight w:val="247"/>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FF0FC"/>
          </w:tcPr>
          <w:p>
            <w:pPr>
              <w:spacing w:after="0"/>
              <w:rPr>
                <w:sz w:val="21"/>
                <w:szCs w:val="21"/>
                <w:color w:val="auto"/>
              </w:rPr>
            </w:pP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27,579</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Pr>
          <w:p>
            <w:pPr>
              <w:spacing w:after="0"/>
              <w:rPr>
                <w:sz w:val="20"/>
                <w:szCs w:val="20"/>
                <w:color w:val="auto"/>
              </w:rPr>
            </w:pPr>
          </w:p>
        </w:tc>
      </w:tr>
      <w:tr>
        <w:trPr>
          <w:trHeight w:val="236"/>
        </w:trPr>
        <w:tc>
          <w:tcPr>
            <w:tcW w:w="82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2,966,686</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2,717,211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8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No par value 20,000,000 shares authorized; issued 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14,564,425 shares 12/31/23 and 12/31/22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100" w:type="dxa"/>
            <w:vAlign w:val="bottom"/>
          </w:tcPr>
          <w:p>
            <w:pPr>
              <w:spacing w:after="0"/>
              <w:rPr>
                <w:sz w:val="20"/>
                <w:szCs w:val="20"/>
                <w:color w:val="auto"/>
              </w:rPr>
            </w:pPr>
          </w:p>
        </w:tc>
      </w:tr>
      <w:tr>
        <w:trPr>
          <w:trHeight w:val="250"/>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- 899,784 shares 12/31/23 and 956,003 shares 12/31/22</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(11,040 )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(11,573 )</w:t>
            </w:r>
          </w:p>
        </w:tc>
      </w:tr>
      <w:tr>
        <w:trPr>
          <w:trHeight w:val="239"/>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221,080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100" w:type="dxa"/>
            <w:vAlign w:val="bottom"/>
          </w:tcPr>
          <w:p>
            <w:pPr>
              <w:spacing w:after="0"/>
              <w:rPr>
                <w:sz w:val="20"/>
                <w:szCs w:val="20"/>
                <w:color w:val="auto"/>
              </w:rPr>
            </w:pPr>
          </w:p>
        </w:tc>
      </w:tr>
      <w:tr>
        <w:trPr>
          <w:trHeight w:val="243"/>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(29,012 )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(38,233 )</w:t>
            </w:r>
          </w:p>
        </w:tc>
      </w:tr>
      <w:tr>
        <w:trPr>
          <w:trHeight w:val="236"/>
        </w:trPr>
        <w:tc>
          <w:tcPr>
            <w:tcW w:w="82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316,543</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298,140</w:t>
            </w:r>
          </w:p>
        </w:tc>
        <w:tc>
          <w:tcPr>
            <w:tcW w:w="100" w:type="dxa"/>
            <w:vAlign w:val="bottom"/>
            <w:tcBorders>
              <w:top w:val="single" w:sz="8" w:color="CFF0FC"/>
            </w:tcBorders>
          </w:tcPr>
          <w:p>
            <w:pPr>
              <w:spacing w:after="0"/>
              <w:rPr>
                <w:sz w:val="20"/>
                <w:szCs w:val="20"/>
                <w:color w:val="auto"/>
              </w:rPr>
            </w:pPr>
          </w:p>
        </w:tc>
      </w:tr>
      <w:tr>
        <w:trPr>
          <w:trHeight w:val="281"/>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3,283,229</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3,015,351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-4242435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-4225290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-2982595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-1731010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-351155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r>
      <w:tr>
        <w:trPr>
          <w:trHeight w:val="216"/>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tc>
      </w:tr>
      <w:tr>
        <w:trPr>
          <w:trHeight w:val="238"/>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(000’s Omitted, Except Per Share Data)</w:t>
            </w:r>
          </w:p>
        </w:tc>
      </w:tr>
      <w:tr>
        <w:trPr>
          <w:trHeight w:val="453"/>
        </w:trPr>
        <w:tc>
          <w:tcPr>
            <w:tcW w:w="7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including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129,344</w:t>
            </w:r>
          </w:p>
        </w:tc>
        <w:tc>
          <w:tcPr>
            <w:tcW w:w="12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94,264</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71,645</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Municipalities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funds sold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r>
      <w:tr>
        <w:trPr>
          <w:trHeight w:val="241"/>
        </w:trPr>
        <w:tc>
          <w:tcPr>
            <w:tcW w:w="7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139,808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101,149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76,840</w:t>
            </w:r>
          </w:p>
        </w:tc>
        <w:tc>
          <w:tcPr>
            <w:tcW w:w="100" w:type="dxa"/>
            <w:vAlign w:val="bottom"/>
            <w:shd w:val="clear" w:color="auto" w:fill="CFF0FC"/>
          </w:tcPr>
          <w:p>
            <w:pPr>
              <w:spacing w:after="0"/>
              <w:rPr>
                <w:sz w:val="20"/>
                <w:szCs w:val="20"/>
                <w:color w:val="auto"/>
              </w:rPr>
            </w:pP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shd w:val="clear" w:color="auto" w:fill="CFF0FC"/>
          </w:tcPr>
          <w:p>
            <w:pPr>
              <w:spacing w:after="0"/>
              <w:rPr>
                <w:sz w:val="21"/>
                <w:szCs w:val="21"/>
                <w:color w:val="auto"/>
              </w:rPr>
            </w:pPr>
          </w:p>
        </w:tc>
      </w:tr>
      <w:tr>
        <w:trPr>
          <w:trHeight w:val="211"/>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repurchase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0"/>
                <w:szCs w:val="20"/>
                <w:color w:val="auto"/>
              </w:rPr>
            </w:pPr>
          </w:p>
        </w:tc>
      </w:tr>
      <w:tr>
        <w:trPr>
          <w:trHeight w:val="250"/>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Borrowed funds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r>
      <w:tr>
        <w:trPr>
          <w:trHeight w:val="236"/>
        </w:trPr>
        <w:tc>
          <w:tcPr>
            <w:tcW w:w="7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58,411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 Before Provision for Credit Losses*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100" w:type="dxa"/>
            <w:vAlign w:val="bottom"/>
          </w:tcPr>
          <w:p>
            <w:pPr>
              <w:spacing w:after="0"/>
              <w:rPr>
                <w:sz w:val="20"/>
                <w:szCs w:val="20"/>
                <w:color w:val="auto"/>
              </w:rPr>
            </w:pPr>
          </w:p>
        </w:tc>
      </w:tr>
      <w:tr>
        <w:trPr>
          <w:trHeight w:val="245"/>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Loans*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shd w:val="clear" w:color="auto" w:fill="CFF0FC"/>
          </w:tcPr>
          <w:p>
            <w:pPr>
              <w:spacing w:after="0"/>
              <w:rPr>
                <w:sz w:val="21"/>
                <w:szCs w:val="21"/>
                <w:color w:val="auto"/>
              </w:rPr>
            </w:pP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Off Balance Sheet Credit Exposures*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82,187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66,054</w:t>
            </w:r>
          </w:p>
        </w:tc>
        <w:tc>
          <w:tcPr>
            <w:tcW w:w="100" w:type="dxa"/>
            <w:vAlign w:val="bottom"/>
            <w:shd w:val="clear" w:color="auto" w:fill="CFF0FC"/>
          </w:tcPr>
          <w:p>
            <w:pPr>
              <w:spacing w:after="0"/>
              <w:rPr>
                <w:sz w:val="20"/>
                <w:szCs w:val="20"/>
                <w:color w:val="auto"/>
              </w:rPr>
            </w:pP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service fees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gain (loss) on sale of available-for-sale securities</w:t>
            </w: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r>
      <w:tr>
        <w:trPr>
          <w:trHeight w:val="241"/>
        </w:trPr>
        <w:tc>
          <w:tcPr>
            <w:tcW w:w="7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00" w:type="dxa"/>
            <w:vAlign w:val="bottom"/>
            <w:shd w:val="clear" w:color="auto" w:fill="CFF0FC"/>
          </w:tcPr>
          <w:p>
            <w:pPr>
              <w:spacing w:after="0"/>
              <w:rPr>
                <w:sz w:val="20"/>
                <w:szCs w:val="20"/>
                <w:color w:val="auto"/>
              </w:rPr>
            </w:pP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Salaries and wages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benefits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occupancy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Furniture and equipment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 processing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Franchise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ATM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(gain) loss on sale of other assets owned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FDIC assessment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Consulting fees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0"/>
                <w:szCs w:val="20"/>
                <w:color w:val="auto"/>
              </w:rPr>
            </w:pPr>
          </w:p>
        </w:tc>
      </w:tr>
      <w:tr>
        <w:trPr>
          <w:trHeight w:val="243"/>
        </w:trPr>
        <w:tc>
          <w:tcPr>
            <w:tcW w:w="7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100" w:type="dxa"/>
            <w:vAlign w:val="bottom"/>
          </w:tcPr>
          <w:p>
            <w:pPr>
              <w:spacing w:after="0"/>
              <w:rPr>
                <w:sz w:val="20"/>
                <w:szCs w:val="20"/>
                <w:color w:val="auto"/>
              </w:rPr>
            </w:pPr>
          </w:p>
        </w:tc>
      </w:tr>
      <w:tr>
        <w:trPr>
          <w:trHeight w:val="241"/>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100" w:type="dxa"/>
            <w:vAlign w:val="bottom"/>
            <w:shd w:val="clear" w:color="auto" w:fill="CFF0FC"/>
          </w:tcPr>
          <w:p>
            <w:pPr>
              <w:spacing w:after="0"/>
              <w:rPr>
                <w:sz w:val="20"/>
                <w:szCs w:val="20"/>
                <w:color w:val="auto"/>
              </w:rPr>
            </w:pP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tcPr>
          <w:p>
            <w:pPr>
              <w:spacing w:after="0"/>
              <w:rPr>
                <w:sz w:val="20"/>
                <w:szCs w:val="20"/>
                <w:color w:val="auto"/>
              </w:rPr>
            </w:pPr>
          </w:p>
        </w:tc>
      </w:tr>
      <w:tr>
        <w:trPr>
          <w:trHeight w:val="27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120" w:type="dxa"/>
            <w:vAlign w:val="bottom"/>
            <w:shd w:val="clear" w:color="auto" w:fill="CFF0FC"/>
          </w:tcPr>
          <w:p>
            <w:pPr>
              <w:spacing w:after="0"/>
              <w:rPr>
                <w:sz w:val="24"/>
                <w:szCs w:val="24"/>
                <w:color w:val="auto"/>
              </w:rPr>
            </w:pP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2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shd w:val="clear" w:color="auto" w:fill="CFF0FC"/>
          </w:tcPr>
          <w:p>
            <w:pPr>
              <w:spacing w:after="0"/>
              <w:rPr>
                <w:sz w:val="24"/>
                <w:szCs w:val="24"/>
                <w:color w:val="auto"/>
              </w:rPr>
            </w:pPr>
          </w:p>
        </w:tc>
      </w:tr>
      <w:tr>
        <w:trPr>
          <w:trHeight w:val="226"/>
        </w:trPr>
        <w:tc>
          <w:tcPr>
            <w:tcW w:w="71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1"/>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0.8125</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-5091430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-5091430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-5091430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-1362075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-719455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-702310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-719455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-702310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-384810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-368300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-384810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-368300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*ASU 2016-13 was adopted during the first quarter of 2023; therefore, 2022 and 2021 provision amounts reflect the incurred loss method.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555"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680" w:type="dxa"/>
            <w:vAlign w:val="bottom"/>
          </w:tcPr>
          <w:p>
            <w:pPr>
              <w:spacing w:after="0"/>
              <w:rPr>
                <w:sz w:val="24"/>
                <w:szCs w:val="24"/>
                <w:color w:val="auto"/>
              </w:rPr>
            </w:pPr>
          </w:p>
        </w:tc>
        <w:tc>
          <w:tcPr>
            <w:tcW w:w="556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(000’s Omitted)</w:t>
            </w:r>
          </w:p>
        </w:tc>
        <w:tc>
          <w:tcPr>
            <w:tcW w:w="0" w:type="dxa"/>
            <w:vAlign w:val="bottom"/>
          </w:tcPr>
          <w:p>
            <w:pPr>
              <w:spacing w:after="0"/>
              <w:rPr>
                <w:sz w:val="1"/>
                <w:szCs w:val="1"/>
                <w:color w:val="auto"/>
              </w:rPr>
            </w:pPr>
          </w:p>
        </w:tc>
      </w:tr>
      <w:tr>
        <w:trPr>
          <w:trHeight w:val="453"/>
        </w:trPr>
        <w:tc>
          <w:tcPr>
            <w:tcW w:w="5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4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 securities</w:t>
            </w:r>
          </w:p>
        </w:tc>
        <w:tc>
          <w:tcPr>
            <w:tcW w:w="1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(44,366 )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(10,948 )</w:t>
            </w:r>
          </w:p>
        </w:tc>
        <w:tc>
          <w:tcPr>
            <w:tcW w:w="0" w:type="dxa"/>
            <w:vAlign w:val="bottom"/>
          </w:tcPr>
          <w:p>
            <w:pPr>
              <w:spacing w:after="0"/>
              <w:rPr>
                <w:sz w:val="1"/>
                <w:szCs w:val="1"/>
                <w:color w:val="auto"/>
              </w:rPr>
            </w:pPr>
          </w:p>
        </w:tc>
      </w:tr>
      <w:tr>
        <w:trPr>
          <w:trHeight w:val="211"/>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realized (gain) loss on sale of</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34"/>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 securities</w:t>
            </w:r>
          </w:p>
        </w:tc>
        <w:tc>
          <w:tcPr>
            <w:tcW w:w="1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(44,366 )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(11,241 )</w:t>
            </w:r>
          </w:p>
        </w:tc>
        <w:tc>
          <w:tcPr>
            <w:tcW w:w="0" w:type="dxa"/>
            <w:vAlign w:val="bottom"/>
          </w:tcPr>
          <w:p>
            <w:pPr>
              <w:spacing w:after="0"/>
              <w:rPr>
                <w:sz w:val="1"/>
                <w:szCs w:val="1"/>
                <w:color w:val="auto"/>
              </w:rPr>
            </w:pPr>
          </w:p>
        </w:tc>
      </w:tr>
      <w:tr>
        <w:trPr>
          <w:trHeight w:val="23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expense (benefit)</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(2,360 )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(35,049 )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(8,881 )</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4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(2,534 )</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-1268095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-1268095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Changes to Stockholders’ Equity</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(000’s</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Omitted, Except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Accumulate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0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Shares of</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Other</w:t>
            </w:r>
          </w:p>
        </w:tc>
        <w:tc>
          <w:tcPr>
            <w:tcW w:w="140" w:type="dxa"/>
            <w:vAlign w:val="bottom"/>
          </w:tcPr>
          <w:p>
            <w:pPr>
              <w:spacing w:after="0"/>
              <w:rPr>
                <w:sz w:val="19"/>
                <w:szCs w:val="19"/>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4"/>
              </w:rPr>
              <w:t>Total</w:t>
            </w:r>
          </w:p>
        </w:tc>
      </w:tr>
      <w:tr>
        <w:trPr>
          <w:trHeight w:val="222"/>
        </w:trPr>
        <w:tc>
          <w:tcPr>
            <w:tcW w:w="5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Comprehens</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Stockholde</w:t>
            </w:r>
          </w:p>
        </w:tc>
      </w:tr>
      <w:tr>
        <w:trPr>
          <w:trHeight w:val="210"/>
        </w:trPr>
        <w:tc>
          <w:tcPr>
            <w:tcW w:w="5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Common</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Common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8"/>
              </w:rPr>
              <w:t>Treasury</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8"/>
              </w:rPr>
              <w:t>Retained</w:t>
            </w: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ive</w:t>
            </w: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rs'</w:t>
            </w:r>
          </w:p>
        </w:tc>
      </w:tr>
      <w:tr>
        <w:trPr>
          <w:trHeight w:val="222"/>
        </w:trPr>
        <w:tc>
          <w:tcPr>
            <w:tcW w:w="5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Income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10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Stock</w:t>
            </w:r>
          </w:p>
        </w:tc>
        <w:tc>
          <w:tcPr>
            <w:tcW w:w="1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Stock</w:t>
            </w: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Stock</w:t>
            </w: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8"/>
              </w:rPr>
              <w:t>Earnings</w:t>
            </w:r>
          </w:p>
        </w:tc>
        <w:tc>
          <w:tcPr>
            <w:tcW w:w="14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(Loss)</w:t>
            </w:r>
          </w:p>
        </w:tc>
        <w:tc>
          <w:tcPr>
            <w:tcW w:w="140" w:type="dxa"/>
            <w:vAlign w:val="bottom"/>
          </w:tcPr>
          <w:p>
            <w:pPr>
              <w:spacing w:after="0"/>
              <w:rPr>
                <w:sz w:val="19"/>
                <w:szCs w:val="19"/>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Equity</w:t>
            </w:r>
          </w:p>
        </w:tc>
      </w:tr>
      <w:tr>
        <w:trPr>
          <w:trHeight w:val="20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January 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11,197,54</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(11,932 )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173,591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249,160</w:t>
            </w:r>
          </w:p>
        </w:tc>
        <w:tc>
          <w:tcPr>
            <w:tcW w:w="100" w:type="dxa"/>
            <w:vAlign w:val="bottom"/>
            <w:shd w:val="clear" w:color="auto" w:fill="CFF0FC"/>
          </w:tcPr>
          <w:p>
            <w:pPr>
              <w:spacing w:after="0"/>
              <w:rPr>
                <w:sz w:val="19"/>
                <w:szCs w:val="19"/>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100" w:type="dxa"/>
            <w:vAlign w:val="bottom"/>
          </w:tcPr>
          <w:p>
            <w:pPr>
              <w:spacing w:after="0"/>
              <w:rPr>
                <w:sz w:val="19"/>
                <w:szCs w:val="19"/>
                <w:color w:val="auto"/>
              </w:rPr>
            </w:pPr>
          </w:p>
        </w:tc>
      </w:tr>
      <w:tr>
        <w:trPr>
          <w:trHeight w:val="239"/>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(8,881 )</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(8,881 )</w:t>
            </w: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1,833,845 shares of common stock in acquisition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1,833,845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41,078</w:t>
            </w:r>
          </w:p>
        </w:tc>
        <w:tc>
          <w:tcPr>
            <w:tcW w:w="100" w:type="dxa"/>
            <w:vAlign w:val="bottom"/>
          </w:tcPr>
          <w:p>
            <w:pPr>
              <w:spacing w:after="0"/>
              <w:rPr>
                <w:sz w:val="19"/>
                <w:szCs w:val="19"/>
                <w:color w:val="auto"/>
              </w:rPr>
            </w:pPr>
          </w:p>
        </w:tc>
      </w:tr>
      <w:tr>
        <w:trPr>
          <w:trHeight w:val="239"/>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(14,611 )</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(338 )</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(338 )</w:t>
            </w:r>
          </w:p>
        </w:tc>
      </w:tr>
      <w:tr>
        <w:trPr>
          <w:trHeight w:val="202"/>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48,750 shares of restricted stock</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of forfeitures - 2,575)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(1,030 )</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FF0FC"/>
          </w:tcPr>
          <w:p>
            <w:pPr>
              <w:spacing w:after="0"/>
              <w:rPr>
                <w:sz w:val="20"/>
                <w:szCs w:val="20"/>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stock 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9"/>
                <w:szCs w:val="19"/>
                <w:color w:val="auto"/>
              </w:rPr>
            </w:pPr>
          </w:p>
        </w:tc>
      </w:tr>
      <w:tr>
        <w:trPr>
          <w:trHeight w:val="233"/>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dividends declared - $0.71 per share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(8,242 )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(8,242 )</w:t>
            </w:r>
          </w:p>
        </w:tc>
      </w:tr>
      <w:tr>
        <w:trPr>
          <w:trHeight w:val="202"/>
        </w:trPr>
        <w:tc>
          <w:tcPr>
            <w:tcW w:w="5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2021</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13,066,23</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20"/>
        </w:trPr>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(11,724 )</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(3,184 )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297,167</w:t>
            </w:r>
          </w:p>
        </w:tc>
        <w:tc>
          <w:tcPr>
            <w:tcW w:w="100" w:type="dxa"/>
            <w:vAlign w:val="bottom"/>
          </w:tcPr>
          <w:p>
            <w:pPr>
              <w:spacing w:after="0"/>
              <w:rPr>
                <w:sz w:val="19"/>
                <w:szCs w:val="19"/>
                <w:color w:val="auto"/>
              </w:rPr>
            </w:pPr>
          </w:p>
        </w:tc>
      </w:tr>
      <w:tr>
        <w:trPr>
          <w:trHeight w:val="239"/>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32,515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32,515</w:t>
            </w:r>
          </w:p>
        </w:tc>
        <w:tc>
          <w:tcPr>
            <w:tcW w:w="100" w:type="dxa"/>
            <w:vAlign w:val="bottom"/>
            <w:shd w:val="clear" w:color="auto" w:fill="CFF0FC"/>
          </w:tcPr>
          <w:p>
            <w:pPr>
              <w:spacing w:after="0"/>
              <w:rPr>
                <w:sz w:val="20"/>
                <w:szCs w:val="20"/>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(35,049 )</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(35,049 )</w:t>
            </w:r>
          </w:p>
        </w:tc>
      </w:tr>
      <w:tr>
        <w:trPr>
          <w:trHeight w:val="212"/>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500,426 shares and purchase of 125 shares of common stock</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 acquisition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100" w:type="dxa"/>
            <w:vAlign w:val="bottom"/>
            <w:shd w:val="clear" w:color="auto" w:fill="CFF0FC"/>
          </w:tcPr>
          <w:p>
            <w:pPr>
              <w:spacing w:after="0"/>
              <w:rPr>
                <w:sz w:val="19"/>
                <w:szCs w:val="19"/>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(9,488 )</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(308 )</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(308 )</w:t>
            </w:r>
          </w:p>
        </w:tc>
      </w:tr>
      <w:tr>
        <w:trPr>
          <w:trHeight w:val="212"/>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56,496 shares of restricted stock</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(Net of forfeitures - 8,000)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(1,522 )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9"/>
                <w:szCs w:val="19"/>
                <w:color w:val="auto"/>
              </w:rPr>
            </w:pPr>
          </w:p>
        </w:tc>
      </w:tr>
      <w:tr>
        <w:trPr>
          <w:trHeight w:val="239"/>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Director stock awards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FF0FC"/>
          </w:tcPr>
          <w:p>
            <w:pPr>
              <w:spacing w:after="0"/>
              <w:rPr>
                <w:sz w:val="20"/>
                <w:szCs w:val="20"/>
                <w:color w:val="auto"/>
              </w:rPr>
            </w:pPr>
          </w:p>
        </w:tc>
      </w:tr>
      <w:tr>
        <w:trPr>
          <w:trHeight w:val="223"/>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 declared - $0.8125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(10,647 )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(10,647 )</w:t>
            </w:r>
          </w:p>
        </w:tc>
      </w:tr>
      <w:tr>
        <w:trPr>
          <w:trHeight w:val="20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13,608,42</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(11,573 )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(38,233 )</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298,140</w:t>
            </w:r>
          </w:p>
        </w:tc>
        <w:tc>
          <w:tcPr>
            <w:tcW w:w="100" w:type="dxa"/>
            <w:vAlign w:val="bottom"/>
            <w:shd w:val="clear" w:color="auto" w:fill="CFF0FC"/>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Cumulative change in accounting principle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(3,371 )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(3,371 )</w:t>
            </w:r>
          </w:p>
        </w:tc>
      </w:tr>
      <w:tr>
        <w:trPr>
          <w:trHeight w:val="20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January 1, 2023 (as adjusted for change in accounting</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13,608,42</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principle)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135,497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(11,573 )</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209,078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(38,233 )</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294,769</w:t>
            </w:r>
          </w:p>
        </w:tc>
        <w:tc>
          <w:tcPr>
            <w:tcW w:w="100" w:type="dxa"/>
            <w:vAlign w:val="bottom"/>
            <w:shd w:val="clear" w:color="auto" w:fill="CFF0FC"/>
          </w:tcPr>
          <w:p>
            <w:pPr>
              <w:spacing w:after="0"/>
              <w:rPr>
                <w:sz w:val="20"/>
                <w:szCs w:val="20"/>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22,787</w:t>
            </w:r>
          </w:p>
        </w:tc>
        <w:tc>
          <w:tcPr>
            <w:tcW w:w="100" w:type="dxa"/>
            <w:vAlign w:val="bottom"/>
          </w:tcPr>
          <w:p>
            <w:pPr>
              <w:spacing w:after="0"/>
              <w:rPr>
                <w:sz w:val="19"/>
                <w:szCs w:val="19"/>
                <w:color w:val="auto"/>
              </w:rPr>
            </w:pPr>
          </w:p>
        </w:tc>
      </w:tr>
      <w:tr>
        <w:trPr>
          <w:trHeight w:val="239"/>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00" w:type="dxa"/>
            <w:vAlign w:val="bottom"/>
            <w:shd w:val="clear" w:color="auto" w:fill="CFF0FC"/>
          </w:tcPr>
          <w:p>
            <w:pPr>
              <w:spacing w:after="0"/>
              <w:rPr>
                <w:sz w:val="20"/>
                <w:szCs w:val="20"/>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(10,704 )</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(218 )</w:t>
            </w:r>
          </w:p>
        </w:tc>
      </w:tr>
      <w:tr>
        <w:trPr>
          <w:trHeight w:val="212"/>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64,425 shares of restricted stock</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(Net of forfeitures - 6,350)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(1,263 )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9"/>
                <w:szCs w:val="19"/>
                <w:color w:val="auto"/>
              </w:rPr>
            </w:pPr>
          </w:p>
        </w:tc>
      </w:tr>
      <w:tr>
        <w:trPr>
          <w:trHeight w:val="239"/>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Director stock awards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FF0FC"/>
          </w:tcPr>
          <w:p>
            <w:pPr>
              <w:spacing w:after="0"/>
              <w:rPr>
                <w:sz w:val="20"/>
                <w:szCs w:val="20"/>
                <w:color w:val="auto"/>
              </w:rPr>
            </w:pPr>
          </w:p>
        </w:tc>
      </w:tr>
      <w:tr>
        <w:trPr>
          <w:trHeight w:val="223"/>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 declared - $0.85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(11,477 )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(11,477 )</w:t>
            </w:r>
          </w:p>
        </w:tc>
      </w:tr>
      <w:tr>
        <w:trPr>
          <w:trHeight w:val="20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2023</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13,664,64</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3"/>
        </w:trPr>
        <w:tc>
          <w:tcPr>
            <w:tcW w:w="5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135,515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(11,040 )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221,080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(29,012 )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316,543</w:t>
            </w:r>
          </w:p>
        </w:tc>
        <w:tc>
          <w:tcPr>
            <w:tcW w:w="100" w:type="dxa"/>
            <w:vAlign w:val="bottom"/>
            <w:shd w:val="clear" w:color="auto" w:fill="CFF0FC"/>
          </w:tcPr>
          <w:p>
            <w:pPr>
              <w:spacing w:after="0"/>
              <w:rPr>
                <w:sz w:val="21"/>
                <w:szCs w:val="2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-3874135</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-3874135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-3874135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-3874135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-3874135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2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(000’s Omitted)</w:t>
            </w:r>
          </w:p>
        </w:tc>
      </w:tr>
      <w:tr>
        <w:trPr>
          <w:trHeight w:val="383"/>
        </w:trPr>
        <w:tc>
          <w:tcPr>
            <w:tcW w:w="6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2022</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2021</w:t>
            </w:r>
          </w:p>
        </w:tc>
        <w:tc>
          <w:tcPr>
            <w:tcW w:w="100" w:type="dxa"/>
            <w:vAlign w:val="bottom"/>
          </w:tcPr>
          <w:p>
            <w:pPr>
              <w:spacing w:after="0"/>
              <w:rPr>
                <w:sz w:val="24"/>
                <w:szCs w:val="24"/>
                <w:color w:val="auto"/>
              </w:rPr>
            </w:pPr>
          </w:p>
        </w:tc>
      </w:tr>
      <w:tr>
        <w:trPr>
          <w:trHeight w:val="18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22,787</w:t>
            </w:r>
          </w:p>
        </w:tc>
        <w:tc>
          <w:tcPr>
            <w:tcW w:w="320" w:type="dxa"/>
            <w:vAlign w:val="bottom"/>
          </w:tcPr>
          <w:p>
            <w:pPr>
              <w:spacing w:after="0"/>
              <w:rPr>
                <w:sz w:val="16"/>
                <w:szCs w:val="16"/>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32,515</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23,495</w:t>
            </w:r>
          </w:p>
        </w:tc>
        <w:tc>
          <w:tcPr>
            <w:tcW w:w="100" w:type="dxa"/>
            <w:vAlign w:val="bottom"/>
          </w:tcPr>
          <w:p>
            <w:pPr>
              <w:spacing w:after="0"/>
              <w:rPr>
                <w:sz w:val="16"/>
                <w:szCs w:val="16"/>
                <w:color w:val="auto"/>
              </w:rPr>
            </w:pPr>
          </w:p>
        </w:tc>
      </w:tr>
      <w:tr>
        <w:trPr>
          <w:trHeight w:val="158"/>
        </w:trPr>
        <w:tc>
          <w:tcPr>
            <w:tcW w:w="678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Adjustments to reconcile net income to net cash</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from operating activities: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2,610</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 of premiums on available-for-sale securities, net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2,090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Capitalized additions to servicing rights</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(2,710 )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(537 )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(1,417 )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Servicing rights amortization and impairment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611</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1,580</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core deposit intangible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1,657</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 of customer list intangible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accretion of fair value adjustments</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(3,569 )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(4,531 )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(1,231 )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 of subordinated note issuance costs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Director stock awards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(1,805 )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Provision for credit losses - loans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1,698</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4,600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3,444</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credit losses-Off balance sheet credit exposures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Gain on sale of loans held for sale</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(699 )</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(1,353 )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(3,897 )</w:t>
            </w: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Originations of loans held for sale</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(36,399 )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(69,410 )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(121,172 )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sale of loans held for sale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36,349</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77,650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125,095</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derivatives</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(40 )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(Gain) loss on sale of other assets owned</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(259 )</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loss on sales of available-for-sale securities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(293 )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Increase in cash surrender value of bank owned life insurance</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(834 )</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(691 )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(636 )</w:t>
            </w: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 other assets and other liabilities, net</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(6,588 )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(4,728 )</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4,586</w:t>
            </w:r>
          </w:p>
        </w:tc>
        <w:tc>
          <w:tcPr>
            <w:tcW w:w="100" w:type="dxa"/>
            <w:vAlign w:val="bottom"/>
          </w:tcPr>
          <w:p>
            <w:pPr>
              <w:spacing w:after="0"/>
              <w:rPr>
                <w:sz w:val="16"/>
                <w:szCs w:val="16"/>
                <w:color w:val="auto"/>
              </w:rPr>
            </w:pPr>
          </w:p>
        </w:tc>
      </w:tr>
      <w:tr>
        <w:trPr>
          <w:trHeight w:val="183"/>
        </w:trPr>
        <w:tc>
          <w:tcPr>
            <w:tcW w:w="6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22,146</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40,669</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34,741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Activity in available-for-sale securities: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Maturities, prepayments and calls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24,021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31,064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56,310</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Sales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21,963</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9,292</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(4,392 )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(38,377 )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(170,629 )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Activity in other securities, at cost: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(9,004 )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(1,615 )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(670 )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Change in interest-bearing time deposits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6,471</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20,216</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redemption of FHLB stock</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1,522</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sales of other assets owned</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 to premises and equipment</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(10,929 )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(2,600 )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(1,965 )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Loan originations and principal collections, net</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(219,333 )</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(395,610 )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(167,867 )</w:t>
            </w: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of Ossian Financial Services, Inc., net of cash received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Acquisition of Perpetual Federal Savings Bank, net of cash received</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(12,588 )</w:t>
            </w: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of Peoples Federal Savings and Loan, net of cash received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9,074</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3"/>
        </w:trPr>
        <w:tc>
          <w:tcPr>
            <w:tcW w:w="6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(194,088 )</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(389,904 )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(265,694 )</w:t>
            </w:r>
          </w:p>
        </w:tc>
      </w:tr>
      <w:tr>
        <w:trPr>
          <w:trHeight w:val="183"/>
        </w:trPr>
        <w:tc>
          <w:tcPr>
            <w:tcW w:w="6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change in deposits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138,939</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165,861</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170,785</w:t>
            </w:r>
          </w:p>
        </w:tc>
        <w:tc>
          <w:tcPr>
            <w:tcW w:w="100" w:type="dxa"/>
            <w:vAlign w:val="bottom"/>
            <w:shd w:val="clear" w:color="auto" w:fill="CFF0FC"/>
          </w:tcPr>
          <w:p>
            <w:pPr>
              <w:spacing w:after="0"/>
              <w:rPr>
                <w:sz w:val="16"/>
                <w:szCs w:val="16"/>
                <w:color w:val="auto"/>
              </w:rPr>
            </w:pPr>
          </w:p>
        </w:tc>
      </w:tr>
      <w:tr>
        <w:trPr>
          <w:trHeight w:val="158"/>
        </w:trPr>
        <w:tc>
          <w:tcPr>
            <w:tcW w:w="67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Net change in federal funds purchased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 sold under agreements to repurchase</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(25,988 )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24,938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(971 )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of FHLB advances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324,000</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140,000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(185,664 )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(37,394 )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(157 )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(Repayment) of other borrowings</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(10,000 )</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(30,000 )</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(218 )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(308 )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(338 )</w:t>
            </w: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issuance of subordinated notes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34,421</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dividends paid on common stock</w:t>
            </w:r>
          </w:p>
        </w:tc>
        <w:tc>
          <w:tcPr>
            <w:tcW w:w="280" w:type="dxa"/>
            <w:vAlign w:val="bottom"/>
          </w:tcPr>
          <w:p>
            <w:pPr>
              <w:spacing w:after="0"/>
              <w:rPr>
                <w:sz w:val="16"/>
                <w:szCs w:val="16"/>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(11,335 )</w:t>
            </w:r>
          </w:p>
        </w:tc>
        <w:tc>
          <w:tcPr>
            <w:tcW w:w="28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(10,276 )</w:t>
            </w:r>
          </w:p>
        </w:tc>
        <w:tc>
          <w:tcPr>
            <w:tcW w:w="1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(7,670 )</w:t>
            </w:r>
          </w:p>
        </w:tc>
      </w:tr>
      <w:tr>
        <w:trPr>
          <w:trHeight w:val="183"/>
        </w:trPr>
        <w:tc>
          <w:tcPr>
            <w:tcW w:w="6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229,734</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252,821</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236,070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57,792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(96,414 )</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5,117</w:t>
            </w:r>
          </w:p>
        </w:tc>
        <w:tc>
          <w:tcPr>
            <w:tcW w:w="100" w:type="dxa"/>
            <w:vAlign w:val="bottom"/>
          </w:tcPr>
          <w:p>
            <w:pPr>
              <w:spacing w:after="0"/>
              <w:rPr>
                <w:sz w:val="17"/>
                <w:szCs w:val="17"/>
                <w:color w:val="auto"/>
              </w:rPr>
            </w:pPr>
          </w:p>
        </w:tc>
      </w:tr>
      <w:tr>
        <w:trPr>
          <w:trHeight w:val="176"/>
        </w:trPr>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Beginning of Year</w:t>
            </w: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84,409</w:t>
            </w:r>
          </w:p>
        </w:tc>
        <w:tc>
          <w:tcPr>
            <w:tcW w:w="3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180,823</w:t>
            </w:r>
          </w:p>
        </w:tc>
        <w:tc>
          <w:tcPr>
            <w:tcW w:w="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175,706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371"/>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Year</w:t>
            </w: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142,201</w:t>
            </w:r>
          </w:p>
        </w:tc>
        <w:tc>
          <w:tcPr>
            <w:tcW w:w="320" w:type="dxa"/>
            <w:vAlign w:val="bottom"/>
          </w:tcPr>
          <w:p>
            <w:pPr>
              <w:spacing w:after="0"/>
              <w:rPr>
                <w:sz w:val="24"/>
                <w:szCs w:val="24"/>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84,409</w:t>
            </w:r>
          </w:p>
        </w:tc>
        <w:tc>
          <w:tcPr>
            <w:tcW w:w="3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180,823</w:t>
            </w:r>
          </w:p>
        </w:tc>
        <w:tc>
          <w:tcPr>
            <w:tcW w:w="100" w:type="dxa"/>
            <w:vAlign w:val="bottom"/>
          </w:tcPr>
          <w:p>
            <w:pPr>
              <w:spacing w:after="0"/>
              <w:rPr>
                <w:sz w:val="24"/>
                <w:szCs w:val="24"/>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-3899535</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-3899535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-1962150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-1962150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-642620</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-642620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-273685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-273685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(000’s Omitted)</w:t>
            </w:r>
          </w:p>
        </w:tc>
      </w:tr>
      <w:tr>
        <w:trPr>
          <w:trHeight w:val="417"/>
        </w:trPr>
        <w:tc>
          <w:tcPr>
            <w:tcW w:w="67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4"/>
                <w:szCs w:val="24"/>
                <w:color w:val="auto"/>
              </w:rPr>
            </w:pPr>
          </w:p>
        </w:tc>
      </w:tr>
      <w:tr>
        <w:trPr>
          <w:trHeight w:val="220"/>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55,119</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13,748</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tcPr>
          <w:p>
            <w:pPr>
              <w:spacing w:after="0"/>
              <w:rPr>
                <w:sz w:val="19"/>
                <w:szCs w:val="19"/>
                <w:color w:val="auto"/>
              </w:rPr>
            </w:pPr>
          </w:p>
        </w:tc>
      </w:tr>
      <w:tr>
        <w:trPr>
          <w:trHeight w:val="239"/>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taxes paid</w:t>
            </w: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00" w:type="dxa"/>
            <w:vAlign w:val="bottom"/>
            <w:shd w:val="clear" w:color="auto" w:fill="CFF0FC"/>
          </w:tcPr>
          <w:p>
            <w:pPr>
              <w:spacing w:after="0"/>
              <w:rPr>
                <w:sz w:val="20"/>
                <w:szCs w:val="20"/>
                <w:color w:val="auto"/>
              </w:rPr>
            </w:pPr>
          </w:p>
        </w:tc>
      </w:tr>
      <w:tr>
        <w:trPr>
          <w:trHeight w:val="220"/>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noncash disclosures: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Transfer of loans to other real estate owned</w:t>
            </w: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FF0FC"/>
          </w:tcPr>
          <w:p>
            <w:pPr>
              <w:spacing w:after="0"/>
              <w:rPr>
                <w:sz w:val="20"/>
                <w:szCs w:val="20"/>
                <w:color w:val="auto"/>
              </w:rPr>
            </w:pPr>
          </w:p>
        </w:tc>
      </w:tr>
      <w:tr>
        <w:trPr>
          <w:trHeight w:val="220"/>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not paid</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tcPr>
          <w:p>
            <w:pPr>
              <w:spacing w:after="0"/>
              <w:rPr>
                <w:sz w:val="19"/>
                <w:szCs w:val="19"/>
                <w:color w:val="auto"/>
              </w:rPr>
            </w:pPr>
          </w:p>
        </w:tc>
      </w:tr>
      <w:tr>
        <w:trPr>
          <w:trHeight w:val="212"/>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Company purchased the assets of Ossian Financial Services, Inc. for $20,001 on April 30, 2021.</w:t>
            </w: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 conjunction with the acquisition, liabilities were assumed as follows:</w:t>
            </w: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137,058</w:t>
            </w:r>
          </w:p>
        </w:tc>
        <w:tc>
          <w:tcPr>
            <w:tcW w:w="100" w:type="dxa"/>
            <w:vAlign w:val="bottom"/>
          </w:tcPr>
          <w:p>
            <w:pPr>
              <w:spacing w:after="0"/>
              <w:rPr>
                <w:sz w:val="19"/>
                <w:szCs w:val="19"/>
                <w:color w:val="auto"/>
              </w:rPr>
            </w:pPr>
          </w:p>
        </w:tc>
      </w:tr>
      <w:tr>
        <w:trPr>
          <w:trHeight w:val="233"/>
        </w:trPr>
        <w:tc>
          <w:tcPr>
            <w:tcW w:w="6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the capital stock</w:t>
            </w:r>
          </w:p>
        </w:tc>
        <w:tc>
          <w:tcPr>
            <w:tcW w:w="8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117,057</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Company purchased all of the capital stock of Perpetual Federal Savings Bank for $100,312 on</w:t>
            </w:r>
          </w:p>
        </w:tc>
        <w:tc>
          <w:tcPr>
            <w:tcW w:w="8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October 1, 2021. In conjunction with the acquisition, liabilities were assumed as follows:</w:t>
            </w: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420,162</w:t>
            </w:r>
          </w:p>
        </w:tc>
        <w:tc>
          <w:tcPr>
            <w:tcW w:w="100" w:type="dxa"/>
            <w:vAlign w:val="bottom"/>
          </w:tcPr>
          <w:p>
            <w:pPr>
              <w:spacing w:after="0"/>
              <w:rPr>
                <w:sz w:val="19"/>
                <w:szCs w:val="19"/>
                <w:color w:val="auto"/>
              </w:rPr>
            </w:pPr>
          </w:p>
        </w:tc>
      </w:tr>
      <w:tr>
        <w:trPr>
          <w:trHeight w:val="239"/>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common stock issued</w:t>
            </w: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41,078</w:t>
            </w:r>
          </w:p>
        </w:tc>
        <w:tc>
          <w:tcPr>
            <w:tcW w:w="100" w:type="dxa"/>
            <w:vAlign w:val="bottom"/>
            <w:shd w:val="clear" w:color="auto" w:fill="CFF0FC"/>
          </w:tcPr>
          <w:p>
            <w:pPr>
              <w:spacing w:after="0"/>
              <w:rPr>
                <w:sz w:val="20"/>
                <w:szCs w:val="20"/>
                <w:color w:val="auto"/>
              </w:rPr>
            </w:pPr>
          </w:p>
        </w:tc>
      </w:tr>
      <w:tr>
        <w:trPr>
          <w:trHeight w:val="223"/>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the capital stock</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59,234</w:t>
            </w:r>
          </w:p>
        </w:tc>
        <w:tc>
          <w:tcPr>
            <w:tcW w:w="100" w:type="dxa"/>
            <w:vAlign w:val="bottom"/>
          </w:tcPr>
          <w:p>
            <w:pPr>
              <w:spacing w:after="0"/>
              <w:rPr>
                <w:sz w:val="19"/>
                <w:szCs w:val="19"/>
                <w:color w:val="auto"/>
              </w:rPr>
            </w:pPr>
          </w:p>
        </w:tc>
      </w:tr>
      <w:tr>
        <w:trPr>
          <w:trHeight w:val="263"/>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319,850</w:t>
            </w:r>
          </w:p>
        </w:tc>
        <w:tc>
          <w:tcPr>
            <w:tcW w:w="100" w:type="dxa"/>
            <w:vAlign w:val="bottom"/>
            <w:shd w:val="clear" w:color="auto" w:fill="CFF0FC"/>
          </w:tcPr>
          <w:p>
            <w:pPr>
              <w:spacing w:after="0"/>
              <w:rPr>
                <w:sz w:val="22"/>
                <w:szCs w:val="22"/>
                <w:color w:val="auto"/>
              </w:rPr>
            </w:pPr>
          </w:p>
        </w:tc>
      </w:tr>
      <w:tr>
        <w:trPr>
          <w:trHeight w:val="189"/>
        </w:trPr>
        <w:tc>
          <w:tcPr>
            <w:tcW w:w="6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The Company purchased all of the capital stock of Peoples Federal Savings and Loan for</w:t>
            </w:r>
          </w:p>
        </w:tc>
        <w:tc>
          <w:tcPr>
            <w:tcW w:w="8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$23,249 on October 1, 2022. In conjunction with the acquisition, liabilities were assumed as</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follows: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141,818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common stock issued</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Treasury stock repurchased</w:t>
            </w:r>
          </w:p>
        </w:tc>
        <w:tc>
          <w:tcPr>
            <w:tcW w:w="8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the capital stock</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6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118,569</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-2236470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-2236470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-1190625</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-1173480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-1190625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-1173480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Farmers &amp; Merchants Bancorp, Inc. (the Company) through its bank subsidiary, The Farmers &amp; Merchants State Bank (the Bank) provides a variety of financial services to individuals and small businesses through its offices in Northwest Ohio, Northeast Indiana and Southern Michigan.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Consolidation Policy</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The Bank includes FM Insurance Agency, LLC, a subsidiary offering insurance products which was formed in November 2023. All significant inter-company balances and transactions have been eliminated.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credit losses, the valuation of loan servicing rights, interest rate swaps and the valuation of goodwill. Actual results could differ from those estimates.</w:t>
      </w:r>
    </w:p>
    <w:p>
      <w:pPr>
        <w:spacing w:after="0" w:line="18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determination of the adequacy of the allowance for credit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communities we serve.</w:t>
      </w:r>
    </w:p>
    <w:p>
      <w:pPr>
        <w:spacing w:after="0" w:line="17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sold are outstanding for one day periods.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Restrictions on Cash and Amounts Due from Banks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Effective March 26, 2020, the Bank is no longer required to maintain average balances on hand with the Federal Reserve Bank. The Company and its subsidiaries maintain cash balances with high quality financial institutions. At times such balances may be in excess of the federally insured limits.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tax, in other comprehensive income (loss). Gains and losses on sales of securities are determined on the specific-identification method.</w:t>
      </w:r>
    </w:p>
    <w:p>
      <w:pPr>
        <w:spacing w:after="0" w:line="225"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Declines in the fair value of securities below their cost that are deemed to be the result of credit quality are recorded in the Company's consolidated statement of income as a component of the provision for credit loss. In estimating whether the unrealized loss requires an allowance for credit losses, management considers (1) fair value of the security has significantly declined from book value, (2) downgrade has occurred that lowered the credit rating to below investment grade, (3) dividends have been reduced or eliminated or scheduled interest payments have not been made and (4) the intent and ability of the Company to retain its investment in the issuer for a period of time sufficient to allow for any anticipated recovery in fair value. Adjustments to the allowance are recorded in the Company's consolidated statement of income as part of the provision for credit losses.</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21"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Other Securities consist of stock in the Federal Home Loan Banks of Cincinnati and Indianapolis (the “FHLBs”), which is held to enable the Bank to conduct business with the entities. The FHLBs sell and purchase their stock at par. The FHLBs stock is carried at cost and held as collateral security for all indebtedness of the Bank to the Federal Home Loan Bank. The FHLBs stock is evaluated for impairment as conditions warrant. Other Securities also include the Bank’s capital contributions to four Ohio Equity Funds for Housing Limited Partnership.</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121"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$10.2 and $8.6 million at December 31, 2023 and December 31, 2022, respectively, and was reported in Other Assets on the Company’s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repayments.</w:t>
      </w:r>
    </w:p>
    <w:p>
      <w:pPr>
        <w:spacing w:after="0" w:line="187"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and credit card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83"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83" w:lineRule="exact"/>
        <w:rPr>
          <w:sz w:val="20"/>
          <w:szCs w:val="20"/>
          <w:color w:val="auto"/>
        </w:rPr>
      </w:pPr>
    </w:p>
    <w:p>
      <w:pPr>
        <w:jc w:val="both"/>
        <w:ind w:left="740" w:right="20"/>
        <w:spacing w:after="0" w:line="282" w:lineRule="auto"/>
        <w:rPr>
          <w:sz w:val="20"/>
          <w:szCs w:val="20"/>
          <w:color w:val="auto"/>
        </w:rPr>
      </w:pPr>
      <w:r>
        <w:rPr>
          <w:rFonts w:ascii="Times New Roman" w:cs="Times New Roman" w:eastAsia="Times New Roman" w:hAnsi="Times New Roman"/>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probable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external, independent loan review of approximately 35% of its commercial and agricultural loan portfolio. Management in turn assesses the results from the reviews to make changes in internal risk ratings of loans and the related ACL.</w:t>
      </w:r>
    </w:p>
    <w:p>
      <w:pPr>
        <w:spacing w:after="0" w:line="189"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probable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Construction &amp; Land Development, Multi-family real estate, Commercial &amp; Industrial, Farmland, Agriculture, Single Family real estate, Home Equity Lines of Credit,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89"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Due to the Company’s loss history not being sufficient enough to predict future losses, the Company is utilizing peer data from a peer group of 307 banks in the region with asset sizes less than $5 billion.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Change in real GDP and National Unemployment is completed. Annual projections are broken down using a straight-line approach for quarterly changes.</w:t>
      </w:r>
    </w:p>
    <w:p>
      <w:pPr>
        <w:spacing w:after="0" w:line="187"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to assess the general reserve on the loan portfolio.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87"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$0.4 million at December 31, 2023, and $2.0 million at December 31, 2022.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89"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83"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Inherent in most estimates is imprecision. Bank regulatory agencies and external auditors periodically review the Bank’s methodology and adequacy of the ACL. Any required changes in the ACL or loan charge-offs by these agencies or auditors may have a material effect on the ACL.</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87"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here with the notes to consolidated financial statements.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Company uses derivative financial instruments to help manage exposure to interest rate risk and the effects that changes in interest rates may have on net income and the fair value of assets and liabilities. The Company enters into interest rate swap agreements as part of its asset liability management strategy to help manage its interest rate risk position.</w:t>
      </w:r>
    </w:p>
    <w:p>
      <w:pPr>
        <w:spacing w:after="0" w:line="176"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Designating an interest rate swap as an accounting hedge allows the Company to recognize gains and losses, less any ineffectiveness, in the Company's consolidated statements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ervicing Assets</w:t>
      </w:r>
    </w:p>
    <w:p>
      <w:pPr>
        <w:spacing w:after="0" w:line="121"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Servicing assets are recognized as separate assets when rights are acquired through purchase or sale of financial assets. These rights are composed of servicing rights for 1-4 family real estate loans and agricultural real estate loans. The Bank’s servicing rights relating to fixed rate 1-4 family real estate loans and agricultural real estate loans that it has sold without recourse but services for others for a fee represent an asset on the Bank’s balance sheet.</w:t>
      </w:r>
    </w:p>
    <w:p>
      <w:pPr>
        <w:spacing w:after="0" w:line="180"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amortized cost. Impairment is determined by stratifying rights by predominant characteristics, such as interest rates and terms. The 1-4 family real estate and agricultural real estate valuations are similar in concept; however, utilize different strata, prepayment speeds and other assumptions in order to account for the differences in behavior between agricultural real estate loans and 1-4 family real estate loans. Fair value is determined using prices for similar assets with similar characteristics, when available, or based upon discounted cash flows using market-based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1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is recognized in the period identified. The goodwill impairment analysis was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51"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performed as of September 30, 2023 by an independent third party. The goodwill impairment analysis consisted of a first step goodwill impairment test which was used to identify potential impairment by comparing the fair value of the relevant reporting entity with its carrying value, including goodwill. The analysis was performed under guidance of FASB ASC 350. As of September 30, 2023, the excess fair value of capital was $8.8 million or 2.7% over the carrying value and was slightly over 0.1 times the value of goodwill being carried. Since the date of the goodwill impairment analysis, Farmers &amp; Merchants Bancorp, Inc. (FMAO) has added more than $85 million in market capitalization as bank equities have dramatically increased in the fourth quarter of 2023. While not a dollar for dollar increase in the fair value estimate, there would have been a larger excess than $8.8 million. Therefore, the Bank concluded it is unlikely impairment of goodwill has occurred from the goodwill established from the Bank’s acquisition of Knisely on December 31, 2007, the acquisition of Bank of Geneva on January 1, 2019, the acquisition of Ossian State Bank on April 30, 2021, the acquisition of Perpetual Federal Savings Bank on October 1, 2021 and the acquisition of Peoples Federal Savings and Loan on October 1, 2022.</w:t>
      </w:r>
    </w:p>
    <w:p>
      <w:pPr>
        <w:spacing w:after="0" w:line="194"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Other intangible assets consist of core deposit and customer list intangible assets arising from business acquisitions. They are initially measured at fair value and then are amortized on a straight line method over their estimated useful lives and evaluated for impairment. These assets are included in other assets on the Company's consolidated balance sheets.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Off Balance Sheet Instruments</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Bank has entered into commitments to extend credit, including commitments, commercial letters of credit and standby letters of credit. Such financial instruments are recorded when they are funded.</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Foreclosed Real Estate</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The Bank held no foreclosed real estate at December 31, 2023 or December 31, 2022.</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Premises and Equipment</w:t>
      </w:r>
    </w:p>
    <w:p>
      <w:pPr>
        <w:spacing w:after="0" w:line="229"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Bank Owned Life Insurance</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Bank owned life insurance policies are carried at their cash surrender value. The Bank recognizes tax-free income from the periodic increases in the cash surrender value of these policies and from death benefits.</w:t>
      </w: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Accounting Standards Codification 606, “Revenue from Contracts with Customers"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The adoption of ASC 606 did not result in a change to the accounting for any of the Company’s revenue streams that</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5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are within scope of the amendments. Revenue-generating activities that are within the scope of ASC 606 that are presented as noninterest income in the Company’s consolidated statements of income include:</w:t>
      </w:r>
    </w:p>
    <w:p>
      <w:pPr>
        <w:spacing w:after="0" w:line="54" w:lineRule="exact"/>
        <w:rPr>
          <w:sz w:val="20"/>
          <w:szCs w:val="20"/>
          <w:color w:val="auto"/>
        </w:rPr>
      </w:pPr>
    </w:p>
    <w:p>
      <w:pPr>
        <w:jc w:val="both"/>
        <w:ind w:left="1480" w:hanging="369"/>
        <w:spacing w:after="0" w:line="266"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fees – these include miscellaneous service fees and transaction-based fees charged for certain services, such as debit card. Revenue is recognized when the performance obligation is completed, which is generally after a transaction is completed or monthly for account maintenance services.</w:t>
      </w:r>
    </w:p>
    <w:p>
      <w:pPr>
        <w:spacing w:after="0" w:line="67" w:lineRule="exact"/>
        <w:rPr>
          <w:rFonts w:ascii="Times New Roman" w:cs="Times New Roman" w:eastAsia="Times New Roman" w:hAnsi="Times New Roman"/>
          <w:sz w:val="18"/>
          <w:szCs w:val="18"/>
          <w:color w:val="auto"/>
        </w:rPr>
      </w:pPr>
    </w:p>
    <w:p>
      <w:pPr>
        <w:jc w:val="both"/>
        <w:ind w:left="1480" w:hanging="369"/>
        <w:spacing w:after="0" w:line="261"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 charges and fees – these include service fees charged for deposit account maintenance and activity along with transaction-based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Company’s income tax expense consists of the following components for federal and state: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83"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8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if any, related to unrecognized tax benefits in tax expense. Based on management’s analysis, the Company did not have any uncertain tax positions as of December 31, 2023 and 2022 With a few exceptions, the Company is no longer subject to U.S. Federal, state or local examinations by tax authorities for years before 2020.</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Basic earnings per share represent income available to common stockholders divided by the weighted-average number of common shares outstanding during the period. See Note 13 for additional information.</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 advantage of that right) to pledge or exchange the transferred assets and (3) the Corporation does not maintain effective control over the transferred assets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through an agreement to repurchase them before their maturity or the ability to unilaterally cause the holder to return specific assets.</w:t>
      </w:r>
    </w:p>
    <w:p>
      <w:pPr>
        <w:spacing w:after="0" w:line="2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Common stock shares repurchased are recorded at market value on date of purchase. Restricted shares when awarded are removed from treasury stock using the weighted average method.</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components of other comprehensive income (loss) and related tax effects are as follows: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(44,366 )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(10,948 )</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 for (gain) loss on sale of</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34"/>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(44,366 )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(11,241 )</w:t>
            </w: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(9,317 )</w:t>
            </w: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(2,360 )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(35,049 )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(8,881 )</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-25400</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-8255</wp:posOffset>
            </wp:positionV>
            <wp:extent cx="603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-25400</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-8255</wp:posOffset>
            </wp:positionV>
            <wp:extent cx="51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-25400</wp:posOffset>
            </wp:positionV>
            <wp:extent cx="51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-8255</wp:posOffset>
            </wp:positionV>
            <wp:extent cx="51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 (Topic 326): Measurement of Credit Losses on Financial Instruments.</w:t>
      </w:r>
      <w:r>
        <w:rPr>
          <w:rFonts w:ascii="Times New Roman" w:cs="Times New Roman" w:eastAsia="Times New Roman" w:hAnsi="Times New Roman"/>
          <w:sz w:val="18"/>
          <w:szCs w:val="18"/>
          <w:color w:val="auto"/>
        </w:rPr>
        <w:t>” This ASU required the measurement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financial assets held at the reporting date to be based on historical experience, current conditions, and reasonable and supportable forecasts. Financial institutions and other organizations now use forward-looking information to better calculate their credit loss estimates. Many of the loss estimation techniques used prior to adoption of the ASU are still permitted, although the inputs to those techniques were changed to reflect the full amount of expected credit losses. Organizations continue to use judgment to determine which loss estimation method is appropriate for their circumstances. The ASU required enhanced disclosures to help investors and other financial statement users better understand significant estimates and judgments used in estimating credit losses, as well as the credit quality and underwriting standards of an organization’s portfolio. These disclosures included qualitative and quantitative requirements that provided additional information about the amounts recorded in the financial statements. In addition, the ASU amended the accounting for credit losses on available-for-sale debt securities and purchased financial assets with credit deterioration.</w:t>
      </w:r>
    </w:p>
    <w:p>
      <w:pPr>
        <w:spacing w:after="0" w:line="194"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Current Expected Credit Losses (“CECL”) methodology applies to loans held for investment, held to maturity debt securities, and off balance-sheet credit exposures. The ASU allows for several different methods of computing the ACL: closed pool, vintage, average charge-off, migration, probability of default / loss given default, discounted cash flow, and regression. Based on its analysis of observable data, the Company concluded the average charge-off method to be the most appropriate and statistically relevant.</w:t>
      </w:r>
    </w:p>
    <w:p>
      <w:pPr>
        <w:spacing w:after="0" w:line="180"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Company began working with its third-party service provider to review parallel reports in June 2019. At the end of first quarter 2022, the Company evaluated and refined its methodology and produced a parallel report for the calculation of the ACL under the ASU guidance. The Company contracted with a third party to perform an independent validation of its processes and methodology. This validation has been completed and, at this time, is anticipated to be performed on an annual basis. As the Company conducts its own risk-based audits, the audit risk assessment will determine the scope and frequency of future model validations.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qualitative impact of the new accounting standard will still be directed by many of the same factors that impacted the previous methodology for computing the allowance including, but not limited to, quality and experience of staff, changes in the value of collateral, concentrations of credit in loan types or industries and changes to lending policies. In addition to this, the Company will also use reasonable and supportable forecasts. Examples of this are regression analyses of data from the Federal Open Market Committee, quarterly economic projections for change in real GDP and of national unemployment.</w:t>
      </w:r>
    </w:p>
    <w:p>
      <w:pPr>
        <w:spacing w:after="0" w:line="18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adopted ASU 2016-13 on January 1, 2023, using the modified retrospective method for all financial assets measured at amortized cost and off-balance sheet credit exposures. Results for reporting periods beginning after January 1, 2023 are presented under CECL while prior period amounts continue to be reported in accordance with the incurred loss accounting standards. The Company did not make any material changes to its business practices as a result of implementing the ASU.</w:t>
      </w:r>
    </w:p>
    <w:p>
      <w:pPr>
        <w:spacing w:after="0" w:line="18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transition adjustment of the CECL adoption included an increase in the allowance for loan losses of $3.6 million, an increase in the allowance for unfunded loan commitment and letters of credit of $0.9 million and a $3.4 million decrease to the retained earnings account to reflect the cumulative effect of adopting CECL on the Company's consolidated balance sheets, with the $1.1 million tax impact portion being recorded as part of the deferred tax asset in other assets on the Company's consolidated balance sheets.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illustrates the impact of adopting the ASU:</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January 1,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As Reported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Impact of</w:t>
            </w:r>
          </w:p>
        </w:tc>
        <w:tc>
          <w:tcPr>
            <w:tcW w:w="100" w:type="dxa"/>
            <w:vAlign w:val="bottom"/>
          </w:tcPr>
          <w:p>
            <w:pPr>
              <w:spacing w:after="0"/>
              <w:rPr>
                <w:sz w:val="20"/>
                <w:szCs w:val="20"/>
                <w:color w:val="auto"/>
              </w:rPr>
            </w:pPr>
          </w:p>
        </w:tc>
      </w:tr>
      <w:tr>
        <w:trPr>
          <w:trHeight w:val="238"/>
        </w:trPr>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Under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Pre-ASU 2016-13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ASU 2016-13</w:t>
            </w:r>
          </w:p>
        </w:tc>
      </w:tr>
      <w:tr>
        <w:trPr>
          <w:trHeight w:val="250"/>
        </w:trPr>
        <w:tc>
          <w:tcPr>
            <w:tcW w:w="5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ASU 2016-13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Pr>
          <w:p>
            <w:pPr>
              <w:spacing w:after="0"/>
              <w:rPr>
                <w:sz w:val="20"/>
                <w:szCs w:val="20"/>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(2,165 )</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r>
      <w:tr>
        <w:trPr>
          <w:trHeight w:val="247"/>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Unfunded Loan Commitment &amp; Letters of Credit</w:t>
            </w:r>
          </w:p>
        </w:tc>
        <w:tc>
          <w:tcPr>
            <w:tcW w:w="26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Expected Credit Losses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26,043</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-187960</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 March 2022, the FASB issued ASU 2022-02 "</w:t>
      </w:r>
      <w:r>
        <w:rPr>
          <w:rFonts w:ascii="Times New Roman" w:cs="Times New Roman" w:eastAsia="Times New Roman" w:hAnsi="Times New Roman"/>
          <w:sz w:val="18"/>
          <w:szCs w:val="18"/>
          <w:i w:val="1"/>
          <w:iCs w:val="1"/>
          <w:color w:val="auto"/>
        </w:rPr>
        <w:t>Financial Instruments -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eliminates the accounting guidance on troubled debt restructurings for creditors in ASC 310-40 and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all receivable modifications under ASC 310-20 to determine whether a modification made to a borrower results in a new loan or a continuation of the existing loan. The amended guidance adds enhanced disclosures for creditors with respect to loan refinancings and restructurings for borrowers experiencing financial difficulty. The amended guidance also requires disclosure of current period gross charge-offs by year of origination within the vintage disclosures required by ASC 326. The amended guidance was effective for the Company on January 1, 2023. The Company adopted ASU 2022-02 effective January 1, 2023. There was no financial impact as a result of adopting the standard.</w:t>
      </w:r>
    </w:p>
    <w:p>
      <w:pPr>
        <w:spacing w:after="0" w:line="18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 March 2022, the Sixth Circuit issued a ruling in CIC Services LLC v IRS vacating a previously referenced IRS Notice 2016-66. That ruling, as it stood, would remove the requirement of disclosure on Form 8886. However, on April 10, 2023, the IRS issued IR-2023-74 proposing regulations that classify Sec. 831(b) captives with less than a 65% claims loss ratio over a 10-year period as a "listed transaction." This provision would apply to only captives that have been in existence for at least 10 years. This is a change from Notice 2016-66 which classified Sec. 831(b) captives with less than a 70% claims loss ratio as a "transaction of interest." Final regulations are expected to be issued in Q1 2024. Management and its advisors are in the process of evaluating the impact of these proposed regulations. The Company dissolved its Captive insurance company, F&amp;M Risk Management, in December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7"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The amendments in this Update are the result of the FASB’s decision to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480" w:firstLine="5"/>
        <w:spacing w:after="0" w:line="26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ind w:left="1480" w:right="20" w:firstLine="5"/>
        <w:spacing w:after="0" w:line="250" w:lineRule="auto"/>
        <w:tabs>
          <w:tab w:leader="none" w:pos="16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ind w:left="1480" w:firstLine="5"/>
        <w:spacing w:after="0" w:line="260" w:lineRule="auto"/>
        <w:tabs>
          <w:tab w:leader="none" w:pos="16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73"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The</w:t>
      </w:r>
    </w:p>
    <w:p>
      <w:pPr>
        <w:spacing w:after="0" w:line="38" w:lineRule="exact"/>
        <w:rPr>
          <w:sz w:val="20"/>
          <w:szCs w:val="20"/>
          <w:color w:val="auto"/>
        </w:rPr>
      </w:pPr>
    </w:p>
    <w:p>
      <w:pPr>
        <w:ind w:left="740" w:right="60"/>
        <w:spacing w:after="0" w:line="253" w:lineRule="auto"/>
        <w:rPr>
          <w:sz w:val="20"/>
          <w:szCs w:val="20"/>
          <w:color w:val="auto"/>
        </w:rPr>
      </w:pPr>
      <w:r>
        <w:rPr>
          <w:rFonts w:ascii="Times New Roman" w:cs="Times New Roman" w:eastAsia="Times New Roman" w:hAnsi="Times New Roman"/>
          <w:sz w:val="18"/>
          <w:szCs w:val="18"/>
          <w:color w:val="auto"/>
        </w:rPr>
        <w:t>amendments in this Update improve reportable segment disclosure requirements, primarily through enhanced disclosures about significant segment expenses. The amendments in this Update primarily require that a public entity disclose, on an annual and interim basis, significant segment expenses that are regularly provided to the chief operating decision maker; require that a public entity disclose the title and position of the chief operating decision maker and an explanation of how the chief operating decision maker uses the reported measure(s) of segment profit or loss in assessing segment performance and deciding how to allocate resources; require that a public entity that has a single reportable segment provide all the disclosures required by the amendments in this Update and all existing segment disclosures in Topic 280.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Management is evaluating the Update and does not expect adoption of the Update to have a material effect on the Company’s financial position or results of operations.</w:t>
      </w:r>
    </w:p>
    <w:p>
      <w:pPr>
        <w:spacing w:after="0" w:line="192"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is evaluating the Update and does not expect adoption of the Update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Note 2 – Business Combination &amp; Asset Purchase</w:t>
      </w:r>
    </w:p>
    <w:p>
      <w:pPr>
        <w:spacing w:after="0" w:line="121"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Bank, a community bank with three full-service offices in Sidney, Anna and Jackson Center, Ohio in addition to a separate drive-thru location in Sidney, Ohio. PPSF shareholders had the opportunity to elect to receive either 0.6597 shares of FMAO stock or $24.00 per share in cash for each PPSF share owned, subject to a requirement under the Merger Agreement that the minimum number of PPSF shares exchanged for Farmers &amp; Merchants Bancorp, Inc.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consisting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194"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2022, the Company incurred additional third-party acquisition-related costs of $2.4 million. These expenses were comprised primarily of data processing costs of $1.1 million, consulting fees of $542.9 thousand, employee benefits of $126.5 thousand and other general and administrative expense of $501.0 thousand in the Company’s consolidated statement of income for the year ended December 31, 2022.</w:t>
      </w:r>
    </w:p>
    <w:p>
      <w:pPr>
        <w:spacing w:after="0" w:line="17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2023, the Company has incurred additional third-party acquisition-related costs of $200 thousand. These expenses are comprised of employee benefits of $137.2 thousand, data processing costs of $12.9 thousand, consulting fees of $5.2 thousand and other general and administrative expense of $44.7 thousand in the Company’s consolidated statement of income for the year ended December 31, 2023.</w:t>
      </w:r>
    </w:p>
    <w:p>
      <w:pPr>
        <w:spacing w:after="0" w:line="176"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Bank. Of that total amount, none of the purchase price is deductible for tax purposes. The following table summarizes the consideration paid for Peoples Federal Savings and Loan Bank and the amounts of the assets acquired and liabilities assumed recognized at the acquisition date.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800" w:type="dxa"/>
            <w:vAlign w:val="bottom"/>
          </w:tcPr>
          <w:p>
            <w:pPr>
              <w:spacing w:after="0"/>
              <w:rPr>
                <w:sz w:val="24"/>
                <w:szCs w:val="24"/>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tc>
        <w:tc>
          <w:tcPr>
            <w:tcW w:w="0" w:type="dxa"/>
            <w:vAlign w:val="bottom"/>
          </w:tcPr>
          <w:p>
            <w:pPr>
              <w:spacing w:after="0"/>
              <w:rPr>
                <w:sz w:val="1"/>
                <w:szCs w:val="1"/>
                <w:color w:val="auto"/>
              </w:rPr>
            </w:pPr>
          </w:p>
        </w:tc>
      </w:tr>
      <w:tr>
        <w:trPr>
          <w:trHeight w:val="45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7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(500,426 shares)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repurchased (125 shares)</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1"/>
        </w:trPr>
        <w:tc>
          <w:tcPr>
            <w:tcW w:w="6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2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 bearing</w:t>
            </w:r>
          </w:p>
        </w:tc>
        <w:tc>
          <w:tcPr>
            <w:tcW w:w="2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bearing</w:t>
            </w:r>
          </w:p>
        </w:tc>
        <w:tc>
          <w:tcPr>
            <w:tcW w:w="2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deposits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included loans with a fair value of $101.8 million and a weighted average life of 44.4 months. The gross principal and contractual interest due under the contracts was $116.1 million of which none were expected to be uncollectible.</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up $581 thousand with $597 thousand attributable to the buildings and is being amortized over the remaining life of each building. The combined average remaining life was 12.8 years.</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for certificates of deposit incorporated a valuation amount of $662 thousand which was amortized over 1.1 years. The fair value of Federal Home Loan Bank (FHLB) advances included a valuation amount of $69 thousand which is being amortized over 5.2 years.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52"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39"/>
        </w:trPr>
        <w:tc>
          <w:tcPr>
            <w:tcW w:w="4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Pr>
          <w:p>
            <w:pPr>
              <w:spacing w:after="0"/>
              <w:rPr>
                <w:sz w:val="20"/>
                <w:szCs w:val="20"/>
                <w:color w:val="auto"/>
              </w:rPr>
            </w:pPr>
          </w:p>
        </w:tc>
      </w:tr>
      <w:tr>
        <w:trPr>
          <w:trHeight w:val="24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20"/>
                <w:szCs w:val="20"/>
                <w:color w:val="auto"/>
              </w:rPr>
            </w:pPr>
          </w:p>
        </w:tc>
      </w:tr>
      <w:tr>
        <w:trPr>
          <w:trHeight w:val="252"/>
        </w:trPr>
        <w:tc>
          <w:tcPr>
            <w:tcW w:w="4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(232 )</w:t>
            </w: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9"/>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4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1"/>
        </w:trPr>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Borders>
              <w:top w:val="single" w:sz="8" w:color="CFF0FC"/>
            </w:tcBorders>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-187960</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jc w:val="both"/>
        <w:ind w:left="760"/>
        <w:spacing w:after="0" w:line="281"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w:t>
      </w:r>
    </w:p>
    <w:p>
      <w:pPr>
        <w:sectPr>
          <w:pgSz w:w="11900" w:h="16838" w:orient="portrait"/>
          <w:cols w:equalWidth="0" w:num="1">
            <w:col w:w="11240"/>
          </w:cols>
          <w:pgMar w:left="320" w:top="779"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41" w:lineRule="exact"/>
        <w:rPr>
          <w:sz w:val="20"/>
          <w:szCs w:val="20"/>
          <w:color w:val="auto"/>
        </w:rPr>
      </w:pPr>
    </w:p>
    <w:p>
      <w:pPr>
        <w:jc w:val="both"/>
        <w:ind w:left="740"/>
        <w:spacing w:after="0" w:line="260" w:lineRule="auto"/>
        <w:rPr>
          <w:sz w:val="20"/>
          <w:szCs w:val="20"/>
          <w:color w:val="auto"/>
        </w:rPr>
      </w:pPr>
      <w:r>
        <w:rPr>
          <w:rFonts w:ascii="Times New Roman" w:cs="Times New Roman" w:eastAsia="Times New Roman" w:hAnsi="Times New Roman"/>
          <w:sz w:val="18"/>
          <w:szCs w:val="18"/>
          <w:color w:val="auto"/>
        </w:rPr>
        <w:t>be issued in the merger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increased its deposit base and reduced transaction costs. The Company also reduced costs through economies of scale.</w:t>
      </w:r>
    </w:p>
    <w:p>
      <w:pPr>
        <w:spacing w:after="0" w:line="182"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2021, the Company incurred additional third-party acquisition-related costs of $1.7 million. These expenses were comprised of employee benefits of $131.5 thousand, data processing costs of $444.9 thousand, consulting fees of $636.8 thousand and other general and administrative expense of $488.3 thousand in the Company’s consolidated statement of income for the year ended December 31, 2021.</w:t>
      </w:r>
    </w:p>
    <w:p>
      <w:pPr>
        <w:spacing w:after="0" w:line="17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2022, the Company incurred additional third-party acquisition-related costs of $148.5 thousand. These expenses were comprised of employee benefits of $90.8 thousand and other general and administrative expense of $57.7 thousand in the Company’s consolidated statement of income for the year ended December 31, 2022.</w:t>
      </w:r>
    </w:p>
    <w:p>
      <w:pPr>
        <w:spacing w:after="0" w:line="176"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 The following table summarizes the consideration paid for Perpetual Federal Savings Bank and the amounts of the assets acquired and liabilities assumed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800" w:type="dxa"/>
            <w:vAlign w:val="bottom"/>
          </w:tcPr>
          <w:p>
            <w:pPr>
              <w:spacing w:after="0"/>
              <w:rPr>
                <w:sz w:val="24"/>
                <w:szCs w:val="24"/>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6800" w:type="dxa"/>
            <w:vAlign w:val="bottom"/>
          </w:tcPr>
          <w:p>
            <w:pPr>
              <w:spacing w:after="0"/>
              <w:rPr>
                <w:sz w:val="21"/>
                <w:szCs w:val="21"/>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tc>
      </w:tr>
      <w:tr>
        <w:trPr>
          <w:trHeight w:val="45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7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(1,833,845 shares)</w:t>
            </w: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41,078</w:t>
            </w:r>
          </w:p>
        </w:tc>
        <w:tc>
          <w:tcPr>
            <w:tcW w:w="100" w:type="dxa"/>
            <w:vAlign w:val="bottom"/>
          </w:tcPr>
          <w:p>
            <w:pPr>
              <w:spacing w:after="0"/>
              <w:rPr>
                <w:sz w:val="20"/>
                <w:szCs w:val="20"/>
                <w:color w:val="auto"/>
              </w:rPr>
            </w:pPr>
          </w:p>
        </w:tc>
      </w:tr>
      <w:tr>
        <w:trPr>
          <w:trHeight w:val="281"/>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100,312</w:t>
            </w:r>
          </w:p>
        </w:tc>
        <w:tc>
          <w:tcPr>
            <w:tcW w:w="100" w:type="dxa"/>
            <w:vAlign w:val="bottom"/>
            <w:shd w:val="clear" w:color="auto" w:fill="CFF0FC"/>
          </w:tcPr>
          <w:p>
            <w:pPr>
              <w:spacing w:after="0"/>
              <w:rPr>
                <w:sz w:val="24"/>
                <w:szCs w:val="24"/>
                <w:color w:val="auto"/>
              </w:rPr>
            </w:pPr>
          </w:p>
        </w:tc>
      </w:tr>
      <w:tr>
        <w:trPr>
          <w:trHeight w:val="453"/>
        </w:trPr>
        <w:tc>
          <w:tcPr>
            <w:tcW w:w="6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7"/>
        </w:trPr>
        <w:tc>
          <w:tcPr>
            <w:tcW w:w="6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334,661</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tcPr>
          <w:p>
            <w:pPr>
              <w:spacing w:after="0"/>
              <w:rPr>
                <w:sz w:val="20"/>
                <w:szCs w:val="20"/>
                <w:color w:val="auto"/>
              </w:rPr>
            </w:pPr>
          </w:p>
        </w:tc>
      </w:tr>
      <w:tr>
        <w:trPr>
          <w:trHeight w:val="243"/>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2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420,162</w:t>
            </w:r>
          </w:p>
        </w:tc>
        <w:tc>
          <w:tcPr>
            <w:tcW w:w="10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 bearing</w:t>
            </w:r>
          </w:p>
        </w:tc>
        <w:tc>
          <w:tcPr>
            <w:tcW w:w="2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43"/>
        </w:trPr>
        <w:tc>
          <w:tcPr>
            <w:tcW w:w="6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bearing</w:t>
            </w:r>
          </w:p>
        </w:tc>
        <w:tc>
          <w:tcPr>
            <w:tcW w:w="2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deposits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311,108</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20"/>
                <w:szCs w:val="20"/>
                <w:color w:val="auto"/>
              </w:rPr>
            </w:pPr>
          </w:p>
        </w:tc>
      </w:tr>
      <w:tr>
        <w:trPr>
          <w:trHeight w:val="281"/>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included loans with a fair value of $334.7 million and a weighted average life of 52 months. The gross principal and contractual interest due under the contracts was $403.3 million, of which $5.6 million was expected to be uncollectible.</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down by $4 thousand with $297 thousand attributable to the buildings and is being amortized over the useful life of 16.2 years.</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for certificates of deposit incorporated a valuation amount of $3.9 million which was accreted over 1.6 years. The fair value of Federal Home Loan Bank (FHLB) advances included a valuation amount of $218 thousand which is being accreted over 2.6 years.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52"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39"/>
        </w:trPr>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41"/>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shd w:val="clear" w:color="auto" w:fill="CFF0FC"/>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20"/>
                <w:szCs w:val="20"/>
                <w:color w:val="auto"/>
              </w:rPr>
            </w:pPr>
          </w:p>
        </w:tc>
      </w:tr>
      <w:tr>
        <w:trPr>
          <w:trHeight w:val="247"/>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(1,480 )</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(1,318 )</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41"/>
        </w:trPr>
        <w:tc>
          <w:tcPr>
            <w:tcW w:w="5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tcBorders>
              <w:top w:val="single" w:sz="8" w:color="CFF0FC"/>
            </w:tcBorders>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-187960</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w:t>
      </w:r>
    </w:p>
    <w:p>
      <w:pPr>
        <w:sectPr>
          <w:pgSz w:w="11900" w:h="16838" w:orient="portrait"/>
          <w:cols w:equalWidth="0" w:num="1">
            <w:col w:w="11240"/>
          </w:cols>
          <w:pgMar w:left="320" w:top="77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approximately $20.0 million in cash. As a result of the acquisition, the Company has increased its deposit base and reduced transaction costs.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also reduced costs through economies of scale.</w:t>
      </w:r>
    </w:p>
    <w:p>
      <w:pPr>
        <w:spacing w:after="0" w:line="20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 2021, the Company incurred additional third-party acquisition-related costs of $2.2 million. These expenses were comprised of employee benefits of $694.1 thousand, data processing costs of $938.9 thousand, consulting fees of $255.2 thousand, ATM expense of $13.8 thousand and other general and administrative expense of $255.0 thousand in the Company’s consolidated statement of income for the year ended December 31, 2021.</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2022, the Company incurred additional third-party acquisition-related costs of $31.6 thousand. These expenses were included in other general and administrative expense in the Company’s consolidated statement of income for the year ended December 31, 2022.</w:t>
      </w:r>
    </w:p>
    <w:p>
      <w:pPr>
        <w:spacing w:after="0" w:line="16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is being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9"/>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 bearing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bearing</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deposits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-1465580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included loans with a fair value of $52.4 million and a weighted average life of 52 months. The gross principal and contractual interest due under the contracts was $63.7 million, of which $1.1 million was expected to be uncollectible.</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down by $596 thousand with $244 thousand attributable to the buildings and is being accreted over the useful life of 39 years.</w:t>
      </w:r>
    </w:p>
    <w:p>
      <w:pPr>
        <w:sectPr>
          <w:pgSz w:w="11900" w:h="16838" w:orient="portrait"/>
          <w:cols w:equalWidth="0" w:num="1">
            <w:col w:w="11240"/>
          </w:cols>
          <w:pgMar w:left="320" w:top="77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for certificates of deposit incorporates a valuation amount of $59 thousand which was accreted over 1.4 years.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52"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39"/>
        </w:trPr>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41"/>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FF0FC"/>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47"/>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(176 )</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(176 )</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51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-187960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Bank of Geneva completed in 2019, are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4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FF0FC"/>
          </w:tcPr>
          <w:p>
            <w:pPr>
              <w:spacing w:after="0"/>
              <w:rPr>
                <w:sz w:val="20"/>
                <w:szCs w:val="20"/>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(426 )</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results of operations of Ossian State Bank, Perpetual Federal Savings Bank and Peoples Federal Savings and Loan Bank have been included in the Company’s consolidated financial statements since the acquisition dates of April 30, 2021, October 1, 2021 and October 1, 2022, respectively. The following schedule includes pro-forma results for the years ended December 31, 2023, 2022 and 2021 as if all three acquisitions had occurred as of the beginning of the comparable prior reporting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Operations</w:t>
            </w:r>
          </w:p>
        </w:tc>
        <w:tc>
          <w:tcPr>
            <w:tcW w:w="100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 Before Provision for Credit Losses</w:t>
            </w:r>
          </w:p>
        </w:tc>
        <w:tc>
          <w:tcPr>
            <w:tcW w:w="10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81,397</w:t>
            </w:r>
          </w:p>
        </w:tc>
        <w:tc>
          <w:tcPr>
            <w:tcW w:w="1240" w:type="dxa"/>
            <w:vAlign w:val="bottom"/>
            <w:gridSpan w:val="2"/>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90,754</w:t>
            </w:r>
          </w:p>
        </w:tc>
        <w:tc>
          <w:tcPr>
            <w:tcW w:w="58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and Unfunded*</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 and Unfunded*</w:t>
            </w:r>
          </w:p>
        </w:tc>
        <w:tc>
          <w:tcPr>
            <w:tcW w:w="10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Unfunded*</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79,715</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67,193</w:t>
            </w:r>
          </w:p>
        </w:tc>
        <w:tc>
          <w:tcPr>
            <w:tcW w:w="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34,095</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-1262380</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-1262380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-1262380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-173990</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-156845</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-173990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-156845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5715</wp:posOffset>
            </wp:positionV>
            <wp:extent cx="324040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40405" cy="2540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*ASU 2016-13 adopted during the first quarter of 2023; therefore, 2022 and 2021 provision amounts reflect the incurred loss method.</w:t>
      </w:r>
    </w:p>
    <w:p>
      <w:pPr>
        <w:spacing w:after="0" w:line="226"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pro-forma information includes adjustments for interest income on loans, amortization of intangibles arising from the transaction, interest expense on deposits acquired, premises expense for the branches acquired and the related income tax effects.</w:t>
      </w:r>
    </w:p>
    <w:p>
      <w:pPr>
        <w:spacing w:after="0" w:line="162"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ectPr>
          <w:pgSz w:w="11900" w:h="16838" w:orient="portrait"/>
          <w:cols w:equalWidth="0" w:num="1">
            <w:col w:w="11240"/>
          </w:cols>
          <w:pgMar w:left="320" w:top="77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acquisition of Bank of Geneva resulted in the recognition of $3.9 million in core deposit intangible assets, the acquisition of Ossian State Bank resulted in the recognition of $980.2 thousand in core deposits assets, the acquisition of Perpetual Federal Savings Bank resulted in the recognition of $668 thousand in core deposits and the acquisition of Peoples Federal Savings and Loan resulted in the recognition of $6.0 million in core deposits which are all being amortized over the remaining economic useful life of 7 years on a straight line basis. Core deposit intangible is included in other assets on the Company's consolidated balance sheets.</w:t>
      </w:r>
    </w:p>
    <w:p>
      <w:pPr>
        <w:spacing w:after="0" w:line="18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amortization expense for the years ended December 31, 2023, 2022 and 2021 was $1.7 million, $1.0 million and $677 thousand,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amortization expense of core deposit intangible assets is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Geneva</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Ossian</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Perpetual</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Peoples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Total</w:t>
            </w:r>
          </w:p>
        </w:tc>
        <w:tc>
          <w:tcPr>
            <w:tcW w:w="80" w:type="dxa"/>
            <w:vAlign w:val="bottom"/>
          </w:tcPr>
          <w:p>
            <w:pPr>
              <w:spacing w:after="0"/>
              <w:rPr>
                <w:sz w:val="20"/>
                <w:szCs w:val="20"/>
                <w:color w:val="auto"/>
              </w:rPr>
            </w:pPr>
          </w:p>
        </w:tc>
      </w:tr>
      <w:tr>
        <w:trPr>
          <w:trHeight w:val="239"/>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6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shd w:val="clear" w:color="auto" w:fill="CFF0FC"/>
          </w:tcPr>
          <w:p>
            <w:pPr>
              <w:spacing w:after="0"/>
              <w:rPr>
                <w:sz w:val="21"/>
                <w:szCs w:val="21"/>
                <w:color w:val="auto"/>
              </w:rPr>
            </w:pPr>
          </w:p>
        </w:tc>
      </w:tr>
      <w:tr>
        <w:trPr>
          <w:trHeight w:val="23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20"/>
                <w:szCs w:val="20"/>
                <w:color w:val="auto"/>
              </w:rPr>
            </w:pPr>
          </w:p>
        </w:tc>
      </w:tr>
      <w:tr>
        <w:trPr>
          <w:trHeight w:val="247"/>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FF0FC"/>
          </w:tcPr>
          <w:p>
            <w:pPr>
              <w:spacing w:after="0"/>
              <w:rPr>
                <w:sz w:val="21"/>
                <w:szCs w:val="21"/>
                <w:color w:val="auto"/>
              </w:rPr>
            </w:pPr>
          </w:p>
        </w:tc>
      </w:tr>
      <w:tr>
        <w:trPr>
          <w:trHeight w:val="23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20"/>
                <w:szCs w:val="20"/>
                <w:color w:val="auto"/>
              </w:rPr>
            </w:pPr>
          </w:p>
        </w:tc>
      </w:tr>
      <w:tr>
        <w:trPr>
          <w:trHeight w:val="247"/>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shd w:val="clear" w:color="auto" w:fill="CFF0FC"/>
          </w:tcPr>
          <w:p>
            <w:pPr>
              <w:spacing w:after="0"/>
              <w:rPr>
                <w:sz w:val="21"/>
                <w:szCs w:val="21"/>
                <w:color w:val="auto"/>
              </w:rPr>
            </w:pPr>
          </w:p>
        </w:tc>
      </w:tr>
      <w:tr>
        <w:trPr>
          <w:trHeight w:val="23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20"/>
                <w:szCs w:val="20"/>
                <w:color w:val="auto"/>
              </w:rPr>
            </w:pPr>
          </w:p>
        </w:tc>
      </w:tr>
      <w:tr>
        <w:trPr>
          <w:trHeight w:val="25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6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453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80" w:type="dxa"/>
            <w:vAlign w:val="bottom"/>
            <w:shd w:val="clear" w:color="auto" w:fill="CFF0FC"/>
          </w:tcPr>
          <w:p>
            <w:pPr>
              <w:spacing w:after="0"/>
              <w:rPr>
                <w:sz w:val="22"/>
                <w:szCs w:val="22"/>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-24765</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7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customer list intangible amortization expense for the years ended December 31, 2023, 2022 and 2021 was $123 thousand for each of the three years presented. Future amortization expense of customer list intangible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3380" w:type="dxa"/>
            <w:vAlign w:val="bottom"/>
          </w:tcPr>
          <w:p>
            <w:pPr>
              <w:spacing w:after="0"/>
              <w:rPr>
                <w:sz w:val="20"/>
                <w:szCs w:val="20"/>
                <w:color w:val="auto"/>
              </w:rPr>
            </w:pPr>
          </w:p>
        </w:tc>
      </w:tr>
      <w:tr>
        <w:trPr>
          <w:trHeight w:val="250"/>
        </w:trPr>
        <w:tc>
          <w:tcPr>
            <w:tcW w:w="3380" w:type="dxa"/>
            <w:vAlign w:val="bottom"/>
          </w:tcPr>
          <w:p>
            <w:pPr>
              <w:spacing w:after="0"/>
              <w:rPr>
                <w:sz w:val="21"/>
                <w:szCs w:val="21"/>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38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380" w:type="dxa"/>
            <w:vAlign w:val="bottom"/>
          </w:tcPr>
          <w:p>
            <w:pPr>
              <w:spacing w:after="0"/>
              <w:rPr>
                <w:sz w:val="20"/>
                <w:szCs w:val="20"/>
                <w:color w:val="auto"/>
              </w:rPr>
            </w:pPr>
          </w:p>
        </w:tc>
      </w:tr>
      <w:tr>
        <w:trPr>
          <w:trHeight w:val="247"/>
        </w:trPr>
        <w:tc>
          <w:tcPr>
            <w:tcW w:w="3380" w:type="dxa"/>
            <w:vAlign w:val="bottom"/>
          </w:tcPr>
          <w:p>
            <w:pPr>
              <w:spacing w:after="0"/>
              <w:rPr>
                <w:sz w:val="21"/>
                <w:szCs w:val="21"/>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38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380" w:type="dxa"/>
            <w:vAlign w:val="bottom"/>
          </w:tcPr>
          <w:p>
            <w:pPr>
              <w:spacing w:after="0"/>
              <w:rPr>
                <w:sz w:val="20"/>
                <w:szCs w:val="20"/>
                <w:color w:val="auto"/>
              </w:rPr>
            </w:pPr>
          </w:p>
        </w:tc>
      </w:tr>
      <w:tr>
        <w:trPr>
          <w:trHeight w:val="247"/>
        </w:trPr>
        <w:tc>
          <w:tcPr>
            <w:tcW w:w="3380" w:type="dxa"/>
            <w:vAlign w:val="bottom"/>
          </w:tcPr>
          <w:p>
            <w:pPr>
              <w:spacing w:after="0"/>
              <w:rPr>
                <w:sz w:val="21"/>
                <w:szCs w:val="21"/>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0"/>
                <w:szCs w:val="20"/>
                <w:color w:val="auto"/>
              </w:rPr>
            </w:pPr>
          </w:p>
        </w:tc>
      </w:tr>
      <w:tr>
        <w:trPr>
          <w:trHeight w:val="277"/>
        </w:trPr>
        <w:tc>
          <w:tcPr>
            <w:tcW w:w="3380" w:type="dxa"/>
            <w:vAlign w:val="bottom"/>
          </w:tcPr>
          <w:p>
            <w:pPr>
              <w:spacing w:after="0"/>
              <w:rPr>
                <w:sz w:val="24"/>
                <w:szCs w:val="24"/>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380" w:type="dxa"/>
            <w:vAlign w:val="bottom"/>
          </w:tcPr>
          <w:p>
            <w:pPr>
              <w:spacing w:after="0"/>
              <w:rPr>
                <w:sz w:val="24"/>
                <w:szCs w:val="24"/>
                <w:color w:val="auto"/>
              </w:rPr>
            </w:pPr>
          </w:p>
        </w:tc>
      </w:tr>
      <w:tr>
        <w:trPr>
          <w:trHeight w:val="633"/>
        </w:trPr>
        <w:tc>
          <w:tcPr>
            <w:tcW w:w="3380" w:type="dxa"/>
            <w:vAlign w:val="bottom"/>
          </w:tcPr>
          <w:p>
            <w:pPr>
              <w:spacing w:after="0"/>
              <w:rPr>
                <w:sz w:val="24"/>
                <w:szCs w:val="24"/>
                <w:color w:val="auto"/>
              </w:rPr>
            </w:pPr>
          </w:p>
        </w:tc>
        <w:tc>
          <w:tcPr>
            <w:tcW w:w="146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59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-933450</wp:posOffset>
            </wp:positionV>
            <wp:extent cx="260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-916940</wp:posOffset>
            </wp:positionV>
            <wp:extent cx="260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with gross unrealized gains and losses,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2023</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1"/>
                <w:szCs w:val="21"/>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80,270</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140,960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(12,738 )</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128,222</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(11,929 )</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100" w:type="dxa"/>
            <w:vAlign w:val="bottom"/>
          </w:tcPr>
          <w:p>
            <w:pPr>
              <w:spacing w:after="0"/>
              <w:rPr>
                <w:sz w:val="20"/>
                <w:szCs w:val="20"/>
                <w:color w:val="auto"/>
              </w:rPr>
            </w:pPr>
          </w:p>
        </w:tc>
      </w:tr>
      <w:tr>
        <w:trPr>
          <w:trHeight w:val="243"/>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(5,281 )</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67,854</w:t>
            </w:r>
          </w:p>
        </w:tc>
        <w:tc>
          <w:tcPr>
            <w:tcW w:w="100" w:type="dxa"/>
            <w:vAlign w:val="bottom"/>
            <w:shd w:val="clear" w:color="auto" w:fill="CFF0FC"/>
          </w:tcPr>
          <w:p>
            <w:pPr>
              <w:spacing w:after="0"/>
              <w:rPr>
                <w:sz w:val="21"/>
                <w:szCs w:val="2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395,203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(36,861 )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9"/>
        </w:trPr>
        <w:tc>
          <w:tcPr>
            <w:tcW w:w="5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2022</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1"/>
                <w:szCs w:val="21"/>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(9,829 )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94,678</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156,817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(17,050 )</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139,767</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(14,141 )</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100" w:type="dxa"/>
            <w:vAlign w:val="bottom"/>
          </w:tcPr>
          <w:p>
            <w:pPr>
              <w:spacing w:after="0"/>
              <w:rPr>
                <w:sz w:val="20"/>
                <w:szCs w:val="20"/>
                <w:color w:val="auto"/>
              </w:rPr>
            </w:pPr>
          </w:p>
        </w:tc>
      </w:tr>
      <w:tr>
        <w:trPr>
          <w:trHeight w:val="243"/>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(7,446 )</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69,417</w:t>
            </w:r>
          </w:p>
        </w:tc>
        <w:tc>
          <w:tcPr>
            <w:tcW w:w="100" w:type="dxa"/>
            <w:vAlign w:val="bottom"/>
            <w:shd w:val="clear" w:color="auto" w:fill="CFF0FC"/>
          </w:tcPr>
          <w:p>
            <w:pPr>
              <w:spacing w:after="0"/>
              <w:rPr>
                <w:sz w:val="21"/>
                <w:szCs w:val="2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439,186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(48,466 )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390,789</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-2219325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-2219325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-2219325</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-2219325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03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Bank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68" w:lineRule="exact"/>
        <w:rPr>
          <w:sz w:val="20"/>
          <w:szCs w:val="20"/>
          <w:color w:val="auto"/>
        </w:rPr>
      </w:pPr>
    </w:p>
    <w:p>
      <w:pPr>
        <w:ind w:left="1640" w:hanging="509"/>
        <w:spacing w:after="0"/>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1640" w:hanging="509"/>
        <w:spacing w:after="0" w:line="282"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1640" w:hanging="509"/>
        <w:spacing w:after="0"/>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1640" w:hanging="509"/>
        <w:spacing w:after="0" w:line="282"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6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If the unrealized loss is determined to be the result of a credit loss,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table below is presented by category of security and length of time in a continuous loss position. The Company did not record an allowance for credit losses on its investment securities available for sale as the unrealized losses were attributed to changes in interest rates, not credit quality.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5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December 31, 2023 and 2022, aggregated by investment category and length of time that individual securities have been in a continuous loss position follows: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r>
      <w:tr>
        <w:trPr>
          <w:trHeight w:val="245"/>
        </w:trPr>
        <w:tc>
          <w:tcPr>
            <w:tcW w:w="5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Less Than Twelve Months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8"/>
              </w:rPr>
              <w:t>Twelve Months &amp; Over</w:t>
            </w:r>
          </w:p>
        </w:tc>
      </w:tr>
      <w:tr>
        <w:trPr>
          <w:trHeight w:val="234"/>
        </w:trPr>
        <w:tc>
          <w:tcPr>
            <w:tcW w:w="5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w:t>
            </w:r>
          </w:p>
        </w:tc>
        <w:tc>
          <w:tcPr>
            <w:tcW w:w="24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Losses</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2"/>
              </w:rPr>
              <w:t>Value</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1"/>
                <w:szCs w:val="21"/>
                <w:color w:val="auto"/>
              </w:rPr>
            </w:pPr>
          </w:p>
        </w:tc>
      </w:tr>
      <w:tr>
        <w:trPr>
          <w:trHeight w:val="24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(6,909 )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79,528</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(12,738 )</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128,222</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(11,909 )</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77,759</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(5,279 )</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60,402</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available-for-sales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(36,835 )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345,911</w:t>
            </w:r>
          </w:p>
        </w:tc>
        <w:tc>
          <w:tcPr>
            <w:tcW w:w="100" w:type="dxa"/>
            <w:vAlign w:val="bottom"/>
            <w:shd w:val="clear" w:color="auto" w:fill="CFF0FC"/>
          </w:tcPr>
          <w:p>
            <w:pPr>
              <w:spacing w:after="0"/>
              <w:rPr>
                <w:sz w:val="22"/>
                <w:szCs w:val="22"/>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49"/>
        </w:trPr>
        <w:tc>
          <w:tcPr>
            <w:tcW w:w="5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r>
      <w:tr>
        <w:trPr>
          <w:trHeight w:val="245"/>
        </w:trPr>
        <w:tc>
          <w:tcPr>
            <w:tcW w:w="5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9"/>
              </w:rPr>
              <w:t>Less Than Twelve Months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8"/>
              </w:rPr>
              <w:t>Twelve Months &amp; Over</w:t>
            </w:r>
          </w:p>
        </w:tc>
      </w:tr>
      <w:tr>
        <w:trPr>
          <w:trHeight w:val="234"/>
        </w:trPr>
        <w:tc>
          <w:tcPr>
            <w:tcW w:w="5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w:t>
            </w:r>
          </w:p>
        </w:tc>
        <w:tc>
          <w:tcPr>
            <w:tcW w:w="24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Losses</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2"/>
              </w:rPr>
              <w:t>Value</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1"/>
                <w:szCs w:val="21"/>
                <w:color w:val="auto"/>
              </w:rPr>
            </w:pPr>
          </w:p>
        </w:tc>
      </w:tr>
      <w:tr>
        <w:trPr>
          <w:trHeight w:val="24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(9,622 )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(1,081 )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(15,969 )</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114,906</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(2,454 )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(11,687 )</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60,022</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(3,223 )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(4,223 )</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available-for-sales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(6,965 )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99,357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(41,501 )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286,095</w:t>
            </w:r>
          </w:p>
        </w:tc>
        <w:tc>
          <w:tcPr>
            <w:tcW w:w="100" w:type="dxa"/>
            <w:vAlign w:val="bottom"/>
            <w:shd w:val="clear" w:color="auto" w:fill="CFF0FC"/>
          </w:tcPr>
          <w:p>
            <w:pPr>
              <w:spacing w:after="0"/>
              <w:rPr>
                <w:sz w:val="22"/>
                <w:szCs w:val="22"/>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-2056765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-2039620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-2056765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-2039620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-2056765</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-2039620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-2056765</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-2039620</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-25400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-8255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-25400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-8255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-25400</wp:posOffset>
            </wp:positionV>
            <wp:extent cx="6032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-8255</wp:posOffset>
            </wp:positionV>
            <wp:extent cx="603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-25400</wp:posOffset>
            </wp:positionV>
            <wp:extent cx="603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-8255</wp:posOffset>
            </wp:positionV>
            <wp:extent cx="603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176"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Sales of $22.0 and $9.3 million for 2023 and 2021, respectively, generated gross realized gains and losses for the years ended December 31, as presented below:</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0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1"/>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0"/>
                <w:szCs w:val="20"/>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7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(891 )</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2"/>
                <w:szCs w:val="22"/>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 related to net realized gains (losses)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(187 )</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-205105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-187960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-205105</wp:posOffset>
            </wp:positionV>
            <wp:extent cx="603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-187960</wp:posOffset>
            </wp:positionV>
            <wp:extent cx="603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-205105</wp:posOffset>
            </wp:positionV>
            <wp:extent cx="603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-187960</wp:posOffset>
            </wp:positionV>
            <wp:extent cx="603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net realized gain (loss) on sales and related tax expense (benefit) is a reclassification out of accumulated other comprehensive income (loss). The net realized gain (loss) is included in net gain (loss) on sale of securities available-for-sale and the related tax expense (benefit) is included in income taxes in the consolidated statements of income.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5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debt securities at December 31, 2023, by contractual maturity, are shown below. Expected maturities will differ from contractual maturities because borrowers may have the right to call or prepay obligations with or without call or prepayment penalties.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4"/>
        </w:trPr>
        <w:tc>
          <w:tcPr>
            <w:tcW w:w="5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80" w:type="dxa"/>
            <w:vAlign w:val="bottom"/>
          </w:tcPr>
          <w:p>
            <w:pPr>
              <w:spacing w:after="0"/>
              <w:rPr>
                <w:sz w:val="21"/>
                <w:szCs w:val="21"/>
                <w:color w:val="auto"/>
              </w:rPr>
            </w:pPr>
          </w:p>
        </w:tc>
      </w:tr>
      <w:tr>
        <w:trPr>
          <w:trHeight w:val="24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80" w:type="dxa"/>
            <w:vAlign w:val="bottom"/>
            <w:shd w:val="clear" w:color="auto" w:fill="CFF0FC"/>
          </w:tcPr>
          <w:p>
            <w:pPr>
              <w:spacing w:after="0"/>
              <w:rPr>
                <w:sz w:val="21"/>
                <w:szCs w:val="21"/>
                <w:color w:val="auto"/>
              </w:rPr>
            </w:pPr>
          </w:p>
        </w:tc>
      </w:tr>
      <w:tr>
        <w:trPr>
          <w:trHeight w:val="23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244,319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223,135</w:t>
            </w:r>
          </w:p>
        </w:tc>
        <w:tc>
          <w:tcPr>
            <w:tcW w:w="80" w:type="dxa"/>
            <w:vAlign w:val="bottom"/>
          </w:tcPr>
          <w:p>
            <w:pPr>
              <w:spacing w:after="0"/>
              <w:rPr>
                <w:sz w:val="20"/>
                <w:szCs w:val="20"/>
                <w:color w:val="auto"/>
              </w:rPr>
            </w:pPr>
          </w:p>
        </w:tc>
      </w:tr>
      <w:tr>
        <w:trPr>
          <w:trHeight w:val="247"/>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28,937</w:t>
            </w:r>
          </w:p>
        </w:tc>
        <w:tc>
          <w:tcPr>
            <w:tcW w:w="80" w:type="dxa"/>
            <w:vAlign w:val="bottom"/>
            <w:shd w:val="clear" w:color="auto" w:fill="CFF0FC"/>
          </w:tcPr>
          <w:p>
            <w:pPr>
              <w:spacing w:after="0"/>
              <w:rPr>
                <w:sz w:val="21"/>
                <w:szCs w:val="21"/>
                <w:color w:val="auto"/>
              </w:rPr>
            </w:pPr>
          </w:p>
        </w:tc>
      </w:tr>
      <w:tr>
        <w:trPr>
          <w:trHeight w:val="23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1"/>
        </w:trPr>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301,142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276,346</w:t>
            </w:r>
          </w:p>
        </w:tc>
        <w:tc>
          <w:tcPr>
            <w:tcW w:w="80" w:type="dxa"/>
            <w:vAlign w:val="bottom"/>
            <w:shd w:val="clear" w:color="auto" w:fill="CFF0FC"/>
          </w:tcPr>
          <w:p>
            <w:pPr>
              <w:spacing w:after="0"/>
              <w:rPr>
                <w:sz w:val="20"/>
                <w:szCs w:val="20"/>
                <w:color w:val="auto"/>
              </w:rPr>
            </w:pPr>
          </w:p>
        </w:tc>
      </w:tr>
      <w:tr>
        <w:trPr>
          <w:trHeight w:val="23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80" w:type="dxa"/>
            <w:vAlign w:val="bottom"/>
          </w:tcPr>
          <w:p>
            <w:pPr>
              <w:spacing w:after="0"/>
              <w:rPr>
                <w:sz w:val="20"/>
                <w:szCs w:val="20"/>
                <w:color w:val="auto"/>
              </w:rPr>
            </w:pPr>
          </w:p>
        </w:tc>
      </w:tr>
      <w:tr>
        <w:trPr>
          <w:trHeight w:val="281"/>
        </w:trPr>
        <w:tc>
          <w:tcPr>
            <w:tcW w:w="5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395,203</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Investments with a carrying value and fair value of $255.8 million at December 31, 2023 and $134.8 million at December 31, 2022 were pledged to secure public deposits and securities sold under repurchase agreements. In addition, investments with a carrying value of $61.7 million and a par value of $69.9 million were pledged to the Federal Reserve Bank's Term Funding Program (BTFP) to secure additional borrowing capacity as of December 31, 2023. The BTFP utilizes the par value of securities pledged to collateralize loans it has made to member banks.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had $1.6 million in loans held for sale at December 31, 2023 as compared to $827 thousand in loans held for sale at December 31, 2022.</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at December 31 are summarized below:</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17"/>
                <w:szCs w:val="17"/>
                <w:color w:val="auto"/>
              </w:rPr>
            </w:pPr>
          </w:p>
        </w:tc>
        <w:tc>
          <w:tcPr>
            <w:tcW w:w="100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p>
        </w:tc>
        <w:tc>
          <w:tcPr>
            <w:tcW w:w="5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521,895</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80" w:type="dxa"/>
            <w:vAlign w:val="bottom"/>
            <w:shd w:val="clear" w:color="auto" w:fill="CFF0FC"/>
          </w:tcPr>
          <w:p>
            <w:pPr>
              <w:spacing w:after="0"/>
              <w:rPr>
                <w:sz w:val="20"/>
                <w:szCs w:val="20"/>
                <w:color w:val="auto"/>
              </w:rPr>
            </w:pPr>
          </w:p>
        </w:tc>
      </w:tr>
      <w:tr>
        <w:trPr>
          <w:trHeight w:val="239"/>
        </w:trPr>
        <w:tc>
          <w:tcPr>
            <w:tcW w:w="940" w:type="dxa"/>
            <w:vAlign w:val="bottom"/>
          </w:tcPr>
          <w:p>
            <w:pPr>
              <w:spacing w:after="0"/>
              <w:rPr>
                <w:sz w:val="20"/>
                <w:szCs w:val="20"/>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220,819</w:t>
            </w:r>
          </w:p>
        </w:tc>
        <w:tc>
          <w:tcPr>
            <w:tcW w:w="80" w:type="dxa"/>
            <w:vAlign w:val="bottom"/>
          </w:tcPr>
          <w:p>
            <w:pPr>
              <w:spacing w:after="0"/>
              <w:rPr>
                <w:sz w:val="20"/>
                <w:szCs w:val="20"/>
                <w:color w:val="auto"/>
              </w:rPr>
            </w:pPr>
          </w:p>
        </w:tc>
      </w:tr>
      <w:tr>
        <w:trPr>
          <w:trHeight w:val="247"/>
        </w:trPr>
        <w:tc>
          <w:tcPr>
            <w:tcW w:w="940" w:type="dxa"/>
            <w:vAlign w:val="bottom"/>
          </w:tcPr>
          <w:p>
            <w:pPr>
              <w:spacing w:after="0"/>
              <w:rPr>
                <w:sz w:val="21"/>
                <w:szCs w:val="21"/>
                <w:color w:val="auto"/>
              </w:rPr>
            </w:pPr>
          </w:p>
        </w:tc>
        <w:tc>
          <w:tcPr>
            <w:tcW w:w="5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132,560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128,733</w:t>
            </w:r>
          </w:p>
        </w:tc>
        <w:tc>
          <w:tcPr>
            <w:tcW w:w="80" w:type="dxa"/>
            <w:vAlign w:val="bottom"/>
            <w:shd w:val="clear" w:color="auto" w:fill="CFF0FC"/>
          </w:tcPr>
          <w:p>
            <w:pPr>
              <w:spacing w:after="0"/>
              <w:rPr>
                <w:sz w:val="21"/>
                <w:szCs w:val="21"/>
                <w:color w:val="auto"/>
              </w:rPr>
            </w:pPr>
          </w:p>
        </w:tc>
      </w:tr>
      <w:tr>
        <w:trPr>
          <w:trHeight w:val="239"/>
        </w:trPr>
        <w:tc>
          <w:tcPr>
            <w:tcW w:w="940" w:type="dxa"/>
            <w:vAlign w:val="bottom"/>
          </w:tcPr>
          <w:p>
            <w:pPr>
              <w:spacing w:after="0"/>
              <w:rPr>
                <w:sz w:val="20"/>
                <w:szCs w:val="20"/>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1,337,766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1,152,603</w:t>
            </w:r>
          </w:p>
        </w:tc>
        <w:tc>
          <w:tcPr>
            <w:tcW w:w="80" w:type="dxa"/>
            <w:vAlign w:val="bottom"/>
          </w:tcPr>
          <w:p>
            <w:pPr>
              <w:spacing w:after="0"/>
              <w:rPr>
                <w:sz w:val="20"/>
                <w:szCs w:val="20"/>
                <w:color w:val="auto"/>
              </w:rPr>
            </w:pPr>
          </w:p>
        </w:tc>
      </w:tr>
      <w:tr>
        <w:trPr>
          <w:trHeight w:val="247"/>
        </w:trPr>
        <w:tc>
          <w:tcPr>
            <w:tcW w:w="940" w:type="dxa"/>
            <w:vAlign w:val="bottom"/>
          </w:tcPr>
          <w:p>
            <w:pPr>
              <w:spacing w:after="0"/>
              <w:rPr>
                <w:sz w:val="21"/>
                <w:szCs w:val="21"/>
                <w:color w:val="auto"/>
              </w:rPr>
            </w:pPr>
          </w:p>
        </w:tc>
        <w:tc>
          <w:tcPr>
            <w:tcW w:w="5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254,935</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242,360</w:t>
            </w:r>
          </w:p>
        </w:tc>
        <w:tc>
          <w:tcPr>
            <w:tcW w:w="80" w:type="dxa"/>
            <w:vAlign w:val="bottom"/>
            <w:shd w:val="clear" w:color="auto" w:fill="CFF0FC"/>
          </w:tcPr>
          <w:p>
            <w:pPr>
              <w:spacing w:after="0"/>
              <w:rPr>
                <w:sz w:val="21"/>
                <w:szCs w:val="21"/>
                <w:color w:val="auto"/>
              </w:rPr>
            </w:pPr>
          </w:p>
        </w:tc>
      </w:tr>
      <w:tr>
        <w:trPr>
          <w:trHeight w:val="239"/>
        </w:trPr>
        <w:tc>
          <w:tcPr>
            <w:tcW w:w="940" w:type="dxa"/>
            <w:vAlign w:val="bottom"/>
          </w:tcPr>
          <w:p>
            <w:pPr>
              <w:spacing w:after="0"/>
              <w:rPr>
                <w:sz w:val="20"/>
                <w:szCs w:val="20"/>
                <w:color w:val="auto"/>
              </w:rPr>
            </w:pPr>
          </w:p>
        </w:tc>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89,147</w:t>
            </w:r>
          </w:p>
        </w:tc>
        <w:tc>
          <w:tcPr>
            <w:tcW w:w="80" w:type="dxa"/>
            <w:vAlign w:val="bottom"/>
          </w:tcPr>
          <w:p>
            <w:pPr>
              <w:spacing w:after="0"/>
              <w:rPr>
                <w:sz w:val="20"/>
                <w:szCs w:val="20"/>
                <w:color w:val="auto"/>
              </w:rPr>
            </w:pPr>
          </w:p>
        </w:tc>
      </w:tr>
      <w:tr>
        <w:trPr>
          <w:trHeight w:val="247"/>
        </w:trPr>
        <w:tc>
          <w:tcPr>
            <w:tcW w:w="940" w:type="dxa"/>
            <w:vAlign w:val="bottom"/>
          </w:tcPr>
          <w:p>
            <w:pPr>
              <w:spacing w:after="0"/>
              <w:rPr>
                <w:sz w:val="21"/>
                <w:szCs w:val="21"/>
                <w:color w:val="auto"/>
              </w:rPr>
            </w:pPr>
          </w:p>
        </w:tc>
        <w:tc>
          <w:tcPr>
            <w:tcW w:w="50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2,580,674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2,357,903</w:t>
            </w:r>
          </w:p>
        </w:tc>
        <w:tc>
          <w:tcPr>
            <w:tcW w:w="80" w:type="dxa"/>
            <w:vAlign w:val="bottom"/>
          </w:tcPr>
          <w:p>
            <w:pPr>
              <w:spacing w:after="0"/>
              <w:rPr>
                <w:sz w:val="19"/>
                <w:szCs w:val="19"/>
                <w:color w:val="auto"/>
              </w:rPr>
            </w:pPr>
          </w:p>
        </w:tc>
      </w:tr>
      <w:tr>
        <w:trPr>
          <w:trHeight w:val="252"/>
        </w:trPr>
        <w:tc>
          <w:tcPr>
            <w:tcW w:w="940" w:type="dxa"/>
            <w:vAlign w:val="bottom"/>
          </w:tcPr>
          <w:p>
            <w:pPr>
              <w:spacing w:after="0"/>
              <w:rPr>
                <w:sz w:val="21"/>
                <w:szCs w:val="21"/>
                <w:color w:val="auto"/>
              </w:rPr>
            </w:pPr>
          </w:p>
        </w:tc>
        <w:tc>
          <w:tcPr>
            <w:tcW w:w="5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deferred loan fees and costs and other*</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(1,516 )</w:t>
            </w:r>
          </w:p>
        </w:tc>
      </w:tr>
      <w:tr>
        <w:trPr>
          <w:trHeight w:val="228"/>
        </w:trPr>
        <w:tc>
          <w:tcPr>
            <w:tcW w:w="940" w:type="dxa"/>
            <w:vAlign w:val="bottom"/>
          </w:tcPr>
          <w:p>
            <w:pPr>
              <w:spacing w:after="0"/>
              <w:rPr>
                <w:sz w:val="19"/>
                <w:szCs w:val="19"/>
                <w:color w:val="auto"/>
              </w:rPr>
            </w:pPr>
          </w:p>
        </w:tc>
        <w:tc>
          <w:tcPr>
            <w:tcW w:w="500" w:type="dxa"/>
            <w:vAlign w:val="bottom"/>
            <w:tcBorders>
              <w:top w:val="single" w:sz="8" w:color="CFF0FC"/>
            </w:tcBorders>
          </w:tcPr>
          <w:p>
            <w:pPr>
              <w:spacing w:after="0"/>
              <w:rPr>
                <w:sz w:val="19"/>
                <w:szCs w:val="19"/>
                <w:color w:val="auto"/>
              </w:rPr>
            </w:pPr>
          </w:p>
        </w:tc>
        <w:tc>
          <w:tcPr>
            <w:tcW w:w="45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2,581,191</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2,356,387</w:t>
            </w:r>
          </w:p>
        </w:tc>
        <w:tc>
          <w:tcPr>
            <w:tcW w:w="80" w:type="dxa"/>
            <w:vAlign w:val="bottom"/>
            <w:tcBorders>
              <w:top w:val="single" w:sz="8" w:color="CFF0FC"/>
            </w:tcBorders>
          </w:tcPr>
          <w:p>
            <w:pPr>
              <w:spacing w:after="0"/>
              <w:rPr>
                <w:sz w:val="19"/>
                <w:szCs w:val="19"/>
                <w:color w:val="auto"/>
              </w:rPr>
            </w:pPr>
          </w:p>
        </w:tc>
      </w:tr>
      <w:tr>
        <w:trPr>
          <w:trHeight w:val="252"/>
        </w:trPr>
        <w:tc>
          <w:tcPr>
            <w:tcW w:w="940" w:type="dxa"/>
            <w:vAlign w:val="bottom"/>
          </w:tcPr>
          <w:p>
            <w:pPr>
              <w:spacing w:after="0"/>
              <w:rPr>
                <w:sz w:val="21"/>
                <w:szCs w:val="21"/>
                <w:color w:val="auto"/>
              </w:rPr>
            </w:pPr>
          </w:p>
        </w:tc>
        <w:tc>
          <w:tcPr>
            <w:tcW w:w="5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(25,024 )</w:t>
            </w:r>
          </w:p>
        </w:tc>
        <w:tc>
          <w:tcPr>
            <w:tcW w:w="4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(20,313 )</w:t>
            </w:r>
          </w:p>
        </w:tc>
      </w:tr>
      <w:tr>
        <w:trPr>
          <w:trHeight w:val="236"/>
        </w:trPr>
        <w:tc>
          <w:tcPr>
            <w:tcW w:w="940" w:type="dxa"/>
            <w:vAlign w:val="bottom"/>
          </w:tcPr>
          <w:p>
            <w:pPr>
              <w:spacing w:after="0"/>
              <w:rPr>
                <w:sz w:val="20"/>
                <w:szCs w:val="20"/>
                <w:color w:val="auto"/>
              </w:rPr>
            </w:pPr>
          </w:p>
        </w:tc>
        <w:tc>
          <w:tcPr>
            <w:tcW w:w="500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Loans -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2,556,167</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2,336,074</w:t>
            </w:r>
          </w:p>
        </w:tc>
        <w:tc>
          <w:tcPr>
            <w:tcW w:w="80" w:type="dxa"/>
            <w:vAlign w:val="bottom"/>
            <w:tcBorders>
              <w:top w:val="single" w:sz="8" w:color="CFF0FC"/>
            </w:tcBorders>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-822325</wp:posOffset>
            </wp:positionV>
            <wp:extent cx="514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-822325</wp:posOffset>
            </wp:positionV>
            <wp:extent cx="431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-505460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*This chart contains fair value adjustments to the basis of derivatives in the amount of $2.7 million at December 31, 2023. No derivatives existed at December 31, 2022.</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22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ectPr>
          <w:pgSz w:w="11900" w:h="16838" w:orient="portrait"/>
          <w:cols w:equalWidth="0" w:num="1">
            <w:col w:w="11240"/>
          </w:cols>
          <w:pgMar w:left="320" w:top="77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75" w:name="page76"/>
    <w:bookmarkEnd w:id="7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8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80"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7"/>
          <w:szCs w:val="17"/>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During 2022, the remaining Protection Program (PPP) loan balances of $2.9 million were forgiven and consequently paid off. The PPP provided loans to eligible business through financial institutions like the Bank, with loans being eligible for forgiveness of some or all of the principal amount by the Small Business Administration (SBA) if the borrower meets certain requirements. The SBA guarantees repayment of the loans to the Bank if the borrower’s loan is not forgiven and is then not repaid by the customer. Therefore, there is no allowance for credit losses related to these loans.</w:t>
      </w:r>
    </w:p>
    <w:p>
      <w:pPr>
        <w:spacing w:after="0" w:line="17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maturity schedule by major category of loans excluding fair value adjustments at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After One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Five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Within</w:t>
            </w:r>
          </w:p>
        </w:tc>
        <w:tc>
          <w:tcPr>
            <w:tcW w:w="24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Year Within</w:t>
            </w:r>
          </w:p>
        </w:tc>
        <w:tc>
          <w:tcPr>
            <w:tcW w:w="26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Years Within</w:t>
            </w: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After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7"/>
              </w:rPr>
              <w:t>One Year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6"/>
              </w:rPr>
              <w:t>Five 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Fifteen</w:t>
            </w:r>
          </w:p>
        </w:tc>
        <w:tc>
          <w:tcPr>
            <w:tcW w:w="1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Fifteen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Years</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Years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157,139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322,639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525,902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103,806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255,438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632,515</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947,627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718,349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-1087755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-1087755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-1087755</wp:posOffset>
            </wp:positionV>
            <wp:extent cx="60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-1087755</wp:posOffset>
            </wp:positionV>
            <wp:extent cx="60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-1087755</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distribution of fixed rate loans and variable rate loans by major loan category is as follows as of December 31, 2023:</w:t>
      </w:r>
    </w:p>
    <w:p>
      <w:pPr>
        <w:spacing w:after="0" w:line="239" w:lineRule="exact"/>
        <w:rPr>
          <w:sz w:val="20"/>
          <w:szCs w:val="20"/>
          <w:color w:val="auto"/>
        </w:rPr>
      </w:pPr>
    </w:p>
    <w:tbl>
      <w:tblPr>
        <w:tblLayout w:type="fixed"/>
        <w:tblInd w:w="168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4"/>
        </w:trPr>
        <w:tc>
          <w:tcPr>
            <w:tcW w:w="5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Fixed</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Variable</w:t>
            </w:r>
          </w:p>
        </w:tc>
        <w:tc>
          <w:tcPr>
            <w:tcW w:w="80" w:type="dxa"/>
            <w:vAlign w:val="bottom"/>
          </w:tcPr>
          <w:p>
            <w:pPr>
              <w:spacing w:after="0"/>
              <w:rPr>
                <w:sz w:val="20"/>
                <w:szCs w:val="20"/>
                <w:color w:val="auto"/>
              </w:rPr>
            </w:pPr>
          </w:p>
        </w:tc>
      </w:tr>
      <w:tr>
        <w:trPr>
          <w:trHeight w:val="245"/>
        </w:trPr>
        <w:tc>
          <w:tcPr>
            <w:tcW w:w="5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Rate</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Rate</w:t>
            </w:r>
          </w:p>
        </w:tc>
        <w:tc>
          <w:tcPr>
            <w:tcW w:w="80" w:type="dxa"/>
            <w:vAlign w:val="bottom"/>
          </w:tcPr>
          <w:p>
            <w:pPr>
              <w:spacing w:after="0"/>
              <w:rPr>
                <w:sz w:val="21"/>
                <w:szCs w:val="21"/>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329,142</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192,753</w:t>
            </w:r>
          </w:p>
        </w:tc>
        <w:tc>
          <w:tcPr>
            <w:tcW w:w="80" w:type="dxa"/>
            <w:vAlign w:val="bottom"/>
            <w:shd w:val="clear" w:color="auto" w:fill="CFF0FC"/>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80" w:type="dxa"/>
            <w:vAlign w:val="bottom"/>
          </w:tcPr>
          <w:p>
            <w:pPr>
              <w:spacing w:after="0"/>
              <w:rPr>
                <w:sz w:val="20"/>
                <w:szCs w:val="20"/>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76,291</w:t>
            </w:r>
          </w:p>
        </w:tc>
        <w:tc>
          <w:tcPr>
            <w:tcW w:w="80" w:type="dxa"/>
            <w:vAlign w:val="bottom"/>
            <w:shd w:val="clear" w:color="auto" w:fill="CFF0FC"/>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1,024,989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312,777</w:t>
            </w:r>
          </w:p>
        </w:tc>
        <w:tc>
          <w:tcPr>
            <w:tcW w:w="80" w:type="dxa"/>
            <w:vAlign w:val="bottom"/>
          </w:tcPr>
          <w:p>
            <w:pPr>
              <w:spacing w:after="0"/>
              <w:rPr>
                <w:sz w:val="20"/>
                <w:szCs w:val="20"/>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131,385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80" w:type="dxa"/>
            <w:vAlign w:val="bottom"/>
            <w:shd w:val="clear" w:color="auto" w:fill="CFF0FC"/>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8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Other loans are included in the commercial and industrial category for the remainder of the tables in this Note 4, unless specifically noted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contractual aging of the recorded investment in past due loans by portfolio classification of loans as of</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2023 and 2022, net of deferred loan fees and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 &gt;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Days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Days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22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Days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Past Due</w:t>
            </w:r>
          </w:p>
        </w:tc>
        <w:tc>
          <w:tcPr>
            <w:tcW w:w="24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1"/>
                <w:szCs w:val="2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22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Accruing</w:t>
            </w:r>
          </w:p>
        </w:tc>
        <w:tc>
          <w:tcPr>
            <w:tcW w:w="100" w:type="dxa"/>
            <w:vAlign w:val="bottom"/>
          </w:tcPr>
          <w:p>
            <w:pPr>
              <w:spacing w:after="0"/>
              <w:rPr>
                <w:sz w:val="21"/>
                <w:szCs w:val="21"/>
                <w:color w:val="auto"/>
              </w:rPr>
            </w:pPr>
          </w:p>
        </w:tc>
      </w:tr>
      <w:tr>
        <w:trPr>
          <w:trHeight w:val="23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519,187</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$ 521,908</w:t>
            </w:r>
          </w:p>
        </w:tc>
        <w:tc>
          <w:tcPr>
            <w:tcW w:w="9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0"/>
                <w:szCs w:val="20"/>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223,479</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1,335,07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284,550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284,894</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2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2,578,47</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1"/>
        </w:trPr>
        <w:tc>
          <w:tcPr>
            <w:tcW w:w="4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56"/>
        </w:trPr>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 &gt;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Days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Days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Than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22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Days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Past Due</w:t>
            </w:r>
          </w:p>
        </w:tc>
        <w:tc>
          <w:tcPr>
            <w:tcW w:w="24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1"/>
                <w:szCs w:val="2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220" w:type="dxa"/>
            <w:vAlign w:val="bottom"/>
          </w:tcPr>
          <w:p>
            <w:pPr>
              <w:spacing w:after="0"/>
              <w:rPr>
                <w:sz w:val="21"/>
                <w:szCs w:val="2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Accruing</w:t>
            </w:r>
          </w:p>
        </w:tc>
        <w:tc>
          <w:tcPr>
            <w:tcW w:w="100" w:type="dxa"/>
            <w:vAlign w:val="bottom"/>
          </w:tcPr>
          <w:p>
            <w:pPr>
              <w:spacing w:after="0"/>
              <w:rPr>
                <w:sz w:val="21"/>
                <w:szCs w:val="21"/>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492,162</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$ 494,423</w:t>
            </w:r>
          </w:p>
        </w:tc>
        <w:tc>
          <w:tcPr>
            <w:tcW w:w="9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0"/>
                <w:szCs w:val="20"/>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220,514</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128,926</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270,984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272,119</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89,894</w:t>
            </w:r>
          </w:p>
        </w:tc>
        <w:tc>
          <w:tcPr>
            <w:tcW w:w="2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2,356,38</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1"/>
        </w:trPr>
        <w:tc>
          <w:tcPr>
            <w:tcW w:w="4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4"/>
                <w:szCs w:val="24"/>
                <w:color w:val="auto"/>
              </w:rPr>
            </w:pPr>
          </w:p>
        </w:tc>
      </w:tr>
      <w:tr>
        <w:trPr>
          <w:trHeight w:val="635"/>
        </w:trPr>
        <w:tc>
          <w:tcPr>
            <w:tcW w:w="4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-3471545</wp:posOffset>
            </wp:positionV>
            <wp:extent cx="774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-3453765</wp:posOffset>
            </wp:positionV>
            <wp:extent cx="774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-3471545</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-3453765</wp:posOffset>
            </wp:positionV>
            <wp:extent cx="774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-3471545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-3453765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-3471545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-3453765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-3471545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-3453765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-3471545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-3453765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-3471545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-933450</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-916305</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-933450</wp:posOffset>
            </wp:positionV>
            <wp:extent cx="774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-916305</wp:posOffset>
            </wp:positionV>
            <wp:extent cx="774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-933450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-916305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-933450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-916305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-933450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-916305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-933450</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-916305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recorded investment in nonaccrual loans by portfolio class of loans as of December 31, 2023 and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Nonaccrual</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Loans Past</w:t>
            </w:r>
          </w:p>
        </w:tc>
        <w:tc>
          <w:tcPr>
            <w:tcW w:w="100" w:type="dxa"/>
            <w:vAlign w:val="bottom"/>
          </w:tcPr>
          <w:p>
            <w:pPr>
              <w:spacing w:after="0"/>
              <w:rPr>
                <w:sz w:val="20"/>
                <w:szCs w:val="20"/>
                <w:color w:val="auto"/>
              </w:rPr>
            </w:pPr>
          </w:p>
        </w:tc>
      </w:tr>
      <w:tr>
        <w:trPr>
          <w:trHeight w:val="238"/>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With No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Due Over</w:t>
            </w:r>
          </w:p>
        </w:tc>
      </w:tr>
      <w:tr>
        <w:trPr>
          <w:trHeight w:val="243"/>
        </w:trPr>
        <w:tc>
          <w:tcPr>
            <w:tcW w:w="4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Allowance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89 Days</w:t>
            </w:r>
          </w:p>
        </w:tc>
      </w:tr>
      <w:tr>
        <w:trPr>
          <w:trHeight w:val="250"/>
        </w:trPr>
        <w:tc>
          <w:tcPr>
            <w:tcW w:w="4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for Credit Loss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Nonaccrual</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Still Accruing</w:t>
            </w:r>
          </w:p>
        </w:tc>
      </w:tr>
      <w:tr>
        <w:trPr>
          <w:trHeight w:val="243"/>
        </w:trPr>
        <w:tc>
          <w:tcPr>
            <w:tcW w:w="400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7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9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8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3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-187960</wp:posOffset>
            </wp:positionV>
            <wp:extent cx="768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Interest income that would have been recorded under the original terms of these loans would have aggregated $1.6 million for 2023 and $157 thousand for 2022.</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6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41"/>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FF0FC"/>
          </w:tcPr>
          <w:p>
            <w:pPr>
              <w:spacing w:after="0"/>
              <w:rPr>
                <w:sz w:val="20"/>
                <w:szCs w:val="20"/>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20"/>
                <w:szCs w:val="20"/>
                <w:color w:val="auto"/>
              </w:rPr>
            </w:pPr>
          </w:p>
        </w:tc>
      </w:tr>
      <w:tr>
        <w:trPr>
          <w:trHeight w:val="247"/>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Agriculture</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FF0FC"/>
          </w:tcPr>
          <w:p>
            <w:pPr>
              <w:spacing w:after="0"/>
              <w:rPr>
                <w:sz w:val="21"/>
                <w:szCs w:val="2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20"/>
                <w:szCs w:val="20"/>
                <w:color w:val="auto"/>
              </w:rPr>
            </w:pPr>
          </w:p>
        </w:tc>
      </w:tr>
      <w:tr>
        <w:trPr>
          <w:trHeight w:val="247"/>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FF0FC"/>
          </w:tcPr>
          <w:p>
            <w:pPr>
              <w:spacing w:after="0"/>
              <w:rPr>
                <w:sz w:val="21"/>
                <w:szCs w:val="2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r>
        <w:trPr>
          <w:trHeight w:val="276"/>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1640" w:hanging="509"/>
        <w:spacing w:after="0"/>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1640" w:hanging="509"/>
        <w:spacing w:after="0" w:line="255"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1640" w:hanging="509"/>
        <w:spacing w:after="0" w:line="261"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1" w:lineRule="exact"/>
        <w:rPr>
          <w:rFonts w:ascii="Times New Roman" w:cs="Times New Roman" w:eastAsia="Times New Roman" w:hAnsi="Times New Roman"/>
          <w:sz w:val="18"/>
          <w:szCs w:val="18"/>
          <w:color w:val="auto"/>
        </w:rPr>
      </w:pPr>
    </w:p>
    <w:p>
      <w:pPr>
        <w:ind w:left="1640" w:hanging="509"/>
        <w:spacing w:after="0" w:line="282"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w:t>
      </w:r>
    </w:p>
    <w:p>
      <w:pPr>
        <w:sectPr>
          <w:pgSz w:w="11900" w:h="16838" w:orient="portrait"/>
          <w:cols w:equalWidth="0" w:num="1">
            <w:col w:w="11240"/>
          </w:cols>
          <w:pgMar w:left="320" w:top="77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367" w:lineRule="exact"/>
        <w:rPr>
          <w:sz w:val="20"/>
          <w:szCs w:val="20"/>
          <w:color w:val="auto"/>
        </w:rPr>
      </w:pPr>
    </w:p>
    <w:p>
      <w:pPr>
        <w:jc w:val="both"/>
        <w:ind w:left="1620" w:right="20"/>
        <w:spacing w:after="0" w:line="282" w:lineRule="auto"/>
        <w:rPr>
          <w:sz w:val="20"/>
          <w:szCs w:val="20"/>
          <w:color w:val="auto"/>
        </w:rPr>
      </w:pPr>
      <w:r>
        <w:rPr>
          <w:rFonts w:ascii="Times New Roman" w:cs="Times New Roman" w:eastAsia="Times New Roman" w:hAnsi="Times New Roman"/>
          <w:sz w:val="18"/>
          <w:szCs w:val="18"/>
          <w:color w:val="auto"/>
        </w:rPr>
        <w:t>demonstrate acceptable debt service coverage. There may be some weakness but with offsetting features of other support readily available. Loans that are meeting the terms of repayment.</w:t>
      </w:r>
    </w:p>
    <w:p>
      <w:pPr>
        <w:spacing w:after="0" w:line="54" w:lineRule="exact"/>
        <w:rPr>
          <w:sz w:val="20"/>
          <w:szCs w:val="20"/>
          <w:color w:val="auto"/>
        </w:rPr>
      </w:pPr>
    </w:p>
    <w:p>
      <w:pPr>
        <w:jc w:val="both"/>
        <w:ind w:left="1620"/>
        <w:spacing w:after="0" w:line="282" w:lineRule="auto"/>
        <w:rPr>
          <w:sz w:val="20"/>
          <w:szCs w:val="20"/>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sz w:val="20"/>
          <w:szCs w:val="20"/>
          <w:color w:val="auto"/>
        </w:rPr>
      </w:pPr>
    </w:p>
    <w:p>
      <w:pPr>
        <w:ind w:left="2140" w:hanging="519"/>
        <w:spacing w:after="0"/>
        <w:tabs>
          <w:tab w:leader="none" w:pos="2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117" w:lineRule="exact"/>
        <w:rPr>
          <w:rFonts w:ascii="Times New Roman" w:cs="Times New Roman" w:eastAsia="Times New Roman" w:hAnsi="Times New Roman"/>
          <w:sz w:val="18"/>
          <w:szCs w:val="18"/>
          <w:color w:val="auto"/>
        </w:rPr>
      </w:pPr>
    </w:p>
    <w:p>
      <w:pPr>
        <w:jc w:val="both"/>
        <w:ind w:left="2140" w:hanging="519"/>
        <w:spacing w:after="0" w:line="261" w:lineRule="auto"/>
        <w:tabs>
          <w:tab w:leader="none" w:pos="2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71" w:lineRule="exact"/>
        <w:rPr>
          <w:rFonts w:ascii="Times New Roman" w:cs="Times New Roman" w:eastAsia="Times New Roman" w:hAnsi="Times New Roman"/>
          <w:sz w:val="18"/>
          <w:szCs w:val="18"/>
          <w:color w:val="auto"/>
        </w:rPr>
      </w:pPr>
    </w:p>
    <w:p>
      <w:pPr>
        <w:jc w:val="both"/>
        <w:ind w:left="1620" w:hanging="509"/>
        <w:spacing w:after="0" w:line="261"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1" w:lineRule="exact"/>
        <w:rPr>
          <w:rFonts w:ascii="Times New Roman" w:cs="Times New Roman" w:eastAsia="Times New Roman" w:hAnsi="Times New Roman"/>
          <w:sz w:val="18"/>
          <w:szCs w:val="18"/>
          <w:color w:val="auto"/>
        </w:rPr>
      </w:pPr>
    </w:p>
    <w:p>
      <w:pPr>
        <w:jc w:val="both"/>
        <w:ind w:left="1620" w:hanging="509"/>
        <w:spacing w:after="0" w:line="258"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5" w:lineRule="exact"/>
        <w:rPr>
          <w:rFonts w:ascii="Times New Roman" w:cs="Times New Roman" w:eastAsia="Times New Roman" w:hAnsi="Times New Roman"/>
          <w:sz w:val="18"/>
          <w:szCs w:val="18"/>
          <w:color w:val="auto"/>
        </w:rPr>
      </w:pPr>
    </w:p>
    <w:p>
      <w:pPr>
        <w:ind w:left="1620" w:hanging="509"/>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140" w:hanging="519"/>
        <w:spacing w:after="0" w:line="266" w:lineRule="auto"/>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6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117" w:lineRule="exact"/>
        <w:rPr>
          <w:rFonts w:ascii="Times New Roman" w:cs="Times New Roman" w:eastAsia="Times New Roman" w:hAnsi="Times New Roman"/>
          <w:sz w:val="18"/>
          <w:szCs w:val="18"/>
          <w:color w:val="auto"/>
        </w:rPr>
      </w:pPr>
    </w:p>
    <w:p>
      <w:pPr>
        <w:ind w:left="2140" w:right="20" w:hanging="519"/>
        <w:spacing w:after="0" w:line="282" w:lineRule="auto"/>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spacing w:after="0" w:line="53"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117" w:lineRule="exact"/>
        <w:rPr>
          <w:rFonts w:ascii="Times New Roman" w:cs="Times New Roman" w:eastAsia="Times New Roman" w:hAnsi="Times New Roman"/>
          <w:sz w:val="18"/>
          <w:szCs w:val="18"/>
          <w:color w:val="auto"/>
        </w:rPr>
      </w:pPr>
    </w:p>
    <w:p>
      <w:pPr>
        <w:ind w:left="2140" w:hanging="519"/>
        <w:spacing w:after="0" w:line="282" w:lineRule="auto"/>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spacing w:after="0" w:line="53"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367" w:lineRule="exact"/>
        <w:rPr>
          <w:sz w:val="20"/>
          <w:szCs w:val="20"/>
          <w:color w:val="auto"/>
        </w:rPr>
      </w:pPr>
    </w:p>
    <w:p>
      <w:pPr>
        <w:ind w:left="1620" w:hanging="509"/>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117" w:lineRule="exact"/>
        <w:rPr>
          <w:rFonts w:ascii="Times New Roman" w:cs="Times New Roman" w:eastAsia="Times New Roman" w:hAnsi="Times New Roman"/>
          <w:sz w:val="18"/>
          <w:szCs w:val="18"/>
          <w:color w:val="auto"/>
        </w:rPr>
      </w:pPr>
    </w:p>
    <w:p>
      <w:pPr>
        <w:ind w:left="2140" w:hanging="519"/>
        <w:spacing w:after="0" w:line="282" w:lineRule="auto"/>
        <w:tabs>
          <w:tab w:leader="none" w:pos="2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spacing w:after="0" w:line="53" w:lineRule="exact"/>
        <w:rPr>
          <w:rFonts w:ascii="Times New Roman" w:cs="Times New Roman" w:eastAsia="Times New Roman" w:hAnsi="Times New Roman"/>
          <w:sz w:val="18"/>
          <w:szCs w:val="18"/>
          <w:color w:val="auto"/>
        </w:rPr>
      </w:pPr>
    </w:p>
    <w:p>
      <w:pPr>
        <w:ind w:left="2140" w:right="20" w:hanging="519"/>
        <w:spacing w:after="0" w:line="282" w:lineRule="auto"/>
        <w:tabs>
          <w:tab w:leader="none" w:pos="2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spacing w:after="0" w:line="53" w:lineRule="exact"/>
        <w:rPr>
          <w:rFonts w:ascii="Times New Roman" w:cs="Times New Roman" w:eastAsia="Times New Roman" w:hAnsi="Times New Roman"/>
          <w:sz w:val="18"/>
          <w:szCs w:val="18"/>
          <w:color w:val="auto"/>
        </w:rPr>
      </w:pPr>
    </w:p>
    <w:p>
      <w:pPr>
        <w:jc w:val="both"/>
        <w:ind w:left="2140" w:hanging="519"/>
        <w:spacing w:after="0" w:line="266" w:lineRule="auto"/>
        <w:tabs>
          <w:tab w:leader="none" w:pos="2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67" w:lineRule="exact"/>
        <w:rPr>
          <w:rFonts w:ascii="Times New Roman" w:cs="Times New Roman" w:eastAsia="Times New Roman" w:hAnsi="Times New Roman"/>
          <w:sz w:val="18"/>
          <w:szCs w:val="18"/>
          <w:color w:val="auto"/>
        </w:rPr>
      </w:pPr>
    </w:p>
    <w:p>
      <w:pPr>
        <w:jc w:val="both"/>
        <w:ind w:left="1620" w:hanging="509"/>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risk category of loans by portfolio class based on the most recent analysis performed as of December 31, 2023 based on year of origination: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Revolving</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Grand</w:t>
            </w:r>
          </w:p>
        </w:tc>
      </w:tr>
      <w:tr>
        <w:trPr>
          <w:trHeight w:val="225"/>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43"/>
        </w:trPr>
        <w:tc>
          <w:tcPr>
            <w:tcW w:w="24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77,298</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88,695</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126,596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465,408</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518,312</w:t>
            </w:r>
          </w:p>
        </w:tc>
        <w:tc>
          <w:tcPr>
            <w:tcW w:w="100" w:type="dxa"/>
            <w:vAlign w:val="bottom"/>
            <w:shd w:val="clear" w:color="auto" w:fill="CFF0FC"/>
          </w:tcPr>
          <w:p>
            <w:pPr>
              <w:spacing w:after="0"/>
              <w:rPr>
                <w:sz w:val="21"/>
                <w:szCs w:val="2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0"/>
                <w:szCs w:val="20"/>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21"/>
                <w:szCs w:val="21"/>
                <w:color w:val="auto"/>
              </w:rPr>
            </w:pPr>
          </w:p>
        </w:tc>
      </w:tr>
      <w:tr>
        <w:trPr>
          <w:trHeight w:val="243"/>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2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 Real 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90,697</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82,843</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127,928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468,990</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7"/>
        </w:trPr>
        <w:tc>
          <w:tcPr>
            <w:tcW w:w="24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205,852</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205,949</w:t>
            </w:r>
          </w:p>
        </w:tc>
        <w:tc>
          <w:tcPr>
            <w:tcW w:w="100" w:type="dxa"/>
            <w:vAlign w:val="bottom"/>
          </w:tcPr>
          <w:p>
            <w:pPr>
              <w:spacing w:after="0"/>
              <w:rPr>
                <w:sz w:val="20"/>
                <w:szCs w:val="20"/>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1"/>
                <w:szCs w:val="2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100" w:type="dxa"/>
            <w:vAlign w:val="bottom"/>
          </w:tcPr>
          <w:p>
            <w:pPr>
              <w:spacing w:after="0"/>
              <w:rPr>
                <w:sz w:val="20"/>
                <w:szCs w:val="20"/>
                <w:color w:val="auto"/>
              </w:rPr>
            </w:pPr>
          </w:p>
        </w:tc>
      </w:tr>
      <w:tr>
        <w:trPr>
          <w:trHeight w:val="247"/>
        </w:trPr>
        <w:tc>
          <w:tcPr>
            <w:tcW w:w="2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640" w:type="dxa"/>
            <w:vAlign w:val="bottom"/>
            <w:gridSpan w:val="2"/>
          </w:tcPr>
          <w:p>
            <w:pPr>
              <w:ind w:left="300"/>
              <w:spacing w:after="0" w:line="236" w:lineRule="exact"/>
              <w:rPr>
                <w:sz w:val="20"/>
                <w:szCs w:val="20"/>
                <w:color w:val="auto"/>
              </w:rPr>
            </w:pPr>
            <w:r>
              <w:rPr>
                <w:rFonts w:ascii="Times New Roman" w:cs="Times New Roman" w:eastAsia="Times New Roman" w:hAnsi="Times New Roman"/>
                <w:sz w:val="15"/>
                <w:szCs w:val="15"/>
                <w:color w:val="auto"/>
              </w:rPr>
              <w:t xml:space="preserve">Total Agricultural Real Estate </w:t>
            </w:r>
            <w:r>
              <w:rPr>
                <w:rFonts w:ascii="Times New Roman" w:cs="Times New Roman" w:eastAsia="Times New Roman" w:hAnsi="Times New Roman"/>
                <w:sz w:val="27"/>
                <w:szCs w:val="27"/>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37,378</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223,382</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223,479</w:t>
            </w:r>
          </w:p>
        </w:tc>
        <w:tc>
          <w:tcPr>
            <w:tcW w:w="100" w:type="dxa"/>
            <w:vAlign w:val="bottom"/>
          </w:tcPr>
          <w:p>
            <w:pPr>
              <w:spacing w:after="0"/>
              <w:rPr>
                <w:sz w:val="20"/>
                <w:szCs w:val="20"/>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6"/>
        </w:trPr>
        <w:tc>
          <w:tcPr>
            <w:tcW w:w="24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56,685</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126,509</w:t>
            </w:r>
          </w:p>
        </w:tc>
        <w:tc>
          <w:tcPr>
            <w:tcW w:w="100" w:type="dxa"/>
            <w:vAlign w:val="bottom"/>
            <w:shd w:val="clear" w:color="auto" w:fill="CFF0FC"/>
          </w:tcPr>
          <w:p>
            <w:pPr>
              <w:spacing w:after="0"/>
              <w:rPr>
                <w:sz w:val="21"/>
                <w:szCs w:val="2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0"/>
                <w:szCs w:val="20"/>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FF0FC"/>
          </w:tcPr>
          <w:p>
            <w:pPr>
              <w:spacing w:after="0"/>
              <w:rPr>
                <w:sz w:val="21"/>
                <w:szCs w:val="21"/>
                <w:color w:val="auto"/>
              </w:rPr>
            </w:pPr>
          </w:p>
        </w:tc>
      </w:tr>
      <w:tr>
        <w:trPr>
          <w:trHeight w:val="243"/>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2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Agricultural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61,111</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641"/>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2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-3950970</wp:posOffset>
            </wp:positionV>
            <wp:extent cx="774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-3933825</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-3950970</wp:posOffset>
            </wp:positionV>
            <wp:extent cx="768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-3933825</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-3950970</wp:posOffset>
            </wp:positionV>
            <wp:extent cx="7747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-3933825</wp:posOffset>
            </wp:positionV>
            <wp:extent cx="774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-3950970</wp:posOffset>
            </wp:positionV>
            <wp:extent cx="7747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-3933825</wp:posOffset>
            </wp:positionV>
            <wp:extent cx="774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-3950970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-3933825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-3950970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-3933825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-3950970</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-3933825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-2682240</wp:posOffset>
            </wp:positionV>
            <wp:extent cx="774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-2682240</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-2682240</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-2682240</wp:posOffset>
            </wp:positionV>
            <wp:extent cx="774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-2682240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-2682240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-2682240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-2339340</wp:posOffset>
            </wp:positionV>
            <wp:extent cx="774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-2339340</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-2339340</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-2339340</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-2339340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-2339340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-2339340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-1087755</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-1070610</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-1087755</wp:posOffset>
            </wp:positionV>
            <wp:extent cx="768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-1070610</wp:posOffset>
            </wp:positionV>
            <wp:extent cx="768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-1087755</wp:posOffset>
            </wp:positionV>
            <wp:extent cx="774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-1070610</wp:posOffset>
            </wp:positionV>
            <wp:extent cx="774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-1087755</wp:posOffset>
            </wp:positionV>
            <wp:extent cx="774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-1070610</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-1087755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-1070610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-1087755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-1070610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-1087755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-1070610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Revolving</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47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1,266,48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224,232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245,273</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34,864</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1,335,07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1,335,07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40" w:type="dxa"/>
            <w:vAlign w:val="bottom"/>
            <w:gridSpan w:val="2"/>
          </w:tcPr>
          <w:p>
            <w:pPr>
              <w:ind w:left="300"/>
              <w:spacing w:after="0" w:line="247" w:lineRule="exact"/>
              <w:rPr>
                <w:sz w:val="20"/>
                <w:szCs w:val="20"/>
                <w:color w:val="auto"/>
              </w:rPr>
            </w:pPr>
            <w:r>
              <w:rPr>
                <w:rFonts w:ascii="Times New Roman" w:cs="Times New Roman" w:eastAsia="Times New Roman" w:hAnsi="Times New Roman"/>
                <w:sz w:val="15"/>
                <w:szCs w:val="15"/>
                <w:color w:val="auto"/>
              </w:rPr>
              <w:t xml:space="preserve">Total Commercial Real Estate </w:t>
            </w:r>
            <w:r>
              <w:rPr>
                <w:rFonts w:ascii="Times New Roman" w:cs="Times New Roman" w:eastAsia="Times New Roman" w:hAnsi="Times New Roman"/>
                <w:sz w:val="28"/>
                <w:szCs w:val="28"/>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245,273</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155,908</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480" w:type="dxa"/>
            <w:vAlign w:val="bottom"/>
          </w:tcPr>
          <w:p>
            <w:pPr>
              <w:ind w:left="300"/>
              <w:spacing w:after="0" w:line="205" w:lineRule="exact"/>
              <w:rPr>
                <w:sz w:val="20"/>
                <w:szCs w:val="20"/>
                <w:color w:val="auto"/>
              </w:rPr>
            </w:pPr>
            <w:r>
              <w:rPr>
                <w:rFonts w:ascii="Times New Roman" w:cs="Times New Roman" w:eastAsia="Times New Roman" w:hAnsi="Times New Roman"/>
                <w:sz w:val="18"/>
                <w:szCs w:val="18"/>
                <w:color w:val="auto"/>
              </w:rPr>
              <w:t>Total Commercial &amp;</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57,014</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52,186</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34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158,602</w:t>
            </w:r>
          </w:p>
        </w:tc>
        <w:tc>
          <w:tcPr>
            <w:tcW w:w="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96,156</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254,758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4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2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-4208145</wp:posOffset>
            </wp:positionV>
            <wp:extent cx="774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-4208145</wp:posOffset>
            </wp:positionV>
            <wp:extent cx="76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-4208145</wp:posOffset>
            </wp:positionV>
            <wp:extent cx="774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-4208145</wp:posOffset>
            </wp:positionV>
            <wp:extent cx="77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-4208145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-4208145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-4208145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-3728085</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-3728085</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-3728085</wp:posOffset>
            </wp:positionV>
            <wp:extent cx="774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-3728085</wp:posOffset>
            </wp:positionV>
            <wp:extent cx="774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-3728085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-3728085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-3728085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-2794000</wp:posOffset>
            </wp:positionV>
            <wp:extent cx="7747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-2794000</wp:posOffset>
            </wp:positionV>
            <wp:extent cx="768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-2794000</wp:posOffset>
            </wp:positionV>
            <wp:extent cx="7747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-2794000</wp:posOffset>
            </wp:positionV>
            <wp:extent cx="7747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-2794000</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-2794000</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-2794000</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-2339340</wp:posOffset>
            </wp:positionV>
            <wp:extent cx="7747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-2339340</wp:posOffset>
            </wp:positionV>
            <wp:extent cx="7683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-2339340</wp:posOffset>
            </wp:positionV>
            <wp:extent cx="7747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-2339340</wp:posOffset>
            </wp:positionV>
            <wp:extent cx="7747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-2339340</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-2339340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-2339340</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-1088390</wp:posOffset>
            </wp:positionV>
            <wp:extent cx="7747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-1071245</wp:posOffset>
            </wp:positionV>
            <wp:extent cx="7747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-1088390</wp:posOffset>
            </wp:positionV>
            <wp:extent cx="768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-1071245</wp:posOffset>
            </wp:positionV>
            <wp:extent cx="768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-1088390</wp:posOffset>
            </wp:positionV>
            <wp:extent cx="7747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-1071245</wp:posOffset>
            </wp:positionV>
            <wp:extent cx="7747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-1088390</wp:posOffset>
            </wp:positionV>
            <wp:extent cx="7747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-1071245</wp:posOffset>
            </wp:positionV>
            <wp:extent cx="774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-1088390</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-1071245</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-1088390</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-1071245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-1088390</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-1071245</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payment performance as of December 31, 2023 by year of origination: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6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Revolvin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g</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Grand</w:t>
            </w:r>
          </w:p>
        </w:tc>
      </w:tr>
      <w:tr>
        <w:trPr>
          <w:trHeight w:val="225"/>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Prior</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Basis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43"/>
        </w:trPr>
        <w:tc>
          <w:tcPr>
            <w:tcW w:w="25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Performance</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40,729</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80,261</w:t>
            </w:r>
          </w:p>
        </w:tc>
        <w:tc>
          <w:tcPr>
            <w:tcW w:w="100" w:type="dxa"/>
            <w:vAlign w:val="bottom"/>
            <w:shd w:val="clear" w:color="auto" w:fill="CFF0FC"/>
          </w:tcPr>
          <w:p>
            <w:pPr>
              <w:spacing w:after="0"/>
              <w:rPr>
                <w:sz w:val="21"/>
                <w:szCs w:val="21"/>
                <w:color w:val="auto"/>
              </w:rPr>
            </w:pPr>
          </w:p>
        </w:tc>
      </w:tr>
      <w:tr>
        <w:trPr>
          <w:trHeight w:val="243"/>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r>
      <w:tr>
        <w:trPr>
          <w:trHeight w:val="276"/>
        </w:trPr>
        <w:tc>
          <w:tcPr>
            <w:tcW w:w="2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3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-187960</wp:posOffset>
            </wp:positionV>
            <wp:extent cx="7683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-170815</wp:posOffset>
            </wp:positionV>
            <wp:extent cx="768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-187960</wp:posOffset>
            </wp:positionV>
            <wp:extent cx="7683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-170815</wp:posOffset>
            </wp:positionV>
            <wp:extent cx="768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-187960</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-170815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-187960</wp:posOffset>
            </wp:positionV>
            <wp:extent cx="6858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685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685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collateral-dependent loans grouped by collateral as of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5"/>
        </w:trPr>
        <w:tc>
          <w:tcPr>
            <w:tcW w:w="17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Dependent Loans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1700" w:type="dxa"/>
            <w:vAlign w:val="bottom"/>
          </w:tcPr>
          <w:p>
            <w:pPr>
              <w:spacing w:after="0"/>
              <w:rPr>
                <w:sz w:val="24"/>
                <w:szCs w:val="24"/>
                <w:color w:val="auto"/>
              </w:rPr>
            </w:pPr>
          </w:p>
        </w:tc>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8"/>
        </w:trPr>
        <w:tc>
          <w:tcPr>
            <w:tcW w:w="1700" w:type="dxa"/>
            <w:vAlign w:val="bottom"/>
          </w:tcPr>
          <w:p>
            <w:pPr>
              <w:spacing w:after="0"/>
              <w:rPr>
                <w:sz w:val="24"/>
                <w:szCs w:val="24"/>
                <w:color w:val="auto"/>
              </w:rPr>
            </w:pPr>
          </w:p>
        </w:tc>
        <w:tc>
          <w:tcPr>
            <w:tcW w:w="282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930"/>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-925195</wp:posOffset>
            </wp:positionV>
            <wp:extent cx="431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-908050</wp:posOffset>
            </wp:positionV>
            <wp:extent cx="431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by portfolio class, net of deferred fees, based on the most recent analysis performed as of the time periods shown of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Agricultural Real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Commercial Real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Commercial and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Estate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r>
      <w:tr>
        <w:trPr>
          <w:trHeight w:val="239"/>
        </w:trPr>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41"/>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370,035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100" w:type="dxa"/>
            <w:vAlign w:val="bottom"/>
          </w:tcPr>
          <w:p>
            <w:pPr>
              <w:spacing w:after="0"/>
              <w:rPr>
                <w:sz w:val="20"/>
                <w:szCs w:val="20"/>
                <w:color w:val="auto"/>
              </w:rPr>
            </w:pPr>
          </w:p>
        </w:tc>
      </w:tr>
      <w:tr>
        <w:trPr>
          <w:trHeight w:val="247"/>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146,143</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737,745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167,291</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100" w:type="dxa"/>
            <w:vAlign w:val="bottom"/>
            <w:shd w:val="clear" w:color="auto" w:fill="CFF0FC"/>
          </w:tcPr>
          <w:p>
            <w:pPr>
              <w:spacing w:after="0"/>
              <w:rPr>
                <w:sz w:val="21"/>
                <w:szCs w:val="21"/>
                <w:color w:val="auto"/>
              </w:rPr>
            </w:pPr>
          </w:p>
        </w:tc>
      </w:tr>
      <w:tr>
        <w:trPr>
          <w:trHeight w:val="23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1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220,514</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128,926</w:t>
            </w:r>
          </w:p>
        </w:tc>
        <w:tc>
          <w:tcPr>
            <w:tcW w:w="3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1,150,511</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242,301</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100" w:type="dxa"/>
            <w:vAlign w:val="bottom"/>
          </w:tcPr>
          <w:p>
            <w:pPr>
              <w:spacing w:after="0"/>
              <w:rPr>
                <w:sz w:val="20"/>
                <w:szCs w:val="20"/>
                <w:color w:val="auto"/>
              </w:rPr>
            </w:pPr>
          </w:p>
        </w:tc>
      </w:tr>
      <w:tr>
        <w:trPr>
          <w:trHeight w:val="20"/>
        </w:trPr>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-1096645</wp:posOffset>
            </wp:positionV>
            <wp:extent cx="768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-1096645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-1096645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-1096645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consumer residential real estate, the Company also evaluates credit quality based on the aging status of the loan, which was previously stated, and by payment activity. The following tables present the recorded investment in those classes based on payment activity and assigned risk grading as of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 Real</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Estate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Grade</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Special mention (5)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Substandard (6)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Doubtful (7)</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17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Consumer -</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Other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89,853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89,894</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9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Information about impaired loans as of and for the year ended December 31, 2022 is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7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Impaired loans without a valuation allowance</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Impaired loans with a valuation allowance</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4"/>
                <w:szCs w:val="24"/>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impaired loans</w:t>
            </w: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related to impaired loans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Pr>
          <w:p>
            <w:pPr>
              <w:spacing w:after="0"/>
              <w:rPr>
                <w:sz w:val="22"/>
                <w:szCs w:val="22"/>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loans past-due ninety days or more and still accruing</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-4259580</wp:posOffset>
            </wp:positionV>
            <wp:extent cx="431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-2699385</wp:posOffset>
            </wp:positionV>
            <wp:extent cx="431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-2682240</wp:posOffset>
            </wp:positionV>
            <wp:extent cx="431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-1464945</wp:posOffset>
            </wp:positionV>
            <wp:extent cx="431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-1447800</wp:posOffset>
            </wp:positionV>
            <wp:extent cx="431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-1104900</wp:posOffset>
            </wp:positionV>
            <wp:extent cx="431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-1087755</wp:posOffset>
            </wp:positionV>
            <wp:extent cx="431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investment in impaired loans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recognized on impaired loans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Interest income recognized on a cash basis on impaired</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vMerge w:val="restart"/>
            <w:shd w:val="clear" w:color="auto" w:fill="CFF0FC"/>
          </w:tcPr>
          <w:p>
            <w:pPr>
              <w:spacing w:after="0"/>
              <w:rPr>
                <w:sz w:val="16"/>
                <w:szCs w:val="16"/>
                <w:color w:val="auto"/>
              </w:rPr>
            </w:pPr>
          </w:p>
        </w:tc>
        <w:tc>
          <w:tcPr>
            <w:tcW w:w="440" w:type="dxa"/>
            <w:vAlign w:val="bottom"/>
            <w:vMerge w:val="restart"/>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vMerge w:val="continue"/>
            <w:shd w:val="clear" w:color="auto" w:fill="CFF0FC"/>
          </w:tcPr>
          <w:p>
            <w:pPr>
              <w:spacing w:after="0"/>
              <w:rPr>
                <w:sz w:val="21"/>
                <w:szCs w:val="21"/>
                <w:color w:val="auto"/>
              </w:rPr>
            </w:pPr>
          </w:p>
        </w:tc>
        <w:tc>
          <w:tcPr>
            <w:tcW w:w="44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-496570</wp:posOffset>
            </wp:positionV>
            <wp:extent cx="596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-479425</wp:posOffset>
            </wp:positionV>
            <wp:extent cx="596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-496570</wp:posOffset>
            </wp:positionV>
            <wp:extent cx="514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-479425</wp:posOffset>
            </wp:positionV>
            <wp:extent cx="514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-25400</wp:posOffset>
            </wp:positionV>
            <wp:extent cx="596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-7620</wp:posOffset>
            </wp:positionV>
            <wp:extent cx="596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-25400</wp:posOffset>
            </wp:positionV>
            <wp:extent cx="5143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-7620</wp:posOffset>
            </wp:positionV>
            <wp:extent cx="514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 Bank had approximately $3.6 million of its impaired loans classified as modifications to borrowers experiencing financial difficulty as of December 31, 2022.</w:t>
      </w:r>
    </w:p>
    <w:p>
      <w:pPr>
        <w:spacing w:after="0" w:line="162"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Under ASC 310-40, TDRs were eliminated from being classified as such for 2023 and will no longer be reported as such. Modification programs focused on payment pattern changes and/or modified maturity dates with most receiving a combination of the two concessions. The modifications did not result in the contractual forgiveness of principal. During 2023, one new loan was considered a modification to a borrower experiencing financial difficulty. The modification consisted of refinancing at a higher balance to a borrower experiencing financial difficulty that would not have otherwise been granted to a borrower. The amount of new money increase to the loan balance was $411 thousand. This loan was subsequently paid off during 2023. During 2022, three new loans were considered modifications to borrowers experiencing financial difficulty as a result of the continuance of interest only payment modifications. These three loans stem from a single relationship with a borrower. This relationship has a Small Business Administration (SBA) guaranty and consequently the request for the continuance of the interest only period was also approved by the SBA as were previous requests. One of the three loans was charged off in December of 2022. The ACL includes a $837 thousand specific allocation for one of the loans as of December 31, 2022. The fourth loan was a work-out loan that was included on Peoples modification list which had some debt written off when the loan was granted. Two loans previously reported as modifications to borrowers experiencing financial difficulty were paid off in April 2022.</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5"/>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Pre-</w:t>
            </w:r>
          </w:p>
        </w:tc>
        <w:tc>
          <w:tcPr>
            <w:tcW w:w="240" w:type="dxa"/>
            <w:vAlign w:val="bottom"/>
          </w:tcPr>
          <w:p>
            <w:pPr>
              <w:spacing w:after="0"/>
              <w:rPr>
                <w:sz w:val="19"/>
                <w:szCs w:val="19"/>
                <w:color w:val="auto"/>
              </w:rPr>
            </w:pPr>
          </w:p>
        </w:tc>
        <w:tc>
          <w:tcPr>
            <w:tcW w:w="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Post-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Pre-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Modificatio</w:t>
            </w: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Modificatio</w:t>
            </w: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Modificati</w:t>
            </w:r>
          </w:p>
        </w:tc>
        <w:tc>
          <w:tcPr>
            <w:tcW w:w="22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Modificati</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on</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Outstandin</w:t>
            </w: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Outstandin</w:t>
            </w: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2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w:t>
            </w:r>
          </w:p>
        </w:tc>
        <w:tc>
          <w:tcPr>
            <w:tcW w:w="22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Outstandin</w:t>
            </w: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Modified Loans for</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Modified 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g</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Modified in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88"/>
              </w:rPr>
              <w:t>g</w:t>
            </w: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Borrowers Experiencing</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Last</w:t>
            </w: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Recorded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Troubled Debt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Last</w:t>
            </w:r>
          </w:p>
        </w:tc>
        <w:tc>
          <w:tcPr>
            <w:tcW w:w="22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Recorded</w:t>
            </w:r>
          </w:p>
        </w:tc>
        <w:tc>
          <w:tcPr>
            <w:tcW w:w="22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Recorded</w:t>
            </w:r>
          </w:p>
        </w:tc>
      </w:tr>
      <w:tr>
        <w:trPr>
          <w:trHeight w:val="241"/>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Difficulty</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24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Investment</w:t>
            </w:r>
          </w:p>
        </w:tc>
        <w:tc>
          <w:tcPr>
            <w:tcW w:w="260" w:type="dxa"/>
            <w:vAlign w:val="bottom"/>
          </w:tcPr>
          <w:p>
            <w:pPr>
              <w:spacing w:after="0"/>
              <w:rPr>
                <w:sz w:val="20"/>
                <w:szCs w:val="20"/>
                <w:color w:val="auto"/>
              </w:rPr>
            </w:pPr>
          </w:p>
        </w:tc>
        <w:tc>
          <w:tcPr>
            <w:tcW w:w="2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Restructurings</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220" w:type="dxa"/>
            <w:vAlign w:val="bottom"/>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Investment</w:t>
            </w:r>
          </w:p>
        </w:tc>
        <w:tc>
          <w:tcPr>
            <w:tcW w:w="220" w:type="dxa"/>
            <w:vAlign w:val="bottom"/>
          </w:tcPr>
          <w:p>
            <w:pPr>
              <w:spacing w:after="0"/>
              <w:rPr>
                <w:sz w:val="20"/>
                <w:szCs w:val="20"/>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00" w:type="dxa"/>
            <w:vAlign w:val="bottom"/>
          </w:tcPr>
          <w:p>
            <w:pPr>
              <w:spacing w:after="0"/>
              <w:rPr>
                <w:sz w:val="20"/>
                <w:szCs w:val="20"/>
                <w:color w:val="auto"/>
              </w:rPr>
            </w:pPr>
          </w:p>
        </w:tc>
      </w:tr>
      <w:tr>
        <w:trPr>
          <w:trHeight w:val="243"/>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1"/>
                <w:szCs w:val="2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there were no modifications to borrowers experiencing financial difficulty that subsequently defaulted after modification.</w:t>
      </w:r>
    </w:p>
    <w:p>
      <w:pPr>
        <w:spacing w:after="0" w:line="16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For the majority of the Bank’s impaired loans, the Bank applied a measurement incorporating the present value of expected future cash flows discounted at the loan's effective rate of interest or the fair value of collateral if the loan is collateral dependent. To determine the fair value of collateral,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8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loans individually evaluated for impairment by portfolio class of loans as of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Unpaid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16"/>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Recorded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Related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Recorded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tcPr>
          <w:p>
            <w:pPr>
              <w:spacing w:after="0"/>
              <w:rPr>
                <w:sz w:val="18"/>
                <w:szCs w:val="18"/>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Recognized</w:t>
            </w:r>
          </w:p>
        </w:tc>
      </w:tr>
      <w:tr>
        <w:trPr>
          <w:trHeight w:val="24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Investment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Allowance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Recognized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Basis</w:t>
            </w:r>
          </w:p>
        </w:tc>
      </w:tr>
      <w:tr>
        <w:trPr>
          <w:trHeight w:val="23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r>
      <w:tr>
        <w:trPr>
          <w:trHeight w:val="23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r>
      <w:tr>
        <w:trPr>
          <w:trHeight w:val="23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r>
      <w:tr>
        <w:trPr>
          <w:trHeight w:val="849"/>
        </w:trPr>
        <w:tc>
          <w:tcPr>
            <w:tcW w:w="33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3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-1782445</wp:posOffset>
            </wp:positionV>
            <wp:extent cx="7683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-1765300</wp:posOffset>
            </wp:positionV>
            <wp:extent cx="768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-1782445</wp:posOffset>
            </wp:positionV>
            <wp:extent cx="7747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-1765300</wp:posOffset>
            </wp:positionV>
            <wp:extent cx="774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-1782445</wp:posOffset>
            </wp:positionV>
            <wp:extent cx="685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-1765300</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-1782445</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-1765300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-1782445</wp:posOffset>
            </wp:positionV>
            <wp:extent cx="685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-1765300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-1422400</wp:posOffset>
            </wp:positionV>
            <wp:extent cx="7683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-1405255</wp:posOffset>
            </wp:positionV>
            <wp:extent cx="768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-1422400</wp:posOffset>
            </wp:positionV>
            <wp:extent cx="774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-1405255</wp:posOffset>
            </wp:positionV>
            <wp:extent cx="7747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-1422400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-1405255</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-1422400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-1405255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-1422400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-1405255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-1062355</wp:posOffset>
            </wp:positionV>
            <wp:extent cx="768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-1045210</wp:posOffset>
            </wp:positionV>
            <wp:extent cx="7683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-1062355</wp:posOffset>
            </wp:positionV>
            <wp:extent cx="7747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-1045210</wp:posOffset>
            </wp:positionV>
            <wp:extent cx="7747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-1062355</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-1045210</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-1062355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-1045210</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-1062355</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-1045210</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4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no foreclosed residential real estate property obtained by physical possession or consumer real estate loans secured by residential real estate properties for which foreclosure proceedings are in process according to local jurisdictions.</w:t>
      </w:r>
    </w:p>
    <w:p>
      <w:pPr>
        <w:spacing w:after="0" w:line="162"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for loan losses and unfunded commitment liability in the amount of $4.5 million, or $3.4 million, net of tax.</w:t>
      </w:r>
    </w:p>
    <w:p>
      <w:pPr>
        <w:spacing w:after="0" w:line="180"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40" w:right="2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Allowance for Credit Losses (ACL) and the Allowance for Unfunded Loan Commitments and Letters of Credit (AULC). When combined, these reserves constitute the total Current Expected Credit Losses (CECL).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Additional analysis related to the allowance for credit losses as of December 31, 2023 and 2022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Real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Agricultural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and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Estate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Borders>
              <w:right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Industrial</w:t>
            </w:r>
          </w:p>
        </w:tc>
        <w:tc>
          <w:tcPr>
            <w:tcW w:w="1200" w:type="dxa"/>
            <w:vAlign w:val="bottom"/>
            <w:tcBorders>
              <w:right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Borders>
              <w:right w:val="single" w:sz="8" w:color="auto"/>
            </w:tcBorders>
            <w:shd w:val="clear" w:color="auto" w:fill="CFF0FC"/>
          </w:tcPr>
          <w:p>
            <w:pPr>
              <w:spacing w:after="0"/>
              <w:rPr>
                <w:sz w:val="21"/>
                <w:szCs w:val="21"/>
                <w:color w:val="auto"/>
              </w:rPr>
            </w:pPr>
          </w:p>
        </w:tc>
        <w:tc>
          <w:tcPr>
            <w:tcW w:w="6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Adoption of ASU 2016-13</w:t>
            </w:r>
          </w:p>
        </w:tc>
        <w:tc>
          <w:tcPr>
            <w:tcW w:w="1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(166 )</w:t>
            </w: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(2,165 )</w:t>
            </w:r>
          </w:p>
        </w:tc>
        <w:tc>
          <w:tcPr>
            <w:tcW w:w="6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losses-loans</w:t>
            </w:r>
          </w:p>
        </w:tc>
        <w:tc>
          <w:tcPr>
            <w:tcW w:w="140" w:type="dxa"/>
            <w:vAlign w:val="bottom"/>
            <w:shd w:val="clear" w:color="auto" w:fill="CFF0FC"/>
          </w:tcPr>
          <w:p>
            <w:pPr>
              <w:spacing w:after="0"/>
              <w:rPr>
                <w:sz w:val="21"/>
                <w:szCs w:val="21"/>
                <w:color w:val="auto"/>
              </w:rPr>
            </w:pPr>
          </w:p>
        </w:tc>
        <w:tc>
          <w:tcPr>
            <w:tcW w:w="78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(326 )</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right w:val="single" w:sz="8" w:color="auto"/>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(643 )</w:t>
            </w:r>
          </w:p>
        </w:tc>
        <w:tc>
          <w:tcPr>
            <w:tcW w:w="6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(565 )</w:t>
            </w:r>
          </w:p>
        </w:tc>
        <w:tc>
          <w:tcPr>
            <w:tcW w:w="600" w:type="dxa"/>
            <w:vAlign w:val="bottom"/>
          </w:tcPr>
          <w:p>
            <w:pPr>
              <w:spacing w:after="0"/>
              <w:rPr>
                <w:sz w:val="20"/>
                <w:szCs w:val="20"/>
                <w:color w:val="auto"/>
              </w:rPr>
            </w:pPr>
          </w:p>
        </w:tc>
        <w:tc>
          <w:tcPr>
            <w:tcW w:w="600" w:type="dxa"/>
            <w:vAlign w:val="bottom"/>
            <w:tcBorders>
              <w:righ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(425 )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(990 )</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Borders>
              <w:right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Loan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Commitment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&amp; Letters of</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Credit</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52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1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Beginning balance</w:t>
            </w:r>
          </w:p>
        </w:tc>
        <w:tc>
          <w:tcPr>
            <w:tcW w:w="6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800" w:type="dxa"/>
            <w:vAlign w:val="bottom"/>
            <w:tcBorders>
              <w:right w:val="single" w:sz="8" w:color="CFF0FC"/>
            </w:tcBorders>
            <w:gridSpan w:val="1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credit losses-off balance sheet credit exposures</w:t>
            </w: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right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9"/>
              </w:rPr>
              <w:t>91</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tc>
        <w:tc>
          <w:tcPr>
            <w:tcW w:w="0" w:type="dxa"/>
            <w:vAlign w:val="bottom"/>
          </w:tcPr>
          <w:p>
            <w:pPr>
              <w:spacing w:after="0"/>
              <w:rPr>
                <w:sz w:val="1"/>
                <w:szCs w:val="1"/>
                <w:color w:val="auto"/>
              </w:rPr>
            </w:pPr>
          </w:p>
        </w:tc>
      </w:tr>
      <w:tr>
        <w:trPr>
          <w:trHeight w:val="850"/>
        </w:trPr>
        <w:tc>
          <w:tcPr>
            <w:tcW w:w="2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auto"/>
                <w:w w:val="99"/>
              </w:rPr>
              <w:t>Unfunded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rPr>
              <w:t>Loan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Commitme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Commercia</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rPr>
              <w:t>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Commercia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w w:val="94"/>
              </w:rPr>
              <w:t>l</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&amp; Letters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78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Consumer</w:t>
            </w:r>
          </w:p>
        </w:tc>
        <w:tc>
          <w:tcPr>
            <w:tcW w:w="240" w:type="dxa"/>
            <w:vAlign w:val="bottom"/>
          </w:tcPr>
          <w:p>
            <w:pPr>
              <w:spacing w:after="0"/>
              <w:rPr>
                <w:sz w:val="14"/>
                <w:szCs w:val="14"/>
                <w:color w:val="auto"/>
              </w:rPr>
            </w:pPr>
          </w:p>
        </w:tc>
        <w:tc>
          <w:tcPr>
            <w:tcW w:w="10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Agricultural</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l Real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and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w w:val="95"/>
              </w:rPr>
              <w:t>of</w:t>
            </w:r>
          </w:p>
        </w:tc>
        <w:tc>
          <w:tcPr>
            <w:tcW w:w="220" w:type="dxa"/>
            <w:vAlign w:val="bottom"/>
          </w:tcPr>
          <w:p>
            <w:pPr>
              <w:spacing w:after="0"/>
              <w:rPr>
                <w:sz w:val="14"/>
                <w:szCs w:val="14"/>
                <w:color w:val="auto"/>
              </w:rPr>
            </w:pPr>
          </w:p>
        </w:tc>
        <w:tc>
          <w:tcPr>
            <w:tcW w:w="9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Unallocate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Real Estate</w:t>
            </w:r>
          </w:p>
        </w:tc>
        <w:tc>
          <w:tcPr>
            <w:tcW w:w="24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Real Estate</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Agricultural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Estate</w:t>
            </w:r>
          </w:p>
        </w:tc>
        <w:tc>
          <w:tcPr>
            <w:tcW w:w="22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color w:val="auto"/>
              </w:rPr>
              <w:t>Industrial</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Consumer</w:t>
            </w:r>
          </w:p>
        </w:tc>
        <w:tc>
          <w:tcPr>
            <w:tcW w:w="140" w:type="dxa"/>
            <w:vAlign w:val="bottom"/>
          </w:tcPr>
          <w:p>
            <w:pPr>
              <w:spacing w:after="0"/>
              <w:rPr>
                <w:sz w:val="16"/>
                <w:szCs w:val="16"/>
                <w:color w:val="auto"/>
              </w:rPr>
            </w:pP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Credit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d</w:t>
            </w:r>
          </w:p>
        </w:tc>
        <w:tc>
          <w:tcPr>
            <w:tcW w:w="14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48"/>
        </w:trPr>
        <w:tc>
          <w:tcPr>
            <w:tcW w:w="24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5"/>
                <w:szCs w:val="15"/>
                <w:b w:val="1"/>
                <w:bCs w:val="1"/>
                <w:color w:val="auto"/>
              </w:rPr>
              <w:t>ALLOWANCE FOR CREDIT</w:t>
            </w: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24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9,130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3,847</w:t>
            </w:r>
          </w:p>
        </w:tc>
        <w:tc>
          <w:tcPr>
            <w:tcW w:w="2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44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Charge-Offs</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(418 )</w:t>
            </w:r>
          </w:p>
        </w:tc>
        <w:tc>
          <w:tcPr>
            <w:tcW w:w="2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(409 )</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(827 )</w:t>
            </w:r>
          </w:p>
        </w:tc>
        <w:tc>
          <w:tcPr>
            <w:tcW w:w="0" w:type="dxa"/>
            <w:vAlign w:val="bottom"/>
          </w:tcPr>
          <w:p>
            <w:pPr>
              <w:spacing w:after="0"/>
              <w:rPr>
                <w:sz w:val="1"/>
                <w:szCs w:val="1"/>
                <w:color w:val="auto"/>
              </w:rPr>
            </w:pPr>
          </w:p>
        </w:tc>
      </w:tr>
      <w:tr>
        <w:trPr>
          <w:trHeight w:val="189"/>
        </w:trPr>
        <w:tc>
          <w:tcPr>
            <w:tcW w:w="2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Recoveries</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Provision (Credit)</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(691 )</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(16 )</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4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Other Non-interest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expense related</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 unfunded</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998</w:t>
            </w:r>
          </w:p>
        </w:tc>
        <w:tc>
          <w:tcPr>
            <w:tcW w:w="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11,924</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4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440" w:type="dxa"/>
            <w:vAlign w:val="bottom"/>
            <w:tcBorders>
              <w:top w:val="single" w:sz="8" w:color="CFF0FC"/>
            </w:tcBorders>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individually evaluated</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1,551</w:t>
            </w:r>
          </w:p>
        </w:tc>
        <w:tc>
          <w:tcPr>
            <w:tcW w:w="2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collectively evaluated</w:t>
            </w:r>
          </w:p>
        </w:tc>
        <w:tc>
          <w:tcPr>
            <w:tcW w:w="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42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4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32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11,486</w:t>
            </w:r>
          </w:p>
        </w:tc>
        <w:tc>
          <w:tcPr>
            <w:tcW w:w="38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3,831</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890</w:t>
            </w:r>
          </w:p>
        </w:tc>
        <w:tc>
          <w:tcPr>
            <w:tcW w:w="22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440" w:type="dxa"/>
            <w:vAlign w:val="bottom"/>
            <w:gridSpan w:val="2"/>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19,579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40" w:type="dxa"/>
            <w:vAlign w:val="bottom"/>
            <w:tcBorders>
              <w:top w:val="single" w:sz="8" w:color="CFF0FC"/>
            </w:tcBorders>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 loans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acquired with</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deteriorated credit</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quality</w:t>
            </w:r>
          </w:p>
        </w:tc>
        <w:tc>
          <w:tcPr>
            <w:tcW w:w="1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FINANCING RECEIVABLES:</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494,423</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220,514</w:t>
            </w:r>
          </w:p>
        </w:tc>
        <w:tc>
          <w:tcPr>
            <w:tcW w:w="24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128,926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1,150,511</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272,119</w:t>
            </w:r>
          </w:p>
        </w:tc>
        <w:tc>
          <w:tcPr>
            <w:tcW w:w="2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89,894</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2,356,387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individually evaluated</w:t>
            </w:r>
          </w:p>
        </w:tc>
        <w:tc>
          <w:tcPr>
            <w:tcW w:w="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42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2,280</w:t>
            </w:r>
          </w:p>
        </w:tc>
        <w:tc>
          <w:tcPr>
            <w:tcW w:w="24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32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4,108</w:t>
            </w:r>
          </w:p>
        </w:tc>
        <w:tc>
          <w:tcPr>
            <w:tcW w:w="38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1,581</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22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40" w:type="dxa"/>
            <w:vAlign w:val="bottom"/>
            <w:tcBorders>
              <w:top w:val="single" w:sz="8" w:color="CFF0FC"/>
            </w:tcBorders>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collectively evaluated</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493,449</w:t>
            </w:r>
          </w:p>
        </w:tc>
        <w:tc>
          <w:tcPr>
            <w:tcW w:w="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218,039</w:t>
            </w:r>
          </w:p>
        </w:tc>
        <w:tc>
          <w:tcPr>
            <w:tcW w:w="24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128,774</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1,146,389</w:t>
            </w:r>
          </w:p>
        </w:tc>
        <w:tc>
          <w:tcPr>
            <w:tcW w:w="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270,493</w:t>
            </w:r>
          </w:p>
        </w:tc>
        <w:tc>
          <w:tcPr>
            <w:tcW w:w="2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89,727</w:t>
            </w:r>
          </w:p>
        </w:tc>
        <w:tc>
          <w:tcPr>
            <w:tcW w:w="2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2,346,871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 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acquired with</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deteriorated credit</w:t>
            </w:r>
          </w:p>
        </w:tc>
        <w:tc>
          <w:tcPr>
            <w:tcW w:w="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24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24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20" w:type="dxa"/>
            <w:vAlign w:val="bottom"/>
            <w:vMerge w:val="restart"/>
            <w:shd w:val="clear" w:color="auto" w:fill="CFF0FC"/>
          </w:tcPr>
          <w:p>
            <w:pPr>
              <w:spacing w:after="0"/>
              <w:rPr>
                <w:sz w:val="14"/>
                <w:szCs w:val="14"/>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tcBorders>
              <w:bottom w:val="single" w:sz="8" w:color="CFF0FC"/>
            </w:tcBorders>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quality</w:t>
            </w: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5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54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-2451100</wp:posOffset>
            </wp:positionV>
            <wp:extent cx="768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-2433955</wp:posOffset>
            </wp:positionV>
            <wp:extent cx="768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-2451100</wp:posOffset>
            </wp:positionV>
            <wp:extent cx="7683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-2433955</wp:posOffset>
            </wp:positionV>
            <wp:extent cx="7683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-2451100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-2433955</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-2451100</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-2433955</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-2451100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-2433955</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-2451100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-2433955</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-2451100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-2433955</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-2451100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-2433955</wp:posOffset>
            </wp:positionV>
            <wp:extent cx="685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-1799590</wp:posOffset>
            </wp:positionV>
            <wp:extent cx="7683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-1782445</wp:posOffset>
            </wp:positionV>
            <wp:extent cx="7683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-1799590</wp:posOffset>
            </wp:positionV>
            <wp:extent cx="7683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-1782445</wp:posOffset>
            </wp:positionV>
            <wp:extent cx="7683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-1799590</wp:posOffset>
            </wp:positionV>
            <wp:extent cx="68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-1782445</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-1799590</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-1782445</wp:posOffset>
            </wp:positionV>
            <wp:extent cx="685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-1799590</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-1782445</wp:posOffset>
            </wp:positionV>
            <wp:extent cx="6858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-1799590</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-1782445</wp:posOffset>
            </wp:positionV>
            <wp:extent cx="6858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-1799590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-1782445</wp:posOffset>
            </wp:positionV>
            <wp:extent cx="6858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-1799590</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-1782445</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-779145</wp:posOffset>
            </wp:positionV>
            <wp:extent cx="768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-762000</wp:posOffset>
            </wp:positionV>
            <wp:extent cx="7683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-779145</wp:posOffset>
            </wp:positionV>
            <wp:extent cx="7683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-762000</wp:posOffset>
            </wp:positionV>
            <wp:extent cx="7683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-779145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-762000</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-779145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-762000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-779145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-762000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-762000</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-779145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-762000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-779145</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-762000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-24765</wp:posOffset>
            </wp:positionV>
            <wp:extent cx="768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7683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7683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768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Premises and Equipment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major categories of banking premises and equipment and accumulated depreciation at December 31 are summarized below:</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Buildings (useful life 15-39 years)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34,501</w:t>
            </w:r>
          </w:p>
        </w:tc>
        <w:tc>
          <w:tcPr>
            <w:tcW w:w="8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Furnishings (useful life 3-15 years)</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67,845</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(42,304 )</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(39,464 )</w:t>
            </w:r>
          </w:p>
        </w:tc>
      </w:tr>
      <w:tr>
        <w:trPr>
          <w:trHeight w:val="241"/>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80" w:type="dxa"/>
            <w:vAlign w:val="bottom"/>
            <w:tcBorders>
              <w:top w:val="single" w:sz="8" w:color="CFF0FC"/>
            </w:tcBorders>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-504825</wp:posOffset>
            </wp:positionV>
            <wp:extent cx="5143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amounted to $3.4, $2.7, and $2.6 million, respectively.</w:t>
      </w:r>
    </w:p>
    <w:p>
      <w:pPr>
        <w:spacing w:after="0" w:line="22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At the end of 2023, construction in progress was $8 thousand for a new LPO to be opened by end of 2024. Construction in progress of $278 thousand as of December 31, 2022 related to the construction of three new offices which were operational by end of October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leases space for retail branches, Loan Production Offices (LPOs) and ATMs. Our leases have remaining lease terms of 1 year to 15 years, some of which may include options to renew the leases and some of which may include options to terminate the leases prior to the end date of the lease term. The Bank does receive rental income for the leasing of available space.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below tables provide information on the Bank’s operating leases:</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610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r>
      <w:tr>
        <w:trPr>
          <w:trHeight w:val="241"/>
        </w:trPr>
        <w:tc>
          <w:tcPr>
            <w:tcW w:w="6100" w:type="dxa"/>
            <w:vAlign w:val="bottom"/>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4"/>
                <w:szCs w:val="24"/>
                <w:color w:val="auto"/>
                <w:vertAlign w:val="superscript"/>
              </w:rPr>
              <w:t>(1)</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90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20"/>
                <w:szCs w:val="20"/>
                <w:color w:val="auto"/>
              </w:rPr>
            </w:pPr>
          </w:p>
        </w:tc>
      </w:tr>
      <w:tr>
        <w:trPr>
          <w:trHeight w:val="31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cash flows </w:t>
            </w:r>
            <w:r>
              <w:rPr>
                <w:rFonts w:ascii="Times New Roman" w:cs="Times New Roman" w:eastAsia="Times New Roman" w:hAnsi="Times New Roman"/>
                <w:sz w:val="24"/>
                <w:szCs w:val="24"/>
                <w:color w:val="auto"/>
                <w:vertAlign w:val="superscript"/>
              </w:rPr>
              <w:t>(2)</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r>
    </w:tbl>
    <w:p>
      <w:pPr>
        <w:spacing w:after="0" w:line="146" w:lineRule="exact"/>
        <w:rPr>
          <w:sz w:val="20"/>
          <w:szCs w:val="20"/>
          <w:color w:val="auto"/>
        </w:rPr>
      </w:pPr>
    </w:p>
    <w:p>
      <w:pPr>
        <w:ind w:left="200" w:hanging="179"/>
        <w:spacing w:after="0"/>
        <w:tabs>
          <w:tab w:leader="none" w:pos="2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net occupancy expense on Company's consolidated statement of income</w:t>
      </w:r>
    </w:p>
    <w:p>
      <w:pPr>
        <w:spacing w:after="0" w:line="28" w:lineRule="exact"/>
        <w:rPr>
          <w:rFonts w:ascii="Times New Roman" w:cs="Times New Roman" w:eastAsia="Times New Roman" w:hAnsi="Times New Roman"/>
          <w:sz w:val="22"/>
          <w:szCs w:val="22"/>
          <w:color w:val="auto"/>
          <w:vertAlign w:val="superscript"/>
        </w:rPr>
      </w:pPr>
    </w:p>
    <w:p>
      <w:pPr>
        <w:ind w:left="200" w:hanging="179"/>
        <w:spacing w:after="0" w:line="203" w:lineRule="auto"/>
        <w:tabs>
          <w:tab w:leader="none" w:pos="2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customer service fees on Company's consolidated statement of income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gridSpan w:val="5"/>
          </w:tcPr>
          <w:p>
            <w:pPr>
              <w:ind w:left="12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7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20"/>
                <w:szCs w:val="20"/>
                <w:color w:val="auto"/>
              </w:rPr>
            </w:pPr>
          </w:p>
        </w:tc>
      </w:tr>
      <w:tr>
        <w:trPr>
          <w:trHeight w:val="241"/>
        </w:trPr>
        <w:tc>
          <w:tcPr>
            <w:tcW w:w="7240" w:type="dxa"/>
            <w:vAlign w:val="bottom"/>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Operating lease assets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8"/>
              </w:rPr>
              <w:t>5,918</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FF0FC"/>
          </w:tcPr>
          <w:p>
            <w:pPr>
              <w:spacing w:after="0"/>
              <w:rPr>
                <w:sz w:val="20"/>
                <w:szCs w:val="20"/>
                <w:color w:val="auto"/>
              </w:rPr>
            </w:pPr>
          </w:p>
        </w:tc>
      </w:tr>
      <w:tr>
        <w:trPr>
          <w:trHeight w:val="31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4"/>
                <w:szCs w:val="24"/>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5,918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4"/>
                <w:szCs w:val="24"/>
                <w:color w:val="auto"/>
              </w:rPr>
            </w:pPr>
          </w:p>
        </w:tc>
      </w:tr>
    </w:tbl>
    <w:p>
      <w:pPr>
        <w:spacing w:after="0" w:line="146" w:lineRule="exact"/>
        <w:rPr>
          <w:sz w:val="20"/>
          <w:szCs w:val="20"/>
          <w:color w:val="auto"/>
        </w:rPr>
      </w:pPr>
    </w:p>
    <w:p>
      <w:pPr>
        <w:ind w:left="200" w:hanging="179"/>
        <w:spacing w:after="0"/>
        <w:tabs>
          <w:tab w:leader="none" w:pos="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other assets on Company's consolidated balance sheets</w:t>
      </w:r>
    </w:p>
    <w:p>
      <w:pPr>
        <w:spacing w:after="0" w:line="28" w:lineRule="exact"/>
        <w:rPr>
          <w:rFonts w:ascii="Times New Roman" w:cs="Times New Roman" w:eastAsia="Times New Roman" w:hAnsi="Times New Roman"/>
          <w:sz w:val="22"/>
          <w:szCs w:val="22"/>
          <w:color w:val="auto"/>
          <w:vertAlign w:val="superscript"/>
        </w:rPr>
      </w:pPr>
    </w:p>
    <w:p>
      <w:pPr>
        <w:ind w:left="200" w:hanging="179"/>
        <w:spacing w:after="0" w:line="203" w:lineRule="auto"/>
        <w:tabs>
          <w:tab w:leader="none" w:pos="2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accrued interest and other liabilities on Company's consolidated balance sheets</w:t>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Operating lease term and discount rates of our lessee arrangements at December 31, 2023 and 2022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p>
        </w:tc>
        <w:tc>
          <w:tcPr>
            <w:tcW w:w="2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December 31, 2023</w:t>
            </w:r>
          </w:p>
        </w:tc>
        <w:tc>
          <w:tcPr>
            <w:tcW w:w="2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80" w:type="dxa"/>
            <w:vAlign w:val="bottom"/>
            <w:tcBorders>
              <w:top w:val="single" w:sz="8" w:color="auto"/>
            </w:tcBorders>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w w:val="95"/>
              </w:rPr>
              <w:t>9.78</w:t>
            </w:r>
          </w:p>
        </w:tc>
        <w:tc>
          <w:tcPr>
            <w:tcW w:w="220" w:type="dxa"/>
            <w:vAlign w:val="bottom"/>
            <w:shd w:val="clear" w:color="auto" w:fill="CFF0FC"/>
          </w:tcPr>
          <w:p>
            <w:pPr>
              <w:spacing w:after="0"/>
              <w:rPr>
                <w:sz w:val="21"/>
                <w:szCs w:val="21"/>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4.34 %</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2.54 %</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future lease payments based on maturity for our lessee liability arrangements at December 31, 2023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43"/>
        </w:trPr>
        <w:tc>
          <w:tcPr>
            <w:tcW w:w="8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FF0FC"/>
          </w:tcPr>
          <w:p>
            <w:pPr>
              <w:spacing w:after="0"/>
              <w:rPr>
                <w:sz w:val="21"/>
                <w:szCs w:val="21"/>
                <w:color w:val="auto"/>
              </w:rPr>
            </w:pPr>
          </w:p>
        </w:tc>
      </w:tr>
      <w:tr>
        <w:trPr>
          <w:trHeight w:val="23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0"/>
                <w:szCs w:val="20"/>
                <w:color w:val="auto"/>
              </w:rPr>
            </w:pPr>
          </w:p>
        </w:tc>
      </w:tr>
      <w:tr>
        <w:trPr>
          <w:trHeight w:val="247"/>
        </w:trPr>
        <w:tc>
          <w:tcPr>
            <w:tcW w:w="8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21"/>
                <w:szCs w:val="21"/>
                <w:color w:val="auto"/>
              </w:rPr>
            </w:pPr>
          </w:p>
        </w:tc>
      </w:tr>
      <w:tr>
        <w:trPr>
          <w:trHeight w:val="23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r>
      <w:tr>
        <w:trPr>
          <w:trHeight w:val="247"/>
        </w:trPr>
        <w:tc>
          <w:tcPr>
            <w:tcW w:w="8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21"/>
                <w:szCs w:val="2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21"/>
                <w:szCs w:val="21"/>
                <w:color w:val="auto"/>
              </w:rPr>
            </w:pPr>
          </w:p>
        </w:tc>
      </w:tr>
      <w:tr>
        <w:trPr>
          <w:trHeight w:val="237"/>
        </w:trPr>
        <w:tc>
          <w:tcPr>
            <w:tcW w:w="8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shd w:val="clear" w:color="auto" w:fill="CFF0FC"/>
          </w:tcPr>
          <w:p>
            <w:pPr>
              <w:spacing w:after="0"/>
              <w:rPr>
                <w:sz w:val="20"/>
                <w:szCs w:val="20"/>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r>
      <w:tr>
        <w:trPr>
          <w:trHeight w:val="276"/>
        </w:trPr>
        <w:tc>
          <w:tcPr>
            <w:tcW w:w="8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operating lease liability arrangements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Servicing</w:t>
      </w:r>
    </w:p>
    <w:p>
      <w:pPr>
        <w:spacing w:after="0" w:line="121"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$367.8 and $375.6 million at December 31, 2023 and 2022, respectively. Unpaid principal balances of agricultural real estate loans serviced for others were $135.8 million at December 31, 2023.</w:t>
      </w:r>
    </w:p>
    <w:p>
      <w:pPr>
        <w:spacing w:after="0" w:line="176"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balance of capitalized servicing rights included in other assets at December 31, 2023 and 2022 for 1-4 family real estate loans, was $3.5 million each year. Agricultural real estate loan servicing rights, established in 2023, were $2.2 million at December 31 2023. The capitalized addition of servicing rights is included in net gain on sale of loans on the Company's consolidated statement of income.</w:t>
      </w:r>
    </w:p>
    <w:p>
      <w:pPr>
        <w:spacing w:after="0" w:line="176" w:lineRule="exact"/>
        <w:rPr>
          <w:sz w:val="20"/>
          <w:szCs w:val="20"/>
          <w:color w:val="auto"/>
        </w:rPr>
      </w:pPr>
    </w:p>
    <w:p>
      <w:pPr>
        <w:jc w:val="both"/>
        <w:ind w:left="760" w:right="60"/>
        <w:spacing w:after="0" w:line="254"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December 31, 2023 and 2022 was $5.5 million and $5.1 million, respectively. Capitalized servicing rights for agricultural real estate loans had a fair value of $2.6 million as of December 31, 2023.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6.3% and 7.7% were utilized for 2023 and 2022, respectively. In 2023, two 1-4 family real estate strata, which included 103 of the total 3,749 loans, were slightly below the carrying value using a discount yield of 5.70% which resulted in the need to establish a $2 thousand valuation allowance. The carrying value of eleven agricultural real estate strata, which included 41 of the total 593 loans, using an approximate discount rate of 8.66% were lower than market value requiring a $5 thousand valuation allowance to be established. All strata did show positive values in 2022 compared to the carrying values using a discount yield of 5.94%.</w:t>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79" w:right="27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summarizes servicing rights capitalized and amortized during each year: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2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Additions</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(604 )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20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3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December 31</w:t>
            </w:r>
          </w:p>
        </w:tc>
        <w:tc>
          <w:tcPr>
            <w:tcW w:w="20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2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-1414145</wp:posOffset>
            </wp:positionV>
            <wp:extent cx="5143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-1414145</wp:posOffset>
            </wp:positionV>
            <wp:extent cx="4318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-1096645</wp:posOffset>
            </wp:positionV>
            <wp:extent cx="5143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-1096645</wp:posOffset>
            </wp:positionV>
            <wp:extent cx="4318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tc>
      </w:tr>
      <w:tr>
        <w:trPr>
          <w:trHeight w:val="594"/>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 Deposits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24"/>
        </w:trPr>
        <w:tc>
          <w:tcPr>
            <w:tcW w:w="61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Time deposits as of December 31 consist of the following:</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3"/>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gridSpan w:val="7"/>
          </w:tcPr>
          <w:p>
            <w:pPr>
              <w:jc w:val="right"/>
              <w:ind w:right="28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 under $250,000</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523,895</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495,891</w:t>
            </w:r>
          </w:p>
        </w:tc>
        <w:tc>
          <w:tcPr>
            <w:tcW w:w="80" w:type="dxa"/>
            <w:vAlign w:val="bottom"/>
            <w:shd w:val="clear" w:color="auto" w:fill="CFF0FC"/>
          </w:tcPr>
          <w:p>
            <w:pPr>
              <w:spacing w:after="0"/>
              <w:rPr>
                <w:sz w:val="20"/>
                <w:szCs w:val="20"/>
                <w:color w:val="auto"/>
              </w:rPr>
            </w:pPr>
          </w:p>
        </w:tc>
        <w:tc>
          <w:tcPr>
            <w:tcW w:w="166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 of $250,000 or more</w:t>
            </w: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139,122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62,089</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38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663,017</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557,980</w:t>
            </w:r>
          </w:p>
        </w:tc>
        <w:tc>
          <w:tcPr>
            <w:tcW w:w="80" w:type="dxa"/>
            <w:vAlign w:val="bottom"/>
            <w:tcBorders>
              <w:bottom w:val="single" w:sz="8" w:color="CFF0FC"/>
            </w:tcBorders>
            <w:shd w:val="clear" w:color="auto" w:fill="CFF0FC"/>
          </w:tcPr>
          <w:p>
            <w:pPr>
              <w:spacing w:after="0"/>
              <w:rPr>
                <w:sz w:val="24"/>
                <w:szCs w:val="24"/>
                <w:color w:val="auto"/>
              </w:rPr>
            </w:pPr>
          </w:p>
        </w:tc>
        <w:tc>
          <w:tcPr>
            <w:tcW w:w="1660" w:type="dxa"/>
            <w:vAlign w:val="bottom"/>
          </w:tcPr>
          <w:p>
            <w:pPr>
              <w:spacing w:after="0"/>
              <w:rPr>
                <w:sz w:val="24"/>
                <w:szCs w:val="24"/>
                <w:color w:val="auto"/>
              </w:rPr>
            </w:pPr>
          </w:p>
        </w:tc>
      </w:tr>
      <w:tr>
        <w:trPr>
          <w:trHeight w:val="417"/>
        </w:trPr>
        <w:tc>
          <w:tcPr>
            <w:tcW w:w="664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At December 31, 2023 the scheduled maturities for time deposits are as follows:</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6"/>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gridSpan w:val="7"/>
          </w:tcPr>
          <w:p>
            <w:pPr>
              <w:jc w:val="right"/>
              <w:ind w:right="26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2260" w:type="dxa"/>
            <w:vAlign w:val="bottom"/>
            <w:gridSpan w:val="2"/>
          </w:tcPr>
          <w:p>
            <w:pPr>
              <w:spacing w:after="0"/>
              <w:rPr>
                <w:sz w:val="2"/>
                <w:szCs w:val="2"/>
                <w:color w:val="auto"/>
              </w:rPr>
            </w:pPr>
          </w:p>
        </w:tc>
        <w:tc>
          <w:tcPr>
            <w:tcW w:w="3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260" w:type="dxa"/>
            <w:vAlign w:val="bottom"/>
            <w:gridSpan w:val="2"/>
          </w:tcPr>
          <w:p>
            <w:pPr>
              <w:spacing w:after="0"/>
              <w:rPr>
                <w:sz w:val="20"/>
                <w:szCs w:val="20"/>
                <w:color w:val="auto"/>
              </w:rPr>
            </w:pPr>
          </w:p>
        </w:tc>
        <w:tc>
          <w:tcPr>
            <w:tcW w:w="3860" w:type="dxa"/>
            <w:vAlign w:val="bottom"/>
            <w:shd w:val="clear" w:color="auto" w:fill="CFF0FC"/>
          </w:tcPr>
          <w:p>
            <w:pPr>
              <w:jc w:val="center"/>
              <w:ind w:right="3050"/>
              <w:spacing w:after="0"/>
              <w:rPr>
                <w:sz w:val="20"/>
                <w:szCs w:val="20"/>
                <w:color w:val="auto"/>
              </w:rPr>
            </w:pPr>
            <w:r>
              <w:rPr>
                <w:rFonts w:ascii="Times New Roman" w:cs="Times New Roman" w:eastAsia="Times New Roman" w:hAnsi="Times New Roman"/>
                <w:sz w:val="18"/>
                <w:szCs w:val="18"/>
                <w:color w:val="auto"/>
                <w:w w:val="99"/>
              </w:rPr>
              <w:t>2024</w:t>
            </w:r>
          </w:p>
        </w:tc>
        <w:tc>
          <w:tcPr>
            <w:tcW w:w="5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476,304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4"/>
        </w:trPr>
        <w:tc>
          <w:tcPr>
            <w:tcW w:w="2260" w:type="dxa"/>
            <w:vAlign w:val="bottom"/>
            <w:gridSpan w:val="2"/>
          </w:tcPr>
          <w:p>
            <w:pPr>
              <w:spacing w:after="0"/>
              <w:rPr>
                <w:sz w:val="20"/>
                <w:szCs w:val="20"/>
                <w:color w:val="auto"/>
              </w:rPr>
            </w:pPr>
          </w:p>
        </w:tc>
        <w:tc>
          <w:tcPr>
            <w:tcW w:w="3860" w:type="dxa"/>
            <w:vAlign w:val="bottom"/>
          </w:tcPr>
          <w:p>
            <w:pPr>
              <w:jc w:val="center"/>
              <w:ind w:right="3050"/>
              <w:spacing w:after="0"/>
              <w:rPr>
                <w:sz w:val="20"/>
                <w:szCs w:val="20"/>
                <w:color w:val="auto"/>
              </w:rPr>
            </w:pPr>
            <w:r>
              <w:rPr>
                <w:rFonts w:ascii="Times New Roman" w:cs="Times New Roman" w:eastAsia="Times New Roman" w:hAnsi="Times New Roman"/>
                <w:sz w:val="18"/>
                <w:szCs w:val="18"/>
                <w:color w:val="auto"/>
                <w:w w:val="99"/>
              </w:rPr>
              <w:t>2025</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2260" w:type="dxa"/>
            <w:vAlign w:val="bottom"/>
            <w:gridSpan w:val="2"/>
          </w:tcPr>
          <w:p>
            <w:pPr>
              <w:spacing w:after="0"/>
              <w:rPr>
                <w:sz w:val="21"/>
                <w:szCs w:val="21"/>
                <w:color w:val="auto"/>
              </w:rPr>
            </w:pPr>
          </w:p>
        </w:tc>
        <w:tc>
          <w:tcPr>
            <w:tcW w:w="3860" w:type="dxa"/>
            <w:vAlign w:val="bottom"/>
            <w:shd w:val="clear" w:color="auto" w:fill="CFF0FC"/>
          </w:tcPr>
          <w:p>
            <w:pPr>
              <w:jc w:val="center"/>
              <w:ind w:right="3050"/>
              <w:spacing w:after="0"/>
              <w:rPr>
                <w:sz w:val="20"/>
                <w:szCs w:val="20"/>
                <w:color w:val="auto"/>
              </w:rPr>
            </w:pPr>
            <w:r>
              <w:rPr>
                <w:rFonts w:ascii="Times New Roman" w:cs="Times New Roman" w:eastAsia="Times New Roman" w:hAnsi="Times New Roman"/>
                <w:sz w:val="18"/>
                <w:szCs w:val="18"/>
                <w:color w:val="auto"/>
                <w:w w:val="99"/>
              </w:rPr>
              <w:t>2026</w:t>
            </w:r>
          </w:p>
        </w:tc>
        <w:tc>
          <w:tcPr>
            <w:tcW w:w="5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33,124</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4"/>
        </w:trPr>
        <w:tc>
          <w:tcPr>
            <w:tcW w:w="2260" w:type="dxa"/>
            <w:vAlign w:val="bottom"/>
            <w:gridSpan w:val="2"/>
          </w:tcPr>
          <w:p>
            <w:pPr>
              <w:spacing w:after="0"/>
              <w:rPr>
                <w:sz w:val="20"/>
                <w:szCs w:val="20"/>
                <w:color w:val="auto"/>
              </w:rPr>
            </w:pPr>
          </w:p>
        </w:tc>
        <w:tc>
          <w:tcPr>
            <w:tcW w:w="3860" w:type="dxa"/>
            <w:vAlign w:val="bottom"/>
          </w:tcPr>
          <w:p>
            <w:pPr>
              <w:jc w:val="center"/>
              <w:ind w:right="3050"/>
              <w:spacing w:after="0"/>
              <w:rPr>
                <w:sz w:val="20"/>
                <w:szCs w:val="20"/>
                <w:color w:val="auto"/>
              </w:rPr>
            </w:pPr>
            <w:r>
              <w:rPr>
                <w:rFonts w:ascii="Times New Roman" w:cs="Times New Roman" w:eastAsia="Times New Roman" w:hAnsi="Times New Roman"/>
                <w:sz w:val="18"/>
                <w:szCs w:val="18"/>
                <w:color w:val="auto"/>
                <w:w w:val="99"/>
              </w:rPr>
              <w:t>2027</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2260" w:type="dxa"/>
            <w:vAlign w:val="bottom"/>
            <w:gridSpan w:val="2"/>
          </w:tcPr>
          <w:p>
            <w:pPr>
              <w:spacing w:after="0"/>
              <w:rPr>
                <w:sz w:val="21"/>
                <w:szCs w:val="21"/>
                <w:color w:val="auto"/>
              </w:rPr>
            </w:pPr>
          </w:p>
        </w:tc>
        <w:tc>
          <w:tcPr>
            <w:tcW w:w="3860" w:type="dxa"/>
            <w:vAlign w:val="bottom"/>
            <w:shd w:val="clear" w:color="auto" w:fill="CFF0FC"/>
          </w:tcPr>
          <w:p>
            <w:pPr>
              <w:jc w:val="center"/>
              <w:ind w:right="3050"/>
              <w:spacing w:after="0"/>
              <w:rPr>
                <w:sz w:val="20"/>
                <w:szCs w:val="20"/>
                <w:color w:val="auto"/>
              </w:rPr>
            </w:pPr>
            <w:r>
              <w:rPr>
                <w:rFonts w:ascii="Times New Roman" w:cs="Times New Roman" w:eastAsia="Times New Roman" w:hAnsi="Times New Roman"/>
                <w:sz w:val="18"/>
                <w:szCs w:val="18"/>
                <w:color w:val="auto"/>
                <w:w w:val="99"/>
              </w:rPr>
              <w:t>2028</w:t>
            </w:r>
          </w:p>
        </w:tc>
        <w:tc>
          <w:tcPr>
            <w:tcW w:w="5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60" w:type="dxa"/>
            <w:vAlign w:val="bottom"/>
          </w:tcPr>
          <w:p>
            <w:pPr>
              <w:jc w:val="center"/>
              <w:ind w:right="301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2"/>
        </w:trPr>
        <w:tc>
          <w:tcPr>
            <w:tcW w:w="1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663,017</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-1722755</wp:posOffset>
            </wp:positionV>
            <wp:extent cx="5143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-1704975</wp:posOffset>
            </wp:positionV>
            <wp:extent cx="5143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-1722755</wp:posOffset>
            </wp:positionV>
            <wp:extent cx="4318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-1704975</wp:posOffset>
            </wp:positionV>
            <wp:extent cx="4318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Federal Funds Purchased and Securities Sold Under Agreement to Repurchase</w:t>
      </w:r>
    </w:p>
    <w:p>
      <w:pPr>
        <w:spacing w:after="0" w:line="121"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Bank’s policy requires qualifying securities to be used as collateral for the underlying repurchase agreements. As of December 31, 2023 and 2022, securities with a fair value of $42.6 million and $43.6 million, respectively, were pledged to secure the repurchase agreements. The table below presents the daily securities sold under agreement to repurchase and the term repurchase agreements. It does not include the Bank’s federal funds purchased.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40" w:type="dxa"/>
            <w:vAlign w:val="bottom"/>
            <w:gridSpan w:val="12"/>
          </w:tcPr>
          <w:p>
            <w:pPr>
              <w:jc w:val="right"/>
              <w:ind w:right="490"/>
              <w:spacing w:after="0"/>
              <w:rPr>
                <w:sz w:val="20"/>
                <w:szCs w:val="20"/>
                <w:color w:val="auto"/>
              </w:rPr>
            </w:pPr>
            <w:r>
              <w:rPr>
                <w:rFonts w:ascii="Times New Roman" w:cs="Times New Roman" w:eastAsia="Times New Roman" w:hAnsi="Times New Roman"/>
                <w:sz w:val="18"/>
                <w:szCs w:val="18"/>
                <w:color w:val="auto"/>
              </w:rPr>
              <w:t>Daily Securities Sold Under Agreement to Repurchase</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6"/>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tcPr>
          <w:p>
            <w:pPr>
              <w:spacing w:after="0"/>
              <w:rPr>
                <w:sz w:val="24"/>
                <w:szCs w:val="24"/>
                <w:color w:val="auto"/>
              </w:rPr>
            </w:pPr>
          </w:p>
        </w:tc>
        <w:tc>
          <w:tcPr>
            <w:tcW w:w="1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Weighted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Maximum Amount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Approximate</w:t>
            </w:r>
          </w:p>
        </w:tc>
        <w:tc>
          <w:tcPr>
            <w:tcW w:w="200" w:type="dxa"/>
            <w:vAlign w:val="bottom"/>
          </w:tcPr>
          <w:p>
            <w:pPr>
              <w:spacing w:after="0"/>
              <w:rPr>
                <w:sz w:val="24"/>
                <w:szCs w:val="24"/>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Approximate</w:t>
            </w:r>
          </w:p>
        </w:tc>
      </w:tr>
      <w:tr>
        <w:trPr>
          <w:trHeight w:val="243"/>
        </w:trPr>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Outstanding</w:t>
            </w:r>
          </w:p>
        </w:tc>
        <w:tc>
          <w:tcPr>
            <w:tcW w:w="240" w:type="dxa"/>
            <w:vAlign w:val="bottom"/>
          </w:tcPr>
          <w:p>
            <w:pPr>
              <w:spacing w:after="0"/>
              <w:rPr>
                <w:sz w:val="21"/>
                <w:szCs w:val="21"/>
                <w:color w:val="auto"/>
              </w:rPr>
            </w:pPr>
          </w:p>
        </w:tc>
        <w:tc>
          <w:tcPr>
            <w:tcW w:w="1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Average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Borrowings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Average</w:t>
            </w:r>
          </w:p>
        </w:tc>
        <w:tc>
          <w:tcPr>
            <w:tcW w:w="200" w:type="dxa"/>
            <w:vAlign w:val="bottom"/>
          </w:tcPr>
          <w:p>
            <w:pPr>
              <w:spacing w:after="0"/>
              <w:rPr>
                <w:sz w:val="21"/>
                <w:szCs w:val="21"/>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43"/>
        </w:trPr>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at End</w:t>
            </w:r>
          </w:p>
        </w:tc>
        <w:tc>
          <w:tcPr>
            <w:tcW w:w="240" w:type="dxa"/>
            <w:vAlign w:val="bottom"/>
          </w:tcPr>
          <w:p>
            <w:pPr>
              <w:spacing w:after="0"/>
              <w:rPr>
                <w:sz w:val="21"/>
                <w:szCs w:val="21"/>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Rate End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1"/>
                <w:szCs w:val="21"/>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Outstanding in</w:t>
            </w:r>
          </w:p>
        </w:tc>
        <w:tc>
          <w:tcPr>
            <w:tcW w:w="200" w:type="dxa"/>
            <w:vAlign w:val="bottom"/>
          </w:tcPr>
          <w:p>
            <w:pPr>
              <w:spacing w:after="0"/>
              <w:rPr>
                <w:sz w:val="21"/>
                <w:szCs w:val="21"/>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Interest Rate</w:t>
            </w:r>
          </w:p>
        </w:tc>
      </w:tr>
      <w:tr>
        <w:trPr>
          <w:trHeight w:val="250"/>
        </w:trPr>
        <w:tc>
          <w:tcPr>
            <w:tcW w:w="1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Period (000's)</w:t>
            </w:r>
          </w:p>
        </w:tc>
        <w:tc>
          <w:tcPr>
            <w:tcW w:w="240" w:type="dxa"/>
            <w:vAlign w:val="bottom"/>
          </w:tcPr>
          <w:p>
            <w:pPr>
              <w:spacing w:after="0"/>
              <w:rPr>
                <w:sz w:val="21"/>
                <w:szCs w:val="21"/>
                <w:color w:val="auto"/>
              </w:rPr>
            </w:pPr>
          </w:p>
        </w:tc>
        <w:tc>
          <w:tcPr>
            <w:tcW w:w="12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of Period</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Month End (000's)</w:t>
            </w:r>
          </w:p>
        </w:tc>
        <w:tc>
          <w:tcPr>
            <w:tcW w:w="20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Period (000's)</w:t>
            </w:r>
          </w:p>
        </w:tc>
        <w:tc>
          <w:tcPr>
            <w:tcW w:w="200" w:type="dxa"/>
            <w:vAlign w:val="bottom"/>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the Period</w:t>
            </w:r>
          </w:p>
        </w:tc>
        <w:tc>
          <w:tcPr>
            <w:tcW w:w="160" w:type="dxa"/>
            <w:vAlign w:val="bottom"/>
            <w:gridSpan w:val="2"/>
          </w:tcPr>
          <w:p>
            <w:pPr>
              <w:spacing w:after="0"/>
              <w:rPr>
                <w:sz w:val="21"/>
                <w:szCs w:val="21"/>
                <w:color w:val="auto"/>
              </w:rPr>
            </w:pPr>
          </w:p>
        </w:tc>
      </w:tr>
      <w:tr>
        <w:trPr>
          <w:trHeight w:val="234"/>
        </w:trPr>
        <w:tc>
          <w:tcPr>
            <w:tcW w:w="18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0.00 %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8"/>
        </w:trPr>
        <w:tc>
          <w:tcPr>
            <w:tcW w:w="18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0.95 %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675"/>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2"/>
          </w:tcPr>
          <w:p>
            <w:pPr>
              <w:jc w:val="right"/>
              <w:ind w:right="670"/>
              <w:spacing w:after="0"/>
              <w:rPr>
                <w:sz w:val="20"/>
                <w:szCs w:val="20"/>
                <w:color w:val="auto"/>
              </w:rPr>
            </w:pPr>
            <w:r>
              <w:rPr>
                <w:rFonts w:ascii="Times New Roman" w:cs="Times New Roman" w:eastAsia="Times New Roman" w:hAnsi="Times New Roman"/>
                <w:sz w:val="18"/>
                <w:szCs w:val="18"/>
                <w:color w:val="auto"/>
              </w:rPr>
              <w:t>Term CD's Sold Under Agreement to Repurchase</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86"/>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tcPr>
          <w:p>
            <w:pPr>
              <w:spacing w:after="0"/>
              <w:rPr>
                <w:sz w:val="24"/>
                <w:szCs w:val="24"/>
                <w:color w:val="auto"/>
              </w:rPr>
            </w:pPr>
          </w:p>
        </w:tc>
        <w:tc>
          <w:tcPr>
            <w:tcW w:w="12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Weighted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Maximum Amount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Approximate</w:t>
            </w:r>
          </w:p>
        </w:tc>
        <w:tc>
          <w:tcPr>
            <w:tcW w:w="200" w:type="dxa"/>
            <w:vAlign w:val="bottom"/>
          </w:tcPr>
          <w:p>
            <w:pPr>
              <w:spacing w:after="0"/>
              <w:rPr>
                <w:sz w:val="24"/>
                <w:szCs w:val="24"/>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Approximate</w:t>
            </w:r>
          </w:p>
        </w:tc>
      </w:tr>
      <w:tr>
        <w:trPr>
          <w:trHeight w:val="243"/>
        </w:trPr>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Outstanding</w:t>
            </w:r>
          </w:p>
        </w:tc>
        <w:tc>
          <w:tcPr>
            <w:tcW w:w="240" w:type="dxa"/>
            <w:vAlign w:val="bottom"/>
          </w:tcPr>
          <w:p>
            <w:pPr>
              <w:spacing w:after="0"/>
              <w:rPr>
                <w:sz w:val="21"/>
                <w:szCs w:val="21"/>
                <w:color w:val="auto"/>
              </w:rPr>
            </w:pPr>
          </w:p>
        </w:tc>
        <w:tc>
          <w:tcPr>
            <w:tcW w:w="12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Average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Borrowings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Average</w:t>
            </w:r>
          </w:p>
        </w:tc>
        <w:tc>
          <w:tcPr>
            <w:tcW w:w="200" w:type="dxa"/>
            <w:vAlign w:val="bottom"/>
          </w:tcPr>
          <w:p>
            <w:pPr>
              <w:spacing w:after="0"/>
              <w:rPr>
                <w:sz w:val="21"/>
                <w:szCs w:val="21"/>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43"/>
        </w:trPr>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at End</w:t>
            </w:r>
          </w:p>
        </w:tc>
        <w:tc>
          <w:tcPr>
            <w:tcW w:w="240" w:type="dxa"/>
            <w:vAlign w:val="bottom"/>
          </w:tcPr>
          <w:p>
            <w:pPr>
              <w:spacing w:after="0"/>
              <w:rPr>
                <w:sz w:val="21"/>
                <w:szCs w:val="21"/>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Rate End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Outstanding in</w:t>
            </w:r>
          </w:p>
        </w:tc>
        <w:tc>
          <w:tcPr>
            <w:tcW w:w="200" w:type="dxa"/>
            <w:vAlign w:val="bottom"/>
          </w:tcPr>
          <w:p>
            <w:pPr>
              <w:spacing w:after="0"/>
              <w:rPr>
                <w:sz w:val="21"/>
                <w:szCs w:val="21"/>
                <w:color w:val="auto"/>
              </w:rPr>
            </w:pPr>
          </w:p>
        </w:tc>
        <w:tc>
          <w:tcPr>
            <w:tcW w:w="2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Interest Rate</w:t>
            </w:r>
          </w:p>
        </w:tc>
      </w:tr>
      <w:tr>
        <w:trPr>
          <w:trHeight w:val="250"/>
        </w:trPr>
        <w:tc>
          <w:tcPr>
            <w:tcW w:w="1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Period (000's)</w:t>
            </w:r>
          </w:p>
        </w:tc>
        <w:tc>
          <w:tcPr>
            <w:tcW w:w="240" w:type="dxa"/>
            <w:vAlign w:val="bottom"/>
          </w:tcPr>
          <w:p>
            <w:pPr>
              <w:spacing w:after="0"/>
              <w:rPr>
                <w:sz w:val="21"/>
                <w:szCs w:val="21"/>
                <w:color w:val="auto"/>
              </w:rPr>
            </w:pPr>
          </w:p>
        </w:tc>
        <w:tc>
          <w:tcPr>
            <w:tcW w:w="124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of Period</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Month End (000's)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Period (000's)</w:t>
            </w:r>
          </w:p>
        </w:tc>
        <w:tc>
          <w:tcPr>
            <w:tcW w:w="200" w:type="dxa"/>
            <w:vAlign w:val="bottom"/>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the Period</w:t>
            </w:r>
          </w:p>
        </w:tc>
        <w:tc>
          <w:tcPr>
            <w:tcW w:w="160" w:type="dxa"/>
            <w:vAlign w:val="bottom"/>
            <w:gridSpan w:val="2"/>
          </w:tcPr>
          <w:p>
            <w:pPr>
              <w:spacing w:after="0"/>
              <w:rPr>
                <w:sz w:val="21"/>
                <w:szCs w:val="21"/>
                <w:color w:val="auto"/>
              </w:rPr>
            </w:pPr>
          </w:p>
        </w:tc>
      </w:tr>
      <w:tr>
        <w:trPr>
          <w:trHeight w:val="234"/>
        </w:trPr>
        <w:tc>
          <w:tcPr>
            <w:tcW w:w="18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0.98 % $</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28,918</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38"/>
        </w:trPr>
        <w:tc>
          <w:tcPr>
            <w:tcW w:w="18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0.97 % $</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661"/>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15430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5430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779" w:right="27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had no federal funds purchased as of December 31, 2023 and $22.6 million federal funds purchased as of December 31, 2022. The $28.2 million in Securities Sold Under Agreements to Repurchase were comprised of U.S. Treasuries and government agency securities. The table below shows the remaining contractual maturity in the repurchase agreements and the collateral pledged as of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7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9"/>
              </w:rPr>
              <w:t>Remaining Contractual Maturity of the Agreements</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Greater Than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30-90 days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90 days</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funds purchased</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9"/>
        </w:trPr>
        <w:tc>
          <w:tcPr>
            <w:tcW w:w="3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-1233805</wp:posOffset>
            </wp:positionV>
            <wp:extent cx="7747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-1233805</wp:posOffset>
            </wp:positionV>
            <wp:extent cx="7747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-1233805</wp:posOffset>
            </wp:positionV>
            <wp:extent cx="68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-1233805</wp:posOffset>
            </wp:positionV>
            <wp:extent cx="6858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Borrowings and Subordinated Notes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Short Term Debt</w:t>
      </w:r>
    </w:p>
    <w:p>
      <w:pPr>
        <w:spacing w:after="0" w:line="12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Due to the funding requirement for the acquisition of PFSB to be provided from the holding company, the Company secured borrowings from a correspondent bank. Two loans were secured, the first a $30 million 12-month term note and the second a 12-month line of credit for $10 million. Both loans were advanced on October 1, 2021. Interest on both loans was due quarterly and accrued at a rate of 2.50% per annum with reporting and capital covenants included. The structure of the acquisition required all accounting of the transaction to be recorded at the Bank level as Perpetual did not have a holding company. The Company advanced funds from the Bank to the Company to facilitate payoff of the term note and line of credit balance after regulatory approval was granted in the second quarter of 2022. The line of credit remained open for future liquidity needs.</w:t>
      </w:r>
    </w:p>
    <w:p>
      <w:pPr>
        <w:spacing w:after="0" w:line="18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September 29, 2022, the line of credit was advanced for $10 million for the acquisition of PFSL. Interest on the line of credit was due quarterly and accrued at a rate of 5.50% per annum with reporting and capital covenants included. The $10 million line of credit was paid off in the first quarter of 2023 and not renewed at maturity on September 30, 2023.</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established a $15 million variable line of credit tied to prime with a correspondent bank that matures on September 27, 2024.</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2023, there were no outstanding borrowings on the line of credit.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Long Term Debt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Federal Home Loan Bank Advances</w:t>
      </w:r>
    </w:p>
    <w:p>
      <w:pPr>
        <w:spacing w:after="0" w:line="12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Long term debt consists of various loans from the Federal Home Loan Banks. Repayment structures vary, ranging from monthly installments, annual payments or upon maturity. Interest payments are due monthly. Total borrowings were $265.8 million excluding an amortizing $23 thousand for fair value related to the acquisitions for December 31, 2023 compared to $127.4 million excluding an accretive $47 thousand for fair value for December 31, 2022. With the acquisition of Peoples Federal Savings and Loan Association, the Bank undertook $965 thousand in advances with varying maturity dates from 2022 through 2028. With the acquisition of Perpetual Federal Savings Bank, the Bank undertook $6 million in advances due in 2024. The advances were secured by a pledge of $223.0 and $232.9 million of 1-4 family real estate and HELOC loans as of December 31, 2023 and 2022, respectively under a blanket collateral agreement. During 2023, the Bank began pledging eligible commercial real estate loans of $158.9 million to the FHLB as of December 31, 2023.</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advances are subject to pre-payment penalties and the provisions and conditions of the credit policy of the Federal Home Loan Bank.</w:t>
      </w:r>
    </w:p>
    <w:p>
      <w:pPr>
        <w:spacing w:after="0" w:line="22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 had access to $128.0 and $73.0 million unsecured borrowings through correspondent banks as of December 31, 2023 and December 31, 2022, respectively. The Bank had a borrowing capacity under the Federal Reserve's BTFP of $69.9 million at December 31, 2023. The Bank also had access to $150.1 million and $130.4 million through a Cash Management Advance with the Federal Home Loan Bank as of December 31, 2023 and December 31, 2022 respectively. The Bank had unpledged securities, which could be sold or used as collateral, of $97.3 million and $249.6 million at the end of the same time periods, respectively. An additional $42.5 million at December 31, 2023, and $2.0 million at December 31, 2022, were available from the Federal Home Loan Bank based on current pledging. The table below shows the maturities of the borrowings exclusive of the fair value adjustment.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8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tc>
      </w:tr>
      <w:tr>
        <w:trPr>
          <w:trHeight w:val="466"/>
        </w:trPr>
        <w:tc>
          <w:tcPr>
            <w:tcW w:w="2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(In Thousands)</w:t>
            </w:r>
          </w:p>
        </w:tc>
        <w:tc>
          <w:tcPr>
            <w:tcW w:w="2800" w:type="dxa"/>
            <w:vAlign w:val="bottom"/>
          </w:tcPr>
          <w:p>
            <w:pPr>
              <w:spacing w:after="0"/>
              <w:rPr>
                <w:sz w:val="24"/>
                <w:szCs w:val="24"/>
                <w:color w:val="auto"/>
              </w:rPr>
            </w:pPr>
          </w:p>
        </w:tc>
      </w:tr>
      <w:tr>
        <w:trPr>
          <w:trHeight w:val="243"/>
        </w:trPr>
        <w:tc>
          <w:tcPr>
            <w:tcW w:w="2820" w:type="dxa"/>
            <w:vAlign w:val="bottom"/>
          </w:tcPr>
          <w:p>
            <w:pPr>
              <w:spacing w:after="0"/>
              <w:rPr>
                <w:sz w:val="21"/>
                <w:szCs w:val="21"/>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2800" w:type="dxa"/>
            <w:vAlign w:val="bottom"/>
          </w:tcPr>
          <w:p>
            <w:pPr>
              <w:spacing w:after="0"/>
              <w:rPr>
                <w:sz w:val="21"/>
                <w:szCs w:val="21"/>
                <w:color w:val="auto"/>
              </w:rPr>
            </w:pPr>
          </w:p>
        </w:tc>
      </w:tr>
      <w:tr>
        <w:trPr>
          <w:trHeight w:val="239"/>
        </w:trPr>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2800" w:type="dxa"/>
            <w:vAlign w:val="bottom"/>
          </w:tcPr>
          <w:p>
            <w:pPr>
              <w:spacing w:after="0"/>
              <w:rPr>
                <w:sz w:val="20"/>
                <w:szCs w:val="20"/>
                <w:color w:val="auto"/>
              </w:rPr>
            </w:pPr>
          </w:p>
        </w:tc>
      </w:tr>
      <w:tr>
        <w:trPr>
          <w:trHeight w:val="247"/>
        </w:trPr>
        <w:tc>
          <w:tcPr>
            <w:tcW w:w="2820" w:type="dxa"/>
            <w:vAlign w:val="bottom"/>
          </w:tcPr>
          <w:p>
            <w:pPr>
              <w:spacing w:after="0"/>
              <w:rPr>
                <w:sz w:val="21"/>
                <w:szCs w:val="21"/>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0" w:type="dxa"/>
            <w:vAlign w:val="bottom"/>
          </w:tcPr>
          <w:p>
            <w:pPr>
              <w:spacing w:after="0"/>
              <w:rPr>
                <w:sz w:val="21"/>
                <w:szCs w:val="21"/>
                <w:color w:val="auto"/>
              </w:rPr>
            </w:pPr>
          </w:p>
        </w:tc>
      </w:tr>
      <w:tr>
        <w:trPr>
          <w:trHeight w:val="239"/>
        </w:trPr>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52,149</w:t>
            </w:r>
          </w:p>
        </w:tc>
        <w:tc>
          <w:tcPr>
            <w:tcW w:w="2800" w:type="dxa"/>
            <w:vAlign w:val="bottom"/>
          </w:tcPr>
          <w:p>
            <w:pPr>
              <w:spacing w:after="0"/>
              <w:rPr>
                <w:sz w:val="20"/>
                <w:szCs w:val="20"/>
                <w:color w:val="auto"/>
              </w:rPr>
            </w:pPr>
          </w:p>
        </w:tc>
      </w:tr>
      <w:tr>
        <w:trPr>
          <w:trHeight w:val="247"/>
        </w:trPr>
        <w:tc>
          <w:tcPr>
            <w:tcW w:w="2820" w:type="dxa"/>
            <w:vAlign w:val="bottom"/>
          </w:tcPr>
          <w:p>
            <w:pPr>
              <w:spacing w:after="0"/>
              <w:rPr>
                <w:sz w:val="21"/>
                <w:szCs w:val="21"/>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74,624</w:t>
            </w:r>
          </w:p>
        </w:tc>
        <w:tc>
          <w:tcPr>
            <w:tcW w:w="2800" w:type="dxa"/>
            <w:vAlign w:val="bottom"/>
          </w:tcPr>
          <w:p>
            <w:pPr>
              <w:spacing w:after="0"/>
              <w:rPr>
                <w:sz w:val="21"/>
                <w:szCs w:val="21"/>
                <w:color w:val="auto"/>
              </w:rPr>
            </w:pPr>
          </w:p>
        </w:tc>
      </w:tr>
      <w:tr>
        <w:trPr>
          <w:trHeight w:val="243"/>
        </w:trPr>
        <w:tc>
          <w:tcPr>
            <w:tcW w:w="282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1"/>
                <w:szCs w:val="21"/>
                <w:color w:val="auto"/>
              </w:rPr>
            </w:pPr>
          </w:p>
        </w:tc>
      </w:tr>
      <w:tr>
        <w:trPr>
          <w:trHeight w:val="277"/>
        </w:trPr>
        <w:tc>
          <w:tcPr>
            <w:tcW w:w="2820" w:type="dxa"/>
            <w:vAlign w:val="bottom"/>
          </w:tcPr>
          <w:p>
            <w:pPr>
              <w:spacing w:after="0"/>
              <w:rPr>
                <w:sz w:val="24"/>
                <w:szCs w:val="24"/>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265,773</w:t>
            </w:r>
          </w:p>
        </w:tc>
        <w:tc>
          <w:tcPr>
            <w:tcW w:w="2800" w:type="dxa"/>
            <w:vAlign w:val="bottom"/>
          </w:tcPr>
          <w:p>
            <w:pPr>
              <w:spacing w:after="0"/>
              <w:rPr>
                <w:sz w:val="24"/>
                <w:szCs w:val="24"/>
                <w:color w:val="auto"/>
              </w:rPr>
            </w:pPr>
          </w:p>
        </w:tc>
      </w:tr>
      <w:tr>
        <w:trPr>
          <w:trHeight w:val="844"/>
        </w:trPr>
        <w:tc>
          <w:tcPr>
            <w:tcW w:w="2820" w:type="dxa"/>
            <w:vAlign w:val="bottom"/>
          </w:tcPr>
          <w:p>
            <w:pPr>
              <w:spacing w:after="0"/>
              <w:rPr>
                <w:sz w:val="24"/>
                <w:szCs w:val="24"/>
                <w:color w:val="auto"/>
              </w:rPr>
            </w:pPr>
          </w:p>
        </w:tc>
        <w:tc>
          <w:tcPr>
            <w:tcW w:w="174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jc w:val="right"/>
              <w:ind w:right="210"/>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-1070610</wp:posOffset>
            </wp:positionV>
            <wp:extent cx="342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-1053465</wp:posOffset>
            </wp:positionV>
            <wp:extent cx="342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are qualify as Tier 2 capital for regulatory purposes in proportionate amounts until July 30, 2026. The Company used the net proceeds from the Offering for general corporate purposes, including financing acquisitions and organic growth.</w:t>
      </w:r>
    </w:p>
    <w:p>
      <w:pPr>
        <w:spacing w:after="0" w:line="183"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color w:val="auto"/>
              </w:rPr>
              <w:t>December 31, 2023</w:t>
            </w:r>
          </w:p>
        </w:tc>
        <w:tc>
          <w:tcPr>
            <w:tcW w:w="27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5"/>
        </w:trPr>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Unamortized</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Unamortized</w:t>
            </w:r>
          </w:p>
        </w:tc>
      </w:tr>
      <w:tr>
        <w:trPr>
          <w:trHeight w:val="216"/>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8"/>
              </w:rPr>
              <w:t>Note Issuance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Note Issuance</w:t>
            </w:r>
          </w:p>
        </w:tc>
      </w:tr>
      <w:tr>
        <w:trPr>
          <w:trHeight w:val="24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Costs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Costs</w:t>
            </w:r>
          </w:p>
        </w:tc>
        <w:tc>
          <w:tcPr>
            <w:tcW w:w="80" w:type="dxa"/>
            <w:vAlign w:val="bottom"/>
          </w:tcPr>
          <w:p>
            <w:pPr>
              <w:spacing w:after="0"/>
              <w:rPr>
                <w:sz w:val="20"/>
                <w:szCs w:val="20"/>
                <w:color w:val="auto"/>
              </w:rPr>
            </w:pPr>
          </w:p>
        </w:tc>
      </w:tr>
      <w:tr>
        <w:trPr>
          <w:trHeight w:val="243"/>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(298 )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components of income tax expense for the years ended December 31 are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8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(1,746 )</w:t>
            </w:r>
          </w:p>
        </w:tc>
      </w:tr>
      <w:tr>
        <w:trPr>
          <w:trHeight w:val="243"/>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(1,805 )</w:t>
            </w:r>
          </w:p>
        </w:tc>
      </w:tr>
      <w:tr>
        <w:trPr>
          <w:trHeight w:val="281"/>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-976630</wp:posOffset>
            </wp:positionV>
            <wp:extent cx="6032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-976630</wp:posOffset>
            </wp:positionV>
            <wp:extent cx="5143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-976630</wp:posOffset>
            </wp:positionV>
            <wp:extent cx="5143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-350520</wp:posOffset>
            </wp:positionV>
            <wp:extent cx="603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-350520</wp:posOffset>
            </wp:positionV>
            <wp:extent cx="5143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effective tax rate:</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 at statutory rates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80" w:type="dxa"/>
            <w:vAlign w:val="bottom"/>
            <w:shd w:val="clear" w:color="auto" w:fill="CFF0FC"/>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resulting from:</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FF0FC"/>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exempt interest</w:t>
            </w:r>
          </w:p>
        </w:tc>
        <w:tc>
          <w:tcPr>
            <w:tcW w:w="28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r>
      <w:tr>
        <w:trPr>
          <w:trHeight w:val="247"/>
        </w:trPr>
        <w:tc>
          <w:tcPr>
            <w:tcW w:w="380" w:type="dxa"/>
            <w:vAlign w:val="bottom"/>
          </w:tcPr>
          <w:p>
            <w:pPr>
              <w:spacing w:after="0"/>
              <w:rPr>
                <w:sz w:val="21"/>
                <w:szCs w:val="21"/>
                <w:color w:val="auto"/>
              </w:rPr>
            </w:pPr>
          </w:p>
        </w:tc>
        <w:tc>
          <w:tcPr>
            <w:tcW w:w="5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Section 831 deduction</w:t>
            </w:r>
          </w:p>
        </w:tc>
        <w:tc>
          <w:tcPr>
            <w:tcW w:w="28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(270 )</w:t>
            </w: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(294 )</w:t>
            </w:r>
          </w:p>
        </w:tc>
      </w:tr>
      <w:tr>
        <w:trPr>
          <w:trHeight w:val="239"/>
        </w:trPr>
        <w:tc>
          <w:tcPr>
            <w:tcW w:w="380" w:type="dxa"/>
            <w:vAlign w:val="bottom"/>
          </w:tcPr>
          <w:p>
            <w:pPr>
              <w:spacing w:after="0"/>
              <w:rPr>
                <w:sz w:val="20"/>
                <w:szCs w:val="20"/>
                <w:color w:val="auto"/>
              </w:rPr>
            </w:pP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(365 )</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r>
      <w:tr>
        <w:trPr>
          <w:trHeight w:val="281"/>
        </w:trPr>
        <w:tc>
          <w:tcPr>
            <w:tcW w:w="380" w:type="dxa"/>
            <w:vAlign w:val="bottom"/>
          </w:tcPr>
          <w:p>
            <w:pPr>
              <w:spacing w:after="0"/>
              <w:rPr>
                <w:sz w:val="24"/>
                <w:szCs w:val="24"/>
                <w:color w:val="auto"/>
              </w:rPr>
            </w:pPr>
          </w:p>
        </w:tc>
        <w:tc>
          <w:tcPr>
            <w:tcW w:w="5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13"/>
        </w:trPr>
        <w:tc>
          <w:tcPr>
            <w:tcW w:w="5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Deferred tax assets and liabilities at December 31 are comprised of the following:</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Pr>
          <w:p>
            <w:pPr>
              <w:spacing w:after="0"/>
              <w:rPr>
                <w:sz w:val="20"/>
                <w:szCs w:val="20"/>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available-for-sale securities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adjustments</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Accreted discounts on bonds</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FHLB stock dividends</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amortization</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Loan servicing rights</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1"/>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-3436620</wp:posOffset>
            </wp:positionV>
            <wp:extent cx="6032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-3419475</wp:posOffset>
            </wp:positionV>
            <wp:extent cx="6032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-3436620</wp:posOffset>
            </wp:positionV>
            <wp:extent cx="5143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-3419475</wp:posOffset>
            </wp:positionV>
            <wp:extent cx="5143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-3436620</wp:posOffset>
            </wp:positionV>
            <wp:extent cx="5143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-3419475</wp:posOffset>
            </wp:positionV>
            <wp:extent cx="5143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-351155</wp:posOffset>
            </wp:positionV>
            <wp:extent cx="5143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4318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Peoples Federal Savings and Loan acquisition included a net operating loss (NOL) carryforward of $2,789,124 that had a remaining balance of $2.0 million and $2.6 million at December 31, 2023 and 2022, respectively.</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Corporation has additional paid-in capital that is considered restricted resulting from the acquisition of Perpetual in 2021 of approximately $2,779,000 and from the acquisition of Peoples in 2022 of approximately $2,174,000. No</w:t>
      </w:r>
    </w:p>
    <w:p>
      <w:pPr>
        <w:sectPr>
          <w:pgSz w:w="11900" w:h="16838" w:orient="portrait"/>
          <w:cols w:equalWidth="0" w:num="1">
            <w:col w:w="11240"/>
          </w:cols>
          <w:pgMar w:left="320" w:top="779" w:right="339" w:bottom="866"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866" w:gutter="0" w:footer="0" w:header="0"/>
          <w:type w:val="continuous"/>
        </w:sectPr>
      </w:pPr>
    </w:p>
    <w:bookmarkStart w:id="101" w:name="page102"/>
    <w:bookmarkEnd w:id="10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deferred tax liability is required to be recorded for the Corporation’s tax bad debt reserves arising before December 31, 1987, unless it is apparent that the reserves will reverse in the near future. Unrecognized deferred taxes on these reserves would total $1,040,000. If the portion of retained earnings representing these reserves is used for any purpose other than to absorb bad debts, it will be added to future taxable income and the related tax will be recognized as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Plans</w:t>
      </w:r>
    </w:p>
    <w:p>
      <w:pPr>
        <w:spacing w:after="0" w:line="12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has established a 401(k) defined contribution plan which allows eligible employees to save at a minimum one percent of eligible compensation on a pre-tax or post-tax basis, subject to certain Internal Revenue Service limitations. The Bank will match 50% of employee 401(k) contributions up to six percent of total eligible compensation. In addition, the Bank may make a discretionary contribution from time to time as is deemed advisable. A participant is 100% vested in the participant’s deferral contributions. Employer matching contributions are funded each payroll period and are immediately vested. Non elective employer contributions are immediately vested at 100%. Employees are immediately eligible upon hire to contribute to the plan and receive matching contributions. In order to be eligible for discretionary contributions, employees must work 1,000 hours in the plan year and be employed on the last day of the year. Contributions expensed for the 401(k) profit sharing plan for both the employer matching contribution and the discretionary contribution were $1.4 million, $1.7 million and $1.5 million for 2023, 2022 and 2021, respectively.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21"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Company has a Long-Term Stock Incentive Plan under which 64,225 shares of the Company’s restricted stock were issued to 113 employees during 2023, 56,496 shares of restricted stock were issued to 109 employees during 2022 and 48,750 shares of restricted stock were issued to 96 employees during 2021. Under the plan, the shares generally vest 100% in three years. During the 3 year vesting period, the employees receive dividends or dividend equivalent compensation on the shares. Due to employee termination, there were 6,350, 8,000 and 2,575 shares forfeited during 2023, 2022 and 2021, respectively. During 2023, four employees retired and received 2,350 shares from the shares awarded in 2020, 2021 and 2022. In 2022, three employees retired and received 3,775 shares from the shares awarded in 2019, 2020 and 2021. During 2021, due to retirement, seven employees received 4,425 shares from awards granted in 2018, 2019 and 2020. In 2023, 29,431 shares awarded in 2020 were 100% vested and 65 employees received the stock. Also during 2023, 2,996 shares awarded in 2022 were 100% vested and four employees received the stock. One employee received accelerated vesting of 700 shares awarded in 2020. During 2022, 26,900 shares awarded in 2019 were 100% vested and 60 employees received the stock. During 2021, 18,845 shares awarded in 2018 were 100% vested and 50 employees received the stock. Compensation expense applicable to the restricted stock awards totaled $1.3 million, $899 thousand and $822 thousand for the years ending December 31, 2023, 2022 and 2021, respectively.</w:t>
      </w:r>
    </w:p>
    <w:p>
      <w:pPr>
        <w:spacing w:after="0" w:line="19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details of the restricted shares issued, vested, and forfeited for the years ending December 31, 2023, 2022 and 2021.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Year Ended December 31,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620" w:type="dxa"/>
            <w:vAlign w:val="bottom"/>
          </w:tcPr>
          <w:p>
            <w:pPr>
              <w:spacing w:after="0"/>
              <w:rPr>
                <w:sz w:val="20"/>
                <w:szCs w:val="20"/>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20"/>
                <w:szCs w:val="20"/>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20" w:type="dxa"/>
            <w:vAlign w:val="bottom"/>
          </w:tcPr>
          <w:p>
            <w:pPr>
              <w:spacing w:after="0"/>
              <w:rPr>
                <w:sz w:val="18"/>
                <w:szCs w:val="18"/>
                <w:color w:val="auto"/>
              </w:rPr>
            </w:pPr>
          </w:p>
        </w:tc>
        <w:tc>
          <w:tcPr>
            <w:tcW w:w="140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Number of</w:t>
            </w: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18"/>
                <w:szCs w:val="18"/>
                <w:color w:val="auto"/>
              </w:rPr>
            </w:pPr>
          </w:p>
        </w:tc>
        <w:tc>
          <w:tcPr>
            <w:tcW w:w="136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Number of</w:t>
            </w:r>
          </w:p>
        </w:tc>
        <w:tc>
          <w:tcPr>
            <w:tcW w:w="9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18"/>
                <w:szCs w:val="18"/>
                <w:color w:val="auto"/>
              </w:rPr>
            </w:pPr>
          </w:p>
        </w:tc>
        <w:tc>
          <w:tcPr>
            <w:tcW w:w="1360" w:type="dxa"/>
            <w:vAlign w:val="bottom"/>
            <w:tcBorders>
              <w:top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Number of</w:t>
            </w:r>
          </w:p>
        </w:tc>
        <w:tc>
          <w:tcPr>
            <w:tcW w:w="9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6"/>
              </w:rPr>
              <w:t>Number of</w:t>
            </w:r>
          </w:p>
        </w:tc>
        <w:tc>
          <w:tcPr>
            <w:tcW w:w="100" w:type="dxa"/>
            <w:vAlign w:val="bottom"/>
          </w:tcPr>
          <w:p>
            <w:pPr>
              <w:spacing w:after="0"/>
              <w:rPr>
                <w:sz w:val="18"/>
                <w:szCs w:val="18"/>
                <w:color w:val="auto"/>
              </w:rPr>
            </w:pPr>
          </w:p>
        </w:tc>
      </w:tr>
      <w:tr>
        <w:trPr>
          <w:trHeight w:val="241"/>
        </w:trPr>
        <w:tc>
          <w:tcPr>
            <w:tcW w:w="3620" w:type="dxa"/>
            <w:vAlign w:val="bottom"/>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Employees</w:t>
            </w:r>
          </w:p>
        </w:tc>
        <w:tc>
          <w:tcPr>
            <w:tcW w:w="240" w:type="dxa"/>
            <w:vAlign w:val="bottom"/>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Employees</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Employees</w:t>
            </w:r>
          </w:p>
        </w:tc>
        <w:tc>
          <w:tcPr>
            <w:tcW w:w="100" w:type="dxa"/>
            <w:vAlign w:val="bottom"/>
          </w:tcPr>
          <w:p>
            <w:pPr>
              <w:spacing w:after="0"/>
              <w:rPr>
                <w:sz w:val="20"/>
                <w:szCs w:val="20"/>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shares issued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 vested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shares awarded due to retirement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 awarded for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756"/>
        </w:trPr>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6"/>
        </w:trPr>
        <w:tc>
          <w:tcPr>
            <w:tcW w:w="3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3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activity of restricted stock awards as of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Year Ended December 31,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74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Pr>
          <w:p>
            <w:pPr>
              <w:spacing w:after="0"/>
              <w:rPr>
                <w:sz w:val="20"/>
                <w:szCs w:val="20"/>
                <w:color w:val="auto"/>
              </w:rPr>
            </w:pPr>
          </w:p>
        </w:tc>
        <w:tc>
          <w:tcPr>
            <w:tcW w:w="16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Weighted</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Weighted</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average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average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37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41"/>
        </w:trPr>
        <w:tc>
          <w:tcPr>
            <w:tcW w:w="3740" w:type="dxa"/>
            <w:vAlign w:val="bottom"/>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per award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per award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per award</w:t>
            </w:r>
          </w:p>
        </w:tc>
        <w:tc>
          <w:tcPr>
            <w:tcW w:w="100" w:type="dxa"/>
            <w:vAlign w:val="bottom"/>
          </w:tcPr>
          <w:p>
            <w:pPr>
              <w:spacing w:after="0"/>
              <w:rPr>
                <w:sz w:val="20"/>
                <w:szCs w:val="20"/>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128,952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111,131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spacing w:after="0"/>
              <w:rPr>
                <w:sz w:val="21"/>
                <w:szCs w:val="2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20"/>
                <w:szCs w:val="20"/>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(35,477 )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(30,675 )</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(23,270 )</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(6,350 )</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(8,000 )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(2,575 )</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1"/>
                <w:szCs w:val="21"/>
                <w:color w:val="auto"/>
              </w:rPr>
            </w:pPr>
          </w:p>
        </w:tc>
      </w:tr>
      <w:tr>
        <w:trPr>
          <w:trHeight w:val="277"/>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end of period</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151,350</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128,952</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111,131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7747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-7620</wp:posOffset>
            </wp:positionV>
            <wp:extent cx="7747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$2.1 million of unrecognized compensation cost related to the nonvested portion of restricted stock awards under the plan to be recognized over the next three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48"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94"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is to be based upon the closing price for shares on June 4, 2020 and thereafter on the first Thursday in June each year.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 On June 3, 2022, twelve Directors each received $10,013 worth of shares which equated to 240 shares. On June 2, 2023, twelve Directors each received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$14,997 worth of shares which equated to 754 shares. The use of stock for Directors' retainer, does not have an effect on diluted earnings per share as it is immediately vested.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basic and diluted earnings per share for the years ended December 31, 2023, 2022, and 2021.</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Year Ended</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distributed earnings allocated to</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(128 )</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 undistributed earnings allocated to</w:t>
            </w:r>
          </w:p>
        </w:tc>
        <w:tc>
          <w:tcPr>
            <w:tcW w:w="160" w:type="dxa"/>
            <w:vAlign w:val="bottom"/>
          </w:tcPr>
          <w:p>
            <w:pPr>
              <w:spacing w:after="0"/>
              <w:rPr>
                <w:sz w:val="18"/>
                <w:szCs w:val="18"/>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tcPr>
          <w:p>
            <w:pPr>
              <w:spacing w:after="0"/>
              <w:rPr>
                <w:sz w:val="18"/>
                <w:szCs w:val="18"/>
                <w:color w:val="auto"/>
              </w:rPr>
            </w:pPr>
          </w:p>
        </w:tc>
        <w:tc>
          <w:tcPr>
            <w:tcW w:w="1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34"/>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earnings available to common</w:t>
            </w: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32,231</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3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participating securities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13,641,336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13,206,713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11,664,852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(148,433 )</w:t>
            </w: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(115,291 )</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(94,634 )</w:t>
            </w:r>
          </w:p>
        </w:tc>
        <w:tc>
          <w:tcPr>
            <w:tcW w:w="0" w:type="dxa"/>
            <w:vAlign w:val="bottom"/>
          </w:tcPr>
          <w:p>
            <w:pPr>
              <w:spacing w:after="0"/>
              <w:rPr>
                <w:sz w:val="1"/>
                <w:szCs w:val="1"/>
                <w:color w:val="auto"/>
              </w:rPr>
            </w:pPr>
          </w:p>
        </w:tc>
      </w:tr>
      <w:tr>
        <w:trPr>
          <w:trHeight w:val="237"/>
        </w:trPr>
        <w:tc>
          <w:tcPr>
            <w:tcW w:w="4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13,492,903</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13,091,422</w:t>
            </w: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11,570,218</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-839470</wp:posOffset>
            </wp:positionV>
            <wp:extent cx="6032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-822325</wp:posOffset>
            </wp:positionV>
            <wp:extent cx="6032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-839470</wp:posOffset>
            </wp:positionV>
            <wp:extent cx="5143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-822325</wp:posOffset>
            </wp:positionV>
            <wp:extent cx="5143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-839470</wp:posOffset>
            </wp:positionV>
            <wp:extent cx="5143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-822325</wp:posOffset>
            </wp:positionV>
            <wp:extent cx="5143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-367665</wp:posOffset>
            </wp:positionV>
            <wp:extent cx="6032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-367665</wp:posOffset>
            </wp:positionV>
            <wp:extent cx="514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032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032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Bank has granted loans to senior officers and directors and their affiliated companies amounting to $54.3 million and $20.2 million at December 31, 2023 and 2022, respectively. Two new loans were approved during 2023 for $34.2 million. During 2023, subsequent advances totaled $8.6 million and payments of $8.7 million were received. The difference in related borrowings amounted to $34.1 million, net increase. Deposits of directors, executive officers and companies in which they have a direct or indirect ownership as of December 31, 2023 and 2022, amounted to $47.1 million and $41.5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Off Balance Sheet Activities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Credit Related Financial Instruments</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Company's consolidated balance sheets.</w:t>
      </w:r>
    </w:p>
    <w:p>
      <w:pPr>
        <w:spacing w:after="0" w:line="18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December 31, 2023 and 2022 was $825 thousand and $1.0 million, respectively.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December 31, 2023 and 2022, the following financial instruments were outstanding whose contract amounts represent credit risk: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640,023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691,501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57"/>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Commitments to extend credit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 On May 1, 2022, the Bank sold the credit card portfolio thus eliminating credit risk for 2022.</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Collateral Requirements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Minimum Regulatory Capital Requirements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(on a consolidated basis) and 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and Bank's financial statements. Under capital adequacy guidelines and the regulatory framework for prompt corrective action, the Company and Bank must meet specific capital guidelines that involve quantitative measures of their assets, liabilities and certain off balance-sheet items as calculated under regulatory accounting practices.</w:t>
      </w:r>
    </w:p>
    <w:p>
      <w:pPr>
        <w:spacing w:after="0" w:line="18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16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the Basel III Capital Rules, the comprehensive capital framework for U.S. banking organizations,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connection with the adoption of the Basel III Capital Rules, we elected to opt-out of the requirement to include most components of accumulated other comprehensive income in Common Equity Tier 1.</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Common Equity Tier 1 is reduced by goodwill and other intangible assets, net of associated deferred tax liabilities, and subject to transition provisions.</w:t>
      </w:r>
    </w:p>
    <w:p>
      <w:pPr>
        <w:spacing w:after="0" w:line="16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Common Equity Tier 1,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180"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Basel III Capital Rules require the Company and Bank to maintain (i) a minimum ratio of Common Equity Tier 1 capital to risk-weighted assets of at least 4.5%, plus a 2.5% “capital conservation buffer” (which is added to the 4.5% Common Equity Tier 1 capital ratio, effectively resulting in a minimum ratio of Common Equity Tier 1 capital to risk-weighted assets of at least 7.0%), (ii) a minimum ratio of Tier 1 capital to risk-weighted assets of at least 6.0%, plus the capital conservation buffer (which is added to the 6.0% Tier 1 capital ratio, effectively resulting in a minimum Tier 1 capital ratio of 8.5%), (iii) a minimum ratio of Total capital (that is, Tier 1 plus Tier 2) to risk-weighted assets of at least 8.0%, plus the capital conservation buffer (which is added to the 8.0% total capital ratio, effectively resulting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right="80"/>
        <w:spacing w:after="0" w:line="282" w:lineRule="auto"/>
        <w:rPr>
          <w:sz w:val="20"/>
          <w:szCs w:val="20"/>
          <w:color w:val="auto"/>
        </w:rPr>
      </w:pPr>
      <w:r>
        <w:rPr>
          <w:rFonts w:ascii="Times New Roman" w:cs="Times New Roman" w:eastAsia="Times New Roman" w:hAnsi="Times New Roman"/>
          <w:sz w:val="18"/>
          <w:szCs w:val="18"/>
          <w:color w:val="auto"/>
        </w:rPr>
        <w:t>in a minimum total capital ratio of 10.5%) and (iv) a minimum leverage ratio of 4.0%, calculated as the ratio of Tier 1 capital to average quarterly assets.</w:t>
      </w:r>
    </w:p>
    <w:p>
      <w:pPr>
        <w:spacing w:after="0" w:line="162"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will face constraints on dividends, equity repurchases and compensation based on the amount of the shortfall.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Management believes, as of December 31, 2023, that the Bank meets all the capital adequacy requirements to which it is subject.</w:t>
      </w:r>
    </w:p>
    <w:p>
      <w:pPr>
        <w:spacing w:after="0" w:line="225"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As of December 31, 2023,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Equity Tier 1 and Tier I leverage ratios as disclosed in the table to follow. There are no conditions or events since the most recent notification that management believes have changed the Bank’s prompt corrective action category.</w:t>
      </w:r>
    </w:p>
    <w:p>
      <w:pPr>
        <w:spacing w:after="0" w:line="180" w:lineRule="exact"/>
        <w:rPr>
          <w:sz w:val="20"/>
          <w:szCs w:val="20"/>
          <w:color w:val="auto"/>
        </w:rPr>
      </w:pPr>
    </w:p>
    <w:p>
      <w:pPr>
        <w:jc w:val="both"/>
        <w:ind w:left="760" w:right="80"/>
        <w:spacing w:after="0" w:line="266" w:lineRule="auto"/>
        <w:rPr>
          <w:sz w:val="20"/>
          <w:szCs w:val="20"/>
          <w:color w:val="auto"/>
        </w:rPr>
      </w:pPr>
      <w:r>
        <w:rPr>
          <w:rFonts w:ascii="Times New Roman" w:cs="Times New Roman" w:eastAsia="Times New Roman" w:hAnsi="Times New Roman"/>
          <w:sz w:val="18"/>
          <w:szCs w:val="18"/>
          <w:color w:val="auto"/>
        </w:rPr>
        <w:t>The following tables present actual and required capital ratios as of December 31, 2023 and December 31, 2022 under the Basel III Capital Rules. Capital levels required to be considered well capitalized are based upon prompt corrective action regulations, as amended to reflect the changes under the Basel III Capital Rules.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and Bank's actual and required capital amounts and ratios as of December 31, 2023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Required to be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Minimum Capital</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Considered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Actual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Required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Well-Capitalized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(000's)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(000's)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(000's)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60" w:type="dxa"/>
            <w:vAlign w:val="bottom"/>
          </w:tcPr>
          <w:p>
            <w:pPr>
              <w:spacing w:after="0"/>
              <w:rPr>
                <w:sz w:val="21"/>
                <w:szCs w:val="21"/>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Ratio</w:t>
            </w:r>
          </w:p>
        </w:tc>
        <w:tc>
          <w:tcPr>
            <w:tcW w:w="240" w:type="dxa"/>
            <w:vAlign w:val="bottom"/>
          </w:tcPr>
          <w:p>
            <w:pPr>
              <w:spacing w:after="0"/>
              <w:rPr>
                <w:sz w:val="21"/>
                <w:szCs w:val="21"/>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1"/>
                <w:szCs w:val="21"/>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Ratio</w:t>
            </w: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Ratio</w:t>
            </w:r>
          </w:p>
        </w:tc>
      </w:tr>
      <w:tr>
        <w:trPr>
          <w:trHeight w:val="205"/>
        </w:trPr>
        <w:tc>
          <w:tcPr>
            <w:tcW w:w="31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Equity Tier 1 Capital</w:t>
            </w: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251,649</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116,147</w:t>
            </w:r>
          </w:p>
        </w:tc>
        <w:tc>
          <w:tcPr>
            <w:tcW w:w="13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w w:val="99"/>
              </w:rPr>
              <w:t>4.50 %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167,768</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276,467</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10.77 %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115,534</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166,882</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56"/>
        </w:trPr>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1"/>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Risk-Based Capital</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297,179</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11.51 %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206,484</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258,105</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301,176</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11.73 %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205,393</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256,742</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6"/>
        </w:trPr>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1"/>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Capital</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251,649</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9.75 %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154,863</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206,484</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276,467</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10.77 %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154,045</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205,393</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56"/>
        </w:trPr>
        <w:tc>
          <w:tcPr>
            <w:tcW w:w="3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1"/>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Leverage Capital</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Adjusted Total Assets):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251,649</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7.86 %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128,081</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160,102</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276,467</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8.66 %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127,674</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159,593</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-2956560</wp:posOffset>
            </wp:positionV>
            <wp:extent cx="7132320" cy="29146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29146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29146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146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300"/>
          </w:cols>
          <w:pgMar w:left="320" w:top="77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79" w:right="279" w:bottom="1440" w:gutter="0" w:footer="0" w:header="0"/>
          <w:type w:val="continuous"/>
        </w:sectPr>
      </w:pPr>
    </w:p>
    <w:bookmarkStart w:id="106" w:name="page107"/>
    <w:bookmarkEnd w:id="10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tc>
      </w:tr>
      <w:tr>
        <w:trPr>
          <w:trHeight w:val="445"/>
        </w:trPr>
        <w:tc>
          <w:tcPr>
            <w:tcW w:w="10060" w:type="dxa"/>
            <w:vAlign w:val="bottom"/>
            <w:gridSpan w:val="13"/>
          </w:tcPr>
          <w:p>
            <w:pPr>
              <w:ind w:left="760"/>
              <w:spacing w:after="0"/>
              <w:rPr>
                <w:sz w:val="20"/>
                <w:szCs w:val="20"/>
                <w:color w:val="auto"/>
              </w:rPr>
            </w:pPr>
            <w:r>
              <w:rPr>
                <w:rFonts w:ascii="Times New Roman" w:cs="Times New Roman" w:eastAsia="Times New Roman" w:hAnsi="Times New Roman"/>
                <w:sz w:val="18"/>
                <w:szCs w:val="18"/>
                <w:color w:val="auto"/>
              </w:rPr>
              <w:t>The following table presents the Bank’s actual and required capital amounts and ratios as of December 31, 2022.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Required to be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Minimum Capital</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Considered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Actual</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Required</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Well-Capitalized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(000's)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(000's)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(000's)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60" w:type="dxa"/>
            <w:vAlign w:val="bottom"/>
          </w:tcPr>
          <w:p>
            <w:pPr>
              <w:spacing w:after="0"/>
              <w:rPr>
                <w:sz w:val="21"/>
                <w:szCs w:val="21"/>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Ratio</w:t>
            </w:r>
          </w:p>
        </w:tc>
        <w:tc>
          <w:tcPr>
            <w:tcW w:w="260" w:type="dxa"/>
            <w:vAlign w:val="bottom"/>
          </w:tcPr>
          <w:p>
            <w:pPr>
              <w:spacing w:after="0"/>
              <w:rPr>
                <w:sz w:val="21"/>
                <w:szCs w:val="21"/>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1"/>
                <w:szCs w:val="21"/>
                <w:color w:val="auto"/>
              </w:rPr>
            </w:pP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Ratio</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1"/>
                <w:szCs w:val="21"/>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Ratio</w:t>
            </w:r>
          </w:p>
        </w:tc>
      </w:tr>
      <w:tr>
        <w:trPr>
          <w:trHeight w:val="205"/>
        </w:trPr>
        <w:tc>
          <w:tcPr>
            <w:tcW w:w="29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Equity Tier 1 Capital</w:t>
            </w:r>
          </w:p>
        </w:tc>
        <w:tc>
          <w:tcPr>
            <w:tcW w:w="2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259,510</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11.15 %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104,763</w:t>
            </w:r>
          </w:p>
        </w:tc>
        <w:tc>
          <w:tcPr>
            <w:tcW w:w="140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w w:val="99"/>
              </w:rPr>
              <w:t>4.50 %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151,324</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57"/>
        </w:trPr>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1"/>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Risk-Based Capital</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281,085</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12.07 %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186,245</w:t>
            </w:r>
          </w:p>
        </w:tc>
        <w:tc>
          <w:tcPr>
            <w:tcW w:w="13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232,806</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7"/>
        </w:trPr>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1"/>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Capital</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259,510</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11.15 %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139,684</w:t>
            </w:r>
          </w:p>
        </w:tc>
        <w:tc>
          <w:tcPr>
            <w:tcW w:w="13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186,245</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57"/>
        </w:trPr>
        <w:tc>
          <w:tcPr>
            <w:tcW w:w="2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1"/>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Tier 1 Leverage Capital</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Adjusted Total Assets):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Farmers &amp; Merchants State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259,510</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9.03 %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13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143,714</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above tables exclude the capital conservation buffer requirements.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Restrictions of Dividends &amp; Inter-company Borrowings</w:t>
      </w:r>
    </w:p>
    <w:p>
      <w:pPr>
        <w:spacing w:after="0" w:line="121"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and excluding the $40 million of a special one time dividend approved by the Federal Reserve for the acquisition of Perpetual Federal Saving Bank in 2022, dividends of $47.4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Derivative Financial Instruments</w:t>
      </w:r>
    </w:p>
    <w:p>
      <w:pPr>
        <w:spacing w:after="0" w:line="121"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76"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79" w:right="27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December 31, 2023. There were no interest rate swaps during the year ending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6"/>
          </w:tcPr>
          <w:p>
            <w:pPr>
              <w:ind w:left="12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Cumulative Amount of</w:t>
            </w:r>
          </w:p>
        </w:tc>
        <w:tc>
          <w:tcPr>
            <w:tcW w:w="100" w:type="dxa"/>
            <w:vAlign w:val="bottom"/>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Fair Value Hedging</w:t>
            </w:r>
          </w:p>
        </w:tc>
      </w:tr>
      <w:tr>
        <w:trPr>
          <w:trHeight w:val="216"/>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Adjustment Included in</w:t>
            </w:r>
          </w:p>
        </w:tc>
      </w:tr>
      <w:tr>
        <w:trPr>
          <w:trHeight w:val="216"/>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 Amount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the Carrying Amount of</w:t>
            </w:r>
          </w:p>
        </w:tc>
      </w:tr>
      <w:tr>
        <w:trPr>
          <w:trHeight w:val="241"/>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the Hedged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the Hedged Assets</w:t>
            </w:r>
          </w:p>
        </w:tc>
      </w:tr>
      <w:tr>
        <w:trPr>
          <w:trHeight w:val="239"/>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 is Included</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r>
      <w:tr>
        <w:trPr>
          <w:trHeight w:val="241"/>
        </w:trPr>
        <w:tc>
          <w:tcPr>
            <w:tcW w:w="7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276,991</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jc w:val="both"/>
        <w:ind w:left="76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interest rate swap derivatives designated as fair value accounting hedges of fixed-rate receivables used in the Bank's asset/liability management activities at December 31, 2023, identified by the underlying interest rate-sensitive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45020" cy="1024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5020" cy="102425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Value (000's)</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(000's)</w:t>
            </w:r>
          </w:p>
        </w:tc>
        <w:tc>
          <w:tcPr>
            <w:tcW w:w="220" w:type="dxa"/>
            <w:vAlign w:val="bottom"/>
          </w:tcPr>
          <w:p>
            <w:pPr>
              <w:spacing w:after="0"/>
              <w:rPr>
                <w:sz w:val="20"/>
                <w:szCs w:val="20"/>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Pay</w:t>
            </w:r>
          </w:p>
        </w:tc>
      </w:tr>
      <w:tr>
        <w:trPr>
          <w:trHeight w:val="211"/>
        </w:trPr>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2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05"/>
        </w:trPr>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swap portfolio at December 31,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2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$2.8 million of cash collateral to counterparties as security for its obligations related to these interest rate swap transactions at December 31, 2023 which yielded $144 thousand of other interest income. Collateral posted and received is dependent on the market valuation of the underlying hedges.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Notional Amount</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2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7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2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7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7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76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4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-1876425</wp:posOffset>
            </wp:positionV>
            <wp:extent cx="7683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-1224915</wp:posOffset>
            </wp:positionV>
            <wp:extent cx="7683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779" w:right="27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43"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year ended December 31, 2023.</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Pr>
          <w:p>
            <w:pPr>
              <w:spacing w:after="0"/>
              <w:rPr>
                <w:sz w:val="20"/>
                <w:szCs w:val="20"/>
                <w:color w:val="auto"/>
              </w:rPr>
            </w:pPr>
          </w:p>
        </w:tc>
      </w:tr>
      <w:tr>
        <w:trPr>
          <w:trHeight w:val="241"/>
        </w:trPr>
        <w:tc>
          <w:tcPr>
            <w:tcW w:w="71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including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r>
      <w:tr>
        <w:trPr>
          <w:trHeight w:val="243"/>
        </w:trPr>
        <w:tc>
          <w:tcPr>
            <w:tcW w:w="71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interest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Fair Value of Financial Instruments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December 31, 2023 and 2022, are reflected below. The aggregate fair values in the table below do not represent the total market value of the Bank’s assets and liabilities. The table excludes the following: Bank Premises and Equipment, Goodwill, Loan Servicing Rights, Other Real Estate Owned, Other Assets, Other Liabilities and Accrued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right"/>
              <w:ind w:right="275"/>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2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December 31, 2023</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December 31, 2022</w:t>
            </w: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Fair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Fair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3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8"/>
              </w:rPr>
              <w:t>Value</w:t>
            </w:r>
          </w:p>
        </w:tc>
        <w:tc>
          <w:tcPr>
            <w:tcW w:w="240" w:type="dxa"/>
            <w:vAlign w:val="bottom"/>
          </w:tcPr>
          <w:p>
            <w:pPr>
              <w:spacing w:after="0"/>
              <w:rPr>
                <w:sz w:val="20"/>
                <w:szCs w:val="20"/>
                <w:color w:val="auto"/>
              </w:rPr>
            </w:pPr>
          </w:p>
        </w:tc>
        <w:tc>
          <w:tcPr>
            <w:tcW w:w="7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Value</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Level 3</w:t>
            </w:r>
          </w:p>
        </w:tc>
      </w:tr>
      <w:tr>
        <w:trPr>
          <w:trHeight w:val="22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4"/>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142,20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142,20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142,20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02"/>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Interest-bearing time</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deposits</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194"/>
        </w:trPr>
        <w:tc>
          <w:tcPr>
            <w:tcW w:w="23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Securities - available-for-</w:t>
            </w: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358,47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358,47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256,11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390,78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390,78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292,76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94,678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100" w:type="dxa"/>
            <w:vAlign w:val="bottom"/>
          </w:tcPr>
          <w:p>
            <w:pPr>
              <w:spacing w:after="0"/>
              <w:rPr>
                <w:sz w:val="20"/>
                <w:szCs w:val="20"/>
                <w:color w:val="auto"/>
              </w:rPr>
            </w:pPr>
          </w:p>
        </w:tc>
      </w:tr>
      <w:tr>
        <w:trPr>
          <w:trHeight w:val="237"/>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securities</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17,138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17,138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17,138</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9,799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9,799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9,799</w:t>
            </w:r>
          </w:p>
        </w:tc>
        <w:tc>
          <w:tcPr>
            <w:tcW w:w="100" w:type="dxa"/>
            <w:vAlign w:val="bottom"/>
            <w:shd w:val="clear" w:color="auto" w:fill="CFF0FC"/>
          </w:tcPr>
          <w:p>
            <w:pPr>
              <w:spacing w:after="0"/>
              <w:rPr>
                <w:sz w:val="20"/>
                <w:szCs w:val="20"/>
                <w:color w:val="auto"/>
              </w:rPr>
            </w:pPr>
          </w:p>
        </w:tc>
      </w:tr>
      <w:tr>
        <w:trPr>
          <w:trHeight w:val="226"/>
        </w:trPr>
        <w:tc>
          <w:tcPr>
            <w:tcW w:w="2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Loans held for sale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100" w:type="dxa"/>
            <w:vAlign w:val="bottom"/>
          </w:tcPr>
          <w:p>
            <w:pPr>
              <w:spacing w:after="0"/>
              <w:rPr>
                <w:sz w:val="19"/>
                <w:szCs w:val="19"/>
                <w:color w:val="auto"/>
              </w:rPr>
            </w:pPr>
          </w:p>
        </w:tc>
      </w:tr>
      <w:tr>
        <w:trPr>
          <w:trHeight w:val="198"/>
        </w:trPr>
        <w:tc>
          <w:tcPr>
            <w:tcW w:w="2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2,556,1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2,396,5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2,396,5</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2,336,0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2,171,1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2,171,1</w:t>
            </w:r>
          </w:p>
        </w:tc>
        <w:tc>
          <w:tcPr>
            <w:tcW w:w="100" w:type="dxa"/>
            <w:vAlign w:val="bottom"/>
            <w:shd w:val="clear" w:color="auto" w:fill="CFF0FC"/>
          </w:tcPr>
          <w:p>
            <w:pPr>
              <w:spacing w:after="0"/>
              <w:rPr>
                <w:sz w:val="17"/>
                <w:szCs w:val="17"/>
                <w:color w:val="auto"/>
              </w:rPr>
            </w:pPr>
          </w:p>
        </w:tc>
      </w:tr>
      <w:tr>
        <w:trPr>
          <w:trHeight w:val="238"/>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Loans, net</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FF0FC"/>
          </w:tcPr>
          <w:p>
            <w:pPr>
              <w:spacing w:after="0"/>
              <w:rPr>
                <w:sz w:val="20"/>
                <w:szCs w:val="20"/>
                <w:color w:val="auto"/>
              </w:rPr>
            </w:pPr>
          </w:p>
        </w:tc>
      </w:tr>
      <w:tr>
        <w:trPr>
          <w:trHeight w:val="226"/>
        </w:trPr>
        <w:tc>
          <w:tcPr>
            <w:tcW w:w="2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receivable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11,774</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10,440</w:t>
            </w:r>
          </w:p>
        </w:tc>
        <w:tc>
          <w:tcPr>
            <w:tcW w:w="100" w:type="dxa"/>
            <w:vAlign w:val="bottom"/>
          </w:tcPr>
          <w:p>
            <w:pPr>
              <w:spacing w:after="0"/>
              <w:rPr>
                <w:sz w:val="19"/>
                <w:szCs w:val="19"/>
                <w:color w:val="auto"/>
              </w:rPr>
            </w:pPr>
          </w:p>
        </w:tc>
      </w:tr>
      <w:tr>
        <w:trPr>
          <w:trHeight w:val="233"/>
        </w:trPr>
        <w:tc>
          <w:tcPr>
            <w:tcW w:w="2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1,415,9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1,416,0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1,416,0</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1,378,0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1,377,9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1,377,9</w:t>
            </w:r>
          </w:p>
        </w:tc>
        <w:tc>
          <w:tcPr>
            <w:tcW w:w="100" w:type="dxa"/>
            <w:vAlign w:val="bottom"/>
            <w:shd w:val="clear" w:color="auto" w:fill="CFF0FC"/>
          </w:tcPr>
          <w:p>
            <w:pPr>
              <w:spacing w:after="0"/>
              <w:rPr>
                <w:sz w:val="17"/>
                <w:szCs w:val="17"/>
                <w:color w:val="auto"/>
              </w:rPr>
            </w:pPr>
          </w:p>
        </w:tc>
      </w:tr>
      <w:tr>
        <w:trPr>
          <w:trHeight w:val="238"/>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right w:val="single" w:sz="8" w:color="auto"/>
            </w:tcBorders>
            <w:shd w:val="clear" w:color="auto" w:fill="CFF0FC"/>
          </w:tcPr>
          <w:p>
            <w:pPr>
              <w:spacing w:after="0"/>
              <w:rPr>
                <w:sz w:val="20"/>
                <w:szCs w:val="20"/>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FF0FC"/>
          </w:tcPr>
          <w:p>
            <w:pPr>
              <w:spacing w:after="0"/>
              <w:rPr>
                <w:sz w:val="20"/>
                <w:szCs w:val="20"/>
                <w:color w:val="auto"/>
              </w:rPr>
            </w:pPr>
          </w:p>
        </w:tc>
      </w:tr>
      <w:tr>
        <w:trPr>
          <w:trHeight w:val="194"/>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528,46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528,46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528,46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532,79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532,79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532,79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02"/>
        </w:trPr>
        <w:tc>
          <w:tcPr>
            <w:tcW w:w="2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663,01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656,14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656,14</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557,98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543,73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543,73</w:t>
            </w:r>
          </w:p>
        </w:tc>
        <w:tc>
          <w:tcPr>
            <w:tcW w:w="100" w:type="dxa"/>
            <w:vAlign w:val="bottom"/>
            <w:shd w:val="clear" w:color="auto" w:fill="CFF0FC"/>
          </w:tcPr>
          <w:p>
            <w:pPr>
              <w:spacing w:after="0"/>
              <w:rPr>
                <w:sz w:val="17"/>
                <w:szCs w:val="17"/>
                <w:color w:val="auto"/>
              </w:rPr>
            </w:pPr>
          </w:p>
        </w:tc>
      </w:tr>
      <w:tr>
        <w:trPr>
          <w:trHeight w:val="237"/>
        </w:trPr>
        <w:tc>
          <w:tcPr>
            <w:tcW w:w="2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Time deposits</w:t>
            </w:r>
          </w:p>
        </w:tc>
        <w:tc>
          <w:tcPr>
            <w:tcW w:w="1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9"/>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2,607,4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2,600,6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528,46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7"/>
              </w:rPr>
              <w:t>2,072,1</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7"/>
              </w:rPr>
              <w:t>2,468,8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7"/>
              </w:rPr>
              <w:t>2,454,4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532,79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1,921,6</w:t>
            </w:r>
          </w:p>
        </w:tc>
        <w:tc>
          <w:tcPr>
            <w:tcW w:w="100" w:type="dxa"/>
            <w:vAlign w:val="bottom"/>
          </w:tcPr>
          <w:p>
            <w:pPr>
              <w:spacing w:after="0"/>
              <w:rPr>
                <w:sz w:val="16"/>
                <w:szCs w:val="16"/>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Deposits</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20"/>
                <w:szCs w:val="20"/>
                <w:color w:val="auto"/>
              </w:rPr>
            </w:pPr>
          </w:p>
        </w:tc>
      </w:tr>
      <w:tr>
        <w:trPr>
          <w:trHeight w:val="202"/>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Fed funds purchased and</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3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securities sold under</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3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agreement to repurchase</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28,218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28,218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28,218</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100" w:type="dxa"/>
            <w:vAlign w:val="bottom"/>
            <w:shd w:val="clear" w:color="auto" w:fill="CFF0FC"/>
          </w:tcPr>
          <w:p>
            <w:pPr>
              <w:spacing w:after="0"/>
              <w:rPr>
                <w:sz w:val="20"/>
                <w:szCs w:val="20"/>
                <w:color w:val="auto"/>
              </w:rPr>
            </w:pPr>
          </w:p>
        </w:tc>
      </w:tr>
      <w:tr>
        <w:trPr>
          <w:trHeight w:val="194"/>
        </w:trPr>
        <w:tc>
          <w:tcPr>
            <w:tcW w:w="234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Federal Home Loan Bank</w:t>
            </w: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265,75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260,40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260,40</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127,48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125,76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125,76</w:t>
            </w:r>
          </w:p>
        </w:tc>
        <w:tc>
          <w:tcPr>
            <w:tcW w:w="100" w:type="dxa"/>
            <w:vAlign w:val="bottom"/>
          </w:tcPr>
          <w:p>
            <w:pPr>
              <w:spacing w:after="0"/>
              <w:rPr>
                <w:sz w:val="16"/>
                <w:szCs w:val="16"/>
                <w:color w:val="auto"/>
              </w:rPr>
            </w:pPr>
          </w:p>
        </w:tc>
      </w:tr>
      <w:tr>
        <w:trPr>
          <w:trHeight w:val="230"/>
        </w:trPr>
        <w:tc>
          <w:tcPr>
            <w:tcW w:w="2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advances</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r>
      <w:tr>
        <w:trPr>
          <w:trHeight w:val="237"/>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borrowings</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226"/>
        </w:trPr>
        <w:tc>
          <w:tcPr>
            <w:tcW w:w="2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Subordinated notes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233"/>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payable</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5,441</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-1396365</wp:posOffset>
            </wp:positionV>
            <wp:extent cx="7747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-1396365</wp:posOffset>
            </wp:positionV>
            <wp:extent cx="7683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-1396365</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-1396365</wp:posOffset>
            </wp:positionV>
            <wp:extent cx="6858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-1396365</wp:posOffset>
            </wp:positionV>
            <wp:extent cx="685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-1396365</wp:posOffset>
            </wp:positionV>
            <wp:extent cx="685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-1396365</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-1396365</wp:posOffset>
            </wp:positionV>
            <wp:extent cx="6858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-1396365</wp:posOffset>
            </wp:positionV>
            <wp:extent cx="6858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measured at fair value on a recurring basis at December 31, 2023 and 2022, and the valuation techniques used by the Company to determine those fair values. There were no changes to valuation techniques during 2023.</w:t>
      </w:r>
    </w:p>
    <w:p>
      <w:pPr>
        <w:spacing w:after="0" w:line="176"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Available-for-sale securities - When quoted prices are available in an active market, securities are valued using the quoted price and are classified as Level 1. The quoted prices are not adjusted.</w:t>
      </w:r>
    </w:p>
    <w:p>
      <w:pPr>
        <w:spacing w:after="0" w:line="162"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76"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83"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ten local municipals that the Bank evaluates based on the credit strength of the underlying project. The fair value is determined by valuing similar credit payment streams at similar rates.</w:t>
      </w:r>
    </w:p>
    <w:p>
      <w:pPr>
        <w:spacing w:after="0" w:line="17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assets measured at fair value on a recurring basis as of December 31, 2023 and December 31, 2022 segregated by level or the valuation inputs within the fair value hierarchy utilized to measure fair value.</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Recurring Basis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Significant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Active Markets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for Identical</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Inputs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Inputs</w:t>
            </w:r>
          </w:p>
        </w:tc>
        <w:tc>
          <w:tcPr>
            <w:tcW w:w="1120" w:type="dxa"/>
            <w:vAlign w:val="bottom"/>
          </w:tcPr>
          <w:p>
            <w:pPr>
              <w:spacing w:after="0"/>
              <w:rPr>
                <w:sz w:val="21"/>
                <w:szCs w:val="21"/>
                <w:color w:val="auto"/>
              </w:rPr>
            </w:pPr>
          </w:p>
        </w:tc>
      </w:tr>
      <w:tr>
        <w:trPr>
          <w:trHeight w:val="256"/>
        </w:trPr>
        <w:tc>
          <w:tcPr>
            <w:tcW w:w="1140" w:type="dxa"/>
            <w:vAlign w:val="bottom"/>
          </w:tcPr>
          <w:p>
            <w:pPr>
              <w:spacing w:after="0"/>
              <w:rPr>
                <w:sz w:val="22"/>
                <w:szCs w:val="22"/>
                <w:color w:val="auto"/>
              </w:rPr>
            </w:pPr>
          </w:p>
        </w:tc>
        <w:tc>
          <w:tcPr>
            <w:tcW w:w="3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2"/>
                <w:szCs w:val="22"/>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3)</w:t>
            </w:r>
          </w:p>
        </w:tc>
        <w:tc>
          <w:tcPr>
            <w:tcW w:w="1120" w:type="dxa"/>
            <w:vAlign w:val="bottom"/>
          </w:tcPr>
          <w:p>
            <w:pPr>
              <w:spacing w:after="0"/>
              <w:rPr>
                <w:sz w:val="22"/>
                <w:szCs w:val="22"/>
                <w:color w:val="auto"/>
              </w:rPr>
            </w:pPr>
          </w:p>
        </w:tc>
      </w:tr>
      <w:tr>
        <w:trPr>
          <w:trHeight w:val="237"/>
        </w:trPr>
        <w:tc>
          <w:tcPr>
            <w:tcW w:w="114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Assets-(Securities Available-for-Sale)</w:t>
            </w:r>
          </w:p>
        </w:tc>
        <w:tc>
          <w:tcPr>
            <w:tcW w:w="1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80,270</w:t>
            </w:r>
          </w:p>
        </w:tc>
        <w:tc>
          <w:tcPr>
            <w:tcW w:w="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65,394</w:t>
            </w: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2"/>
        </w:trPr>
        <w:tc>
          <w:tcPr>
            <w:tcW w:w="114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220" w:type="dxa"/>
            <w:vAlign w:val="bottom"/>
          </w:tcPr>
          <w:p>
            <w:pPr>
              <w:spacing w:after="0"/>
              <w:rPr>
                <w:sz w:val="20"/>
                <w:szCs w:val="20"/>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(2,679 )</w:t>
            </w: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62"/>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Active Markets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Observable</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for Identical</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Inputs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Inputs</w:t>
            </w:r>
          </w:p>
        </w:tc>
        <w:tc>
          <w:tcPr>
            <w:tcW w:w="1120" w:type="dxa"/>
            <w:vAlign w:val="bottom"/>
          </w:tcPr>
          <w:p>
            <w:pPr>
              <w:spacing w:after="0"/>
              <w:rPr>
                <w:sz w:val="21"/>
                <w:szCs w:val="21"/>
                <w:color w:val="auto"/>
              </w:rPr>
            </w:pPr>
          </w:p>
        </w:tc>
      </w:tr>
      <w:tr>
        <w:trPr>
          <w:trHeight w:val="256"/>
        </w:trPr>
        <w:tc>
          <w:tcPr>
            <w:tcW w:w="1140" w:type="dxa"/>
            <w:vAlign w:val="bottom"/>
          </w:tcPr>
          <w:p>
            <w:pPr>
              <w:spacing w:after="0"/>
              <w:rPr>
                <w:sz w:val="22"/>
                <w:szCs w:val="22"/>
                <w:color w:val="auto"/>
              </w:rPr>
            </w:pPr>
          </w:p>
        </w:tc>
        <w:tc>
          <w:tcPr>
            <w:tcW w:w="38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c>
          <w:tcPr>
            <w:tcW w:w="1120" w:type="dxa"/>
            <w:vAlign w:val="bottom"/>
          </w:tcPr>
          <w:p>
            <w:pPr>
              <w:spacing w:after="0"/>
              <w:rPr>
                <w:sz w:val="22"/>
                <w:szCs w:val="22"/>
                <w:color w:val="auto"/>
              </w:rPr>
            </w:pPr>
          </w:p>
        </w:tc>
      </w:tr>
      <w:tr>
        <w:trPr>
          <w:trHeight w:val="230"/>
        </w:trPr>
        <w:tc>
          <w:tcPr>
            <w:tcW w:w="11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Assets-(Securities Available-for-Sale)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94,678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139,767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66,072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94,678</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292,766</w:t>
            </w: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49"/>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13"/>
          </w:tcPr>
          <w:p>
            <w:pPr>
              <w:jc w:val="center"/>
              <w:ind w:right="21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11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10"/>
          </w:tcPr>
          <w:p>
            <w:pPr>
              <w:jc w:val="center"/>
              <w:ind w:left="95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Governments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rPr>
              <w:t>Governments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Governments</w:t>
            </w: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Tax-Exempt</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6"/>
              </w:rPr>
              <w:t>Taxable</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52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shd w:val="clear" w:color="auto" w:fill="CFF0FC"/>
          </w:tcPr>
          <w:p>
            <w:pPr>
              <w:spacing w:after="0"/>
              <w:rPr>
                <w:sz w:val="21"/>
                <w:szCs w:val="21"/>
                <w:color w:val="auto"/>
              </w:rPr>
            </w:pP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40" w:type="dxa"/>
            <w:vAlign w:val="bottom"/>
            <w:shd w:val="clear" w:color="auto" w:fill="CFF0FC"/>
          </w:tcPr>
          <w:p>
            <w:pPr>
              <w:spacing w:after="0"/>
              <w:rPr>
                <w:sz w:val="21"/>
                <w:szCs w:val="21"/>
                <w:color w:val="auto"/>
              </w:rPr>
            </w:pPr>
          </w:p>
        </w:tc>
        <w:tc>
          <w:tcPr>
            <w:tcW w:w="16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(921 )</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(921 )</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and Adjustments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52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shd w:val="clear" w:color="auto" w:fill="CFF0FC"/>
          </w:tcPr>
          <w:p>
            <w:pPr>
              <w:spacing w:after="0"/>
              <w:rPr>
                <w:sz w:val="24"/>
                <w:szCs w:val="24"/>
                <w:color w:val="auto"/>
              </w:rPr>
            </w:pPr>
          </w:p>
        </w:tc>
        <w:tc>
          <w:tcPr>
            <w:tcW w:w="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844"/>
        </w:trPr>
        <w:tc>
          <w:tcPr>
            <w:tcW w:w="1140" w:type="dxa"/>
            <w:vAlign w:val="bottom"/>
          </w:tcPr>
          <w:p>
            <w:pPr>
              <w:spacing w:after="0"/>
              <w:rPr>
                <w:sz w:val="24"/>
                <w:szCs w:val="24"/>
                <w:color w:val="auto"/>
              </w:rPr>
            </w:pPr>
          </w:p>
        </w:tc>
        <w:tc>
          <w:tcPr>
            <w:tcW w:w="38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-5554345</wp:posOffset>
            </wp:positionV>
            <wp:extent cx="6032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-5554345</wp:posOffset>
            </wp:positionV>
            <wp:extent cx="5143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-5554345</wp:posOffset>
            </wp:positionV>
            <wp:extent cx="5143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-3402330</wp:posOffset>
            </wp:positionV>
            <wp:extent cx="6032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-3385185</wp:posOffset>
            </wp:positionV>
            <wp:extent cx="6032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-3402330</wp:posOffset>
            </wp:positionV>
            <wp:extent cx="5143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-3385185</wp:posOffset>
            </wp:positionV>
            <wp:extent cx="5143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-3402330</wp:posOffset>
            </wp:positionV>
            <wp:extent cx="5143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-3385185</wp:posOffset>
            </wp:positionV>
            <wp:extent cx="5143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-1062355</wp:posOffset>
            </wp:positionV>
            <wp:extent cx="6032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-1045210</wp:posOffset>
            </wp:positionV>
            <wp:extent cx="6032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-1062355</wp:posOffset>
            </wp:positionV>
            <wp:extent cx="5143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-1045210</wp:posOffset>
            </wp:positionV>
            <wp:extent cx="5143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-1062355</wp:posOffset>
            </wp:positionV>
            <wp:extent cx="5143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-1045210</wp:posOffset>
            </wp:positionV>
            <wp:extent cx="5143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56"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20"/>
                <w:szCs w:val="20"/>
                <w:color w:val="auto"/>
              </w:rPr>
            </w:pPr>
          </w:p>
        </w:tc>
      </w:tr>
      <w:tr>
        <w:trPr>
          <w:trHeight w:val="245"/>
        </w:trPr>
        <w:tc>
          <w:tcPr>
            <w:tcW w:w="3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6"/>
          </w:tcPr>
          <w:p>
            <w:pPr>
              <w:jc w:val="center"/>
              <w:ind w:left="10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13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14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20"/>
                <w:szCs w:val="20"/>
                <w:color w:val="auto"/>
              </w:rPr>
            </w:pPr>
          </w:p>
        </w:tc>
      </w:tr>
      <w:tr>
        <w:trPr>
          <w:trHeight w:val="238"/>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Governments</w:t>
            </w:r>
          </w:p>
        </w:tc>
        <w:tc>
          <w:tcPr>
            <w:tcW w:w="140" w:type="dxa"/>
            <w:vAlign w:val="bottom"/>
          </w:tcPr>
          <w:p>
            <w:pPr>
              <w:spacing w:after="0"/>
              <w:rPr>
                <w:sz w:val="20"/>
                <w:szCs w:val="20"/>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Governments</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Governments</w:t>
            </w:r>
          </w:p>
        </w:tc>
      </w:tr>
      <w:tr>
        <w:trPr>
          <w:trHeight w:val="250"/>
        </w:trPr>
        <w:tc>
          <w:tcPr>
            <w:tcW w:w="3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Tax-Exempt</w:t>
            </w:r>
          </w:p>
        </w:tc>
        <w:tc>
          <w:tcPr>
            <w:tcW w:w="14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Taxable</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4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shd w:val="clear" w:color="auto" w:fill="CFF0FC"/>
          </w:tcPr>
          <w:p>
            <w:pPr>
              <w:spacing w:after="0"/>
              <w:rPr>
                <w:sz w:val="21"/>
                <w:szCs w:val="2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(203 )</w:t>
            </w:r>
          </w:p>
        </w:tc>
        <w:tc>
          <w:tcPr>
            <w:tcW w:w="14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(279 )</w:t>
            </w: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(160 )</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and Adjustments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(989 )</w:t>
            </w:r>
          </w:p>
        </w:tc>
        <w:tc>
          <w:tcPr>
            <w:tcW w:w="14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(989 )</w:t>
            </w:r>
          </w:p>
        </w:tc>
      </w:tr>
      <w:tr>
        <w:trPr>
          <w:trHeight w:val="276"/>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-25400</wp:posOffset>
            </wp:positionV>
            <wp:extent cx="6032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-7620</wp:posOffset>
            </wp:positionV>
            <wp:extent cx="6032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-25400</wp:posOffset>
            </wp:positionV>
            <wp:extent cx="5143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-7620</wp:posOffset>
            </wp:positionV>
            <wp:extent cx="5143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-25400</wp:posOffset>
            </wp:positionV>
            <wp:extent cx="5143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-7620</wp:posOffset>
            </wp:positionV>
            <wp:extent cx="5143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There were no securities that transferred in or out of Level 3 during 2023; however, there was one security transferred out of Level 3 to Level 2 in 2022.</w:t>
      </w:r>
    </w:p>
    <w:p>
      <w:pPr>
        <w:spacing w:after="0" w:line="162"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December 31, 2023, such assets consist of collateral dependent loans and loan servicing rights. Collateral dependent loans categorized as Level 3 assets consist of non-homogeneous loans that have expected credit losses. At December 31, 2022, such assets consist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89"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At December 31, 2023, collateral dependent loans categorized as Level 3 were $22.7 million compared with collateral dependent impaired loans categorized as Level 3 of $2.7 million at December 31, 2022. The specific allocation for collateral dependent loans was $386 thousand as of December 31, 2023 and $2.0 million for collateral dependent impaired loans as of December 31, 2022. The specific allocations are accounted for in the allowance for credit losses (see Note 4).</w:t>
      </w:r>
    </w:p>
    <w:p>
      <w:pPr>
        <w:spacing w:after="0" w:line="180"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During 2023, impairment of $7 thousand ($2 thousand on 1-4 family real estate loans and $5 thousand on agricultural real estate loans) was recognized on loan servicing rights based upon the independent third party’s quarterly valuations.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There was no valuation allowance needed in 2022 as all strata were positive.</w:t>
      </w:r>
    </w:p>
    <w:p>
      <w:pPr>
        <w:spacing w:after="0" w:line="183"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9" w:right="33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assets measured at fair value on a nonrecurring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 in Thousands)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22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380" w:type="dxa"/>
            <w:vAlign w:val="bottom"/>
            <w:tcBorders>
              <w:bottom w:val="single" w:sz="8" w:color="auto"/>
            </w:tcBorders>
            <w:gridSpan w:val="10"/>
          </w:tcPr>
          <w:p>
            <w:pPr>
              <w:jc w:val="center"/>
              <w:ind w:right="139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2023</w:t>
            </w:r>
          </w:p>
        </w:tc>
        <w:tc>
          <w:tcPr>
            <w:tcW w:w="100" w:type="dxa"/>
            <w:vAlign w:val="bottom"/>
          </w:tcPr>
          <w:p>
            <w:pPr>
              <w:spacing w:after="0"/>
              <w:rPr>
                <w:sz w:val="20"/>
                <w:szCs w:val="20"/>
                <w:color w:val="auto"/>
              </w:rPr>
            </w:pPr>
          </w:p>
        </w:tc>
      </w:tr>
      <w:tr>
        <w:trPr>
          <w:trHeight w:val="232"/>
        </w:trPr>
        <w:tc>
          <w:tcPr>
            <w:tcW w:w="2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2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Markets for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Significant</w:t>
            </w:r>
          </w:p>
        </w:tc>
      </w:tr>
      <w:tr>
        <w:trPr>
          <w:trHeight w:val="243"/>
        </w:trPr>
        <w:tc>
          <w:tcPr>
            <w:tcW w:w="2280" w:type="dxa"/>
            <w:vAlign w:val="bottom"/>
          </w:tcPr>
          <w:p>
            <w:pPr>
              <w:spacing w:after="0"/>
              <w:rPr>
                <w:sz w:val="21"/>
                <w:szCs w:val="21"/>
                <w:color w:val="auto"/>
              </w:rPr>
            </w:pPr>
          </w:p>
        </w:tc>
        <w:tc>
          <w:tcPr>
            <w:tcW w:w="14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Balance at</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Identical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Observable Inputs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50"/>
        </w:trPr>
        <w:tc>
          <w:tcPr>
            <w:tcW w:w="2280" w:type="dxa"/>
            <w:vAlign w:val="bottom"/>
          </w:tcPr>
          <w:p>
            <w:pPr>
              <w:spacing w:after="0"/>
              <w:rPr>
                <w:sz w:val="21"/>
                <w:szCs w:val="21"/>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1"/>
                <w:szCs w:val="21"/>
                <w:color w:val="auto"/>
              </w:rPr>
            </w:pPr>
          </w:p>
        </w:tc>
        <w:tc>
          <w:tcPr>
            <w:tcW w:w="1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(Level 3)</w:t>
            </w:r>
          </w:p>
        </w:tc>
      </w:tr>
      <w:tr>
        <w:trPr>
          <w:trHeight w:val="211"/>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4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148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2040" w:type="dxa"/>
            <w:vAlign w:val="bottom"/>
            <w:gridSpan w:val="2"/>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100" w:type="dxa"/>
            <w:vAlign w:val="bottom"/>
            <w:shd w:val="clear" w:color="auto" w:fill="CFF0FC"/>
          </w:tcPr>
          <w:p>
            <w:pPr>
              <w:spacing w:after="0"/>
              <w:rPr>
                <w:sz w:val="21"/>
                <w:szCs w:val="21"/>
                <w:color w:val="auto"/>
              </w:rPr>
            </w:pPr>
          </w:p>
        </w:tc>
      </w:tr>
      <w:tr>
        <w:trPr>
          <w:trHeight w:val="21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w:t>
            </w:r>
          </w:p>
        </w:tc>
        <w:tc>
          <w:tcPr>
            <w:tcW w:w="1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682"/>
        </w:trPr>
        <w:tc>
          <w:tcPr>
            <w:tcW w:w="22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 in Thousands)</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22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380" w:type="dxa"/>
            <w:vAlign w:val="bottom"/>
            <w:tcBorders>
              <w:bottom w:val="single" w:sz="8" w:color="auto"/>
            </w:tcBorders>
            <w:gridSpan w:val="10"/>
          </w:tcPr>
          <w:p>
            <w:pPr>
              <w:jc w:val="center"/>
              <w:ind w:right="139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2022</w:t>
            </w:r>
          </w:p>
        </w:tc>
        <w:tc>
          <w:tcPr>
            <w:tcW w:w="100" w:type="dxa"/>
            <w:vAlign w:val="bottom"/>
          </w:tcPr>
          <w:p>
            <w:pPr>
              <w:spacing w:after="0"/>
              <w:rPr>
                <w:sz w:val="20"/>
                <w:szCs w:val="20"/>
                <w:color w:val="auto"/>
              </w:rPr>
            </w:pPr>
          </w:p>
        </w:tc>
      </w:tr>
      <w:tr>
        <w:trPr>
          <w:trHeight w:val="232"/>
        </w:trPr>
        <w:tc>
          <w:tcPr>
            <w:tcW w:w="2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2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Markets for</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Significant</w:t>
            </w:r>
          </w:p>
        </w:tc>
      </w:tr>
      <w:tr>
        <w:trPr>
          <w:trHeight w:val="243"/>
        </w:trPr>
        <w:tc>
          <w:tcPr>
            <w:tcW w:w="2280" w:type="dxa"/>
            <w:vAlign w:val="bottom"/>
          </w:tcPr>
          <w:p>
            <w:pPr>
              <w:spacing w:after="0"/>
              <w:rPr>
                <w:sz w:val="21"/>
                <w:szCs w:val="21"/>
                <w:color w:val="auto"/>
              </w:rPr>
            </w:pPr>
          </w:p>
        </w:tc>
        <w:tc>
          <w:tcPr>
            <w:tcW w:w="14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Balance at</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Identical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Observable Inputs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50"/>
        </w:trPr>
        <w:tc>
          <w:tcPr>
            <w:tcW w:w="2280" w:type="dxa"/>
            <w:vAlign w:val="bottom"/>
          </w:tcPr>
          <w:p>
            <w:pPr>
              <w:spacing w:after="0"/>
              <w:rPr>
                <w:sz w:val="21"/>
                <w:szCs w:val="21"/>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tcPr>
          <w:p>
            <w:pPr>
              <w:spacing w:after="0"/>
              <w:rPr>
                <w:sz w:val="21"/>
                <w:szCs w:val="21"/>
                <w:color w:val="auto"/>
              </w:rPr>
            </w:pPr>
          </w:p>
        </w:tc>
        <w:tc>
          <w:tcPr>
            <w:tcW w:w="1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(Level 3)</w:t>
            </w:r>
          </w:p>
        </w:tc>
      </w:tr>
      <w:tr>
        <w:trPr>
          <w:trHeight w:val="211"/>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4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impaired loans</w:t>
            </w:r>
          </w:p>
        </w:tc>
        <w:tc>
          <w:tcPr>
            <w:tcW w:w="148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040" w:type="dxa"/>
            <w:vAlign w:val="bottom"/>
            <w:gridSpan w:val="2"/>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shd w:val="clear" w:color="auto" w:fill="CFF0FC"/>
          </w:tcPr>
          <w:p>
            <w:pPr>
              <w:spacing w:after="0"/>
              <w:rPr>
                <w:sz w:val="21"/>
                <w:szCs w:val="21"/>
                <w:color w:val="auto"/>
              </w:rPr>
            </w:pPr>
          </w:p>
        </w:tc>
      </w:tr>
      <w:tr>
        <w:trPr>
          <w:trHeight w:val="21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w:t>
            </w: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w:t>
            </w:r>
          </w:p>
        </w:tc>
        <w:tc>
          <w:tcPr>
            <w:tcW w:w="1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11"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94"/>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95"/>
              <w:spacing w:after="0" w:line="194" w:lineRule="exact"/>
              <w:rPr>
                <w:sz w:val="20"/>
                <w:szCs w:val="20"/>
                <w:color w:val="auto"/>
              </w:rPr>
            </w:pPr>
            <w:r>
              <w:rPr>
                <w:rFonts w:ascii="Times New Roman" w:cs="Times New Roman" w:eastAsia="Times New Roman" w:hAnsi="Times New Roman"/>
                <w:sz w:val="17"/>
                <w:szCs w:val="17"/>
                <w:color w:val="auto"/>
                <w:w w:val="99"/>
              </w:rPr>
              <w:t>Fair Value at</w:t>
            </w: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ind w:left="560"/>
              <w:spacing w:after="0" w:line="194" w:lineRule="exact"/>
              <w:rPr>
                <w:sz w:val="20"/>
                <w:szCs w:val="20"/>
                <w:color w:val="auto"/>
              </w:rPr>
            </w:pPr>
            <w:r>
              <w:rPr>
                <w:rFonts w:ascii="Times New Roman" w:cs="Times New Roman" w:eastAsia="Times New Roman" w:hAnsi="Times New Roman"/>
                <w:sz w:val="17"/>
                <w:szCs w:val="17"/>
                <w:color w:val="auto"/>
              </w:rPr>
              <w:t>Range</w:t>
            </w:r>
          </w:p>
        </w:tc>
      </w:tr>
      <w:tr>
        <w:trPr>
          <w:trHeight w:val="231"/>
        </w:trPr>
        <w:tc>
          <w:tcPr>
            <w:tcW w:w="246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20"/>
                <w:szCs w:val="20"/>
                <w:color w:val="auto"/>
              </w:rPr>
            </w:pPr>
          </w:p>
        </w:tc>
        <w:tc>
          <w:tcPr>
            <w:tcW w:w="2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Valuation Technique</w:t>
            </w:r>
          </w:p>
        </w:tc>
        <w:tc>
          <w:tcPr>
            <w:tcW w:w="140" w:type="dxa"/>
            <w:vAlign w:val="bottom"/>
          </w:tcPr>
          <w:p>
            <w:pPr>
              <w:spacing w:after="0"/>
              <w:rPr>
                <w:sz w:val="20"/>
                <w:szCs w:val="20"/>
                <w:color w:val="auto"/>
              </w:rPr>
            </w:pPr>
          </w:p>
        </w:tc>
        <w:tc>
          <w:tcPr>
            <w:tcW w:w="3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Unobservable Inputs</w:t>
            </w:r>
          </w:p>
        </w:tc>
        <w:tc>
          <w:tcPr>
            <w:tcW w:w="140" w:type="dxa"/>
            <w:vAlign w:val="bottom"/>
          </w:tcPr>
          <w:p>
            <w:pPr>
              <w:spacing w:after="0"/>
              <w:rPr>
                <w:sz w:val="20"/>
                <w:szCs w:val="20"/>
                <w:color w:val="auto"/>
              </w:rPr>
            </w:pP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(Weighted Average)</w:t>
            </w:r>
          </w:p>
        </w:tc>
      </w:tr>
      <w:tr>
        <w:trPr>
          <w:trHeight w:val="194"/>
        </w:trPr>
        <w:tc>
          <w:tcPr>
            <w:tcW w:w="246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7"/>
                <w:szCs w:val="17"/>
                <w:color w:val="auto"/>
              </w:rPr>
              <w:t>State and local</w:t>
            </w: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18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7"/>
                <w:szCs w:val="17"/>
                <w:color w:val="auto"/>
              </w:rPr>
              <w:t>Credit strength of underlying project or entity</w:t>
            </w:r>
          </w:p>
        </w:tc>
        <w:tc>
          <w:tcPr>
            <w:tcW w:w="1720" w:type="dxa"/>
            <w:vAlign w:val="bottom"/>
            <w:gridSpan w:val="2"/>
            <w:shd w:val="clear" w:color="auto" w:fill="CFF0FC"/>
          </w:tcPr>
          <w:p>
            <w:pPr>
              <w:jc w:val="center"/>
              <w:ind w:left="15"/>
              <w:spacing w:after="0" w:line="194" w:lineRule="exact"/>
              <w:rPr>
                <w:sz w:val="20"/>
                <w:szCs w:val="20"/>
                <w:color w:val="auto"/>
              </w:rPr>
            </w:pPr>
            <w:r>
              <w:rPr>
                <w:rFonts w:ascii="Times New Roman" w:cs="Times New Roman" w:eastAsia="Times New Roman" w:hAnsi="Times New Roman"/>
                <w:sz w:val="17"/>
                <w:szCs w:val="17"/>
                <w:color w:val="auto"/>
              </w:rPr>
              <w:t>-0.17-4.92%</w:t>
            </w:r>
          </w:p>
        </w:tc>
      </w:tr>
      <w:tr>
        <w:trPr>
          <w:trHeight w:val="238"/>
        </w:trPr>
        <w:tc>
          <w:tcPr>
            <w:tcW w:w="2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government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2,460</w:t>
            </w:r>
          </w:p>
        </w:tc>
        <w:tc>
          <w:tcPr>
            <w:tcW w:w="240" w:type="dxa"/>
            <w:vAlign w:val="bottom"/>
            <w:shd w:val="clear" w:color="auto" w:fill="CFF0FC"/>
          </w:tcPr>
          <w:p>
            <w:pPr>
              <w:spacing w:after="0"/>
              <w:rPr>
                <w:sz w:val="20"/>
                <w:szCs w:val="20"/>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Discounted Cash Flow</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Discount rate</w:t>
            </w:r>
          </w:p>
        </w:tc>
        <w:tc>
          <w:tcPr>
            <w:tcW w:w="1720" w:type="dxa"/>
            <w:vAlign w:val="bottom"/>
            <w:gridSpan w:val="2"/>
            <w:shd w:val="clear" w:color="auto" w:fill="CFF0FC"/>
          </w:tcPr>
          <w:p>
            <w:pPr>
              <w:jc w:val="center"/>
              <w:ind w:left="55"/>
              <w:spacing w:after="0"/>
              <w:rPr>
                <w:sz w:val="20"/>
                <w:szCs w:val="20"/>
                <w:color w:val="auto"/>
              </w:rPr>
            </w:pPr>
            <w:r>
              <w:rPr>
                <w:rFonts w:ascii="Times New Roman" w:cs="Times New Roman" w:eastAsia="Times New Roman" w:hAnsi="Times New Roman"/>
                <w:sz w:val="17"/>
                <w:szCs w:val="17"/>
                <w:color w:val="auto"/>
                <w:w w:val="97"/>
              </w:rPr>
              <w:t>(3.49%)</w:t>
            </w:r>
          </w:p>
        </w:tc>
      </w:tr>
      <w:tr>
        <w:trPr>
          <w:trHeight w:val="194"/>
        </w:trPr>
        <w:tc>
          <w:tcPr>
            <w:tcW w:w="24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Collateral dependent</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Collateral based</w:t>
            </w:r>
          </w:p>
        </w:tc>
        <w:tc>
          <w:tcPr>
            <w:tcW w:w="140" w:type="dxa"/>
            <w:vAlign w:val="bottom"/>
          </w:tcPr>
          <w:p>
            <w:pPr>
              <w:spacing w:after="0"/>
              <w:rPr>
                <w:sz w:val="16"/>
                <w:szCs w:val="16"/>
                <w:color w:val="auto"/>
              </w:rPr>
            </w:pPr>
          </w:p>
        </w:tc>
        <w:tc>
          <w:tcPr>
            <w:tcW w:w="31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Discount to reflect current market conditions</w:t>
            </w:r>
          </w:p>
        </w:tc>
        <w:tc>
          <w:tcPr>
            <w:tcW w:w="1720" w:type="dxa"/>
            <w:vAlign w:val="bottom"/>
            <w:gridSpan w:val="2"/>
          </w:tcPr>
          <w:p>
            <w:pPr>
              <w:jc w:val="center"/>
              <w:ind w:left="15"/>
              <w:spacing w:after="0" w:line="194" w:lineRule="exact"/>
              <w:rPr>
                <w:sz w:val="20"/>
                <w:szCs w:val="20"/>
                <w:color w:val="auto"/>
              </w:rPr>
            </w:pPr>
            <w:r>
              <w:rPr>
                <w:rFonts w:ascii="Times New Roman" w:cs="Times New Roman" w:eastAsia="Times New Roman" w:hAnsi="Times New Roman"/>
                <w:sz w:val="17"/>
                <w:szCs w:val="17"/>
                <w:color w:val="auto"/>
              </w:rPr>
              <w:t>0.00-50.00%</w:t>
            </w:r>
          </w:p>
        </w:tc>
      </w:tr>
      <w:tr>
        <w:trPr>
          <w:trHeight w:val="230"/>
        </w:trPr>
        <w:tc>
          <w:tcPr>
            <w:tcW w:w="2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22,676</w:t>
            </w:r>
          </w:p>
        </w:tc>
        <w:tc>
          <w:tcPr>
            <w:tcW w:w="24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measurements</w:t>
            </w:r>
          </w:p>
        </w:tc>
        <w:tc>
          <w:tcPr>
            <w:tcW w:w="14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ultimate collectability</w:t>
            </w:r>
          </w:p>
        </w:tc>
        <w:tc>
          <w:tcPr>
            <w:tcW w:w="17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7"/>
              </w:rPr>
              <w:t>(0.41%)</w:t>
            </w:r>
          </w:p>
        </w:tc>
      </w:tr>
      <w:tr>
        <w:trPr>
          <w:trHeight w:val="202"/>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 servicing</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Constant prepayment rate and probability of</w:t>
            </w:r>
          </w:p>
        </w:tc>
        <w:tc>
          <w:tcPr>
            <w:tcW w:w="1720" w:type="dxa"/>
            <w:vAlign w:val="bottom"/>
            <w:gridSpan w:val="2"/>
            <w:shd w:val="clear" w:color="auto" w:fill="CFF0FC"/>
          </w:tcPr>
          <w:p>
            <w:pPr>
              <w:jc w:val="center"/>
              <w:ind w:left="15"/>
              <w:spacing w:after="0"/>
              <w:rPr>
                <w:sz w:val="20"/>
                <w:szCs w:val="20"/>
                <w:color w:val="auto"/>
              </w:rPr>
            </w:pPr>
            <w:r>
              <w:rPr>
                <w:rFonts w:ascii="Times New Roman" w:cs="Times New Roman" w:eastAsia="Times New Roman" w:hAnsi="Times New Roman"/>
                <w:sz w:val="17"/>
                <w:szCs w:val="17"/>
                <w:color w:val="auto"/>
                <w:w w:val="97"/>
              </w:rPr>
              <w:t>5.11-22.80%</w:t>
            </w:r>
          </w:p>
        </w:tc>
      </w:tr>
      <w:tr>
        <w:trPr>
          <w:trHeight w:val="238"/>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rights</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shd w:val="clear" w:color="auto" w:fill="CFF0FC"/>
          </w:tcPr>
          <w:p>
            <w:pPr>
              <w:spacing w:after="0"/>
              <w:rPr>
                <w:sz w:val="20"/>
                <w:szCs w:val="20"/>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Discounted Cash Flow</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default / Discount rate</w:t>
            </w:r>
          </w:p>
        </w:tc>
        <w:tc>
          <w:tcPr>
            <w:tcW w:w="1720" w:type="dxa"/>
            <w:vAlign w:val="bottom"/>
            <w:gridSpan w:val="2"/>
            <w:shd w:val="clear" w:color="auto" w:fill="CFF0FC"/>
          </w:tcPr>
          <w:p>
            <w:pPr>
              <w:jc w:val="center"/>
              <w:ind w:left="75"/>
              <w:spacing w:after="0"/>
              <w:rPr>
                <w:sz w:val="20"/>
                <w:szCs w:val="20"/>
                <w:color w:val="auto"/>
              </w:rPr>
            </w:pPr>
            <w:r>
              <w:rPr>
                <w:rFonts w:ascii="Times New Roman" w:cs="Times New Roman" w:eastAsia="Times New Roman" w:hAnsi="Times New Roman"/>
                <w:sz w:val="17"/>
                <w:szCs w:val="17"/>
                <w:color w:val="auto"/>
              </w:rPr>
              <w:t>(10.87%)</w:t>
            </w:r>
          </w:p>
        </w:tc>
      </w:tr>
      <w:tr>
        <w:trPr>
          <w:trHeight w:val="655"/>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4"/>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95"/>
              <w:spacing w:after="0" w:line="194" w:lineRule="exact"/>
              <w:rPr>
                <w:sz w:val="20"/>
                <w:szCs w:val="20"/>
                <w:color w:val="auto"/>
              </w:rPr>
            </w:pPr>
            <w:r>
              <w:rPr>
                <w:rFonts w:ascii="Times New Roman" w:cs="Times New Roman" w:eastAsia="Times New Roman" w:hAnsi="Times New Roman"/>
                <w:sz w:val="17"/>
                <w:szCs w:val="17"/>
                <w:color w:val="auto"/>
                <w:w w:val="99"/>
              </w:rPr>
              <w:t>Fair Value at</w:t>
            </w: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ind w:left="560"/>
              <w:spacing w:after="0" w:line="194" w:lineRule="exact"/>
              <w:rPr>
                <w:sz w:val="20"/>
                <w:szCs w:val="20"/>
                <w:color w:val="auto"/>
              </w:rPr>
            </w:pPr>
            <w:r>
              <w:rPr>
                <w:rFonts w:ascii="Times New Roman" w:cs="Times New Roman" w:eastAsia="Times New Roman" w:hAnsi="Times New Roman"/>
                <w:sz w:val="17"/>
                <w:szCs w:val="17"/>
                <w:color w:val="auto"/>
              </w:rPr>
              <w:t>Range</w:t>
            </w:r>
          </w:p>
        </w:tc>
      </w:tr>
      <w:tr>
        <w:trPr>
          <w:trHeight w:val="231"/>
        </w:trPr>
        <w:tc>
          <w:tcPr>
            <w:tcW w:w="246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December 31, 2022</w:t>
            </w:r>
          </w:p>
        </w:tc>
        <w:tc>
          <w:tcPr>
            <w:tcW w:w="240" w:type="dxa"/>
            <w:vAlign w:val="bottom"/>
          </w:tcPr>
          <w:p>
            <w:pPr>
              <w:spacing w:after="0"/>
              <w:rPr>
                <w:sz w:val="20"/>
                <w:szCs w:val="20"/>
                <w:color w:val="auto"/>
              </w:rPr>
            </w:pPr>
          </w:p>
        </w:tc>
        <w:tc>
          <w:tcPr>
            <w:tcW w:w="2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Valuation Technique</w:t>
            </w:r>
          </w:p>
        </w:tc>
        <w:tc>
          <w:tcPr>
            <w:tcW w:w="140" w:type="dxa"/>
            <w:vAlign w:val="bottom"/>
          </w:tcPr>
          <w:p>
            <w:pPr>
              <w:spacing w:after="0"/>
              <w:rPr>
                <w:sz w:val="20"/>
                <w:szCs w:val="20"/>
                <w:color w:val="auto"/>
              </w:rPr>
            </w:pPr>
          </w:p>
        </w:tc>
        <w:tc>
          <w:tcPr>
            <w:tcW w:w="3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Unobservable Inputs</w:t>
            </w:r>
          </w:p>
        </w:tc>
        <w:tc>
          <w:tcPr>
            <w:tcW w:w="140" w:type="dxa"/>
            <w:vAlign w:val="bottom"/>
          </w:tcPr>
          <w:p>
            <w:pPr>
              <w:spacing w:after="0"/>
              <w:rPr>
                <w:sz w:val="20"/>
                <w:szCs w:val="20"/>
                <w:color w:val="auto"/>
              </w:rPr>
            </w:pP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(Weighted Average)</w:t>
            </w:r>
          </w:p>
        </w:tc>
      </w:tr>
      <w:tr>
        <w:trPr>
          <w:trHeight w:val="194"/>
        </w:trPr>
        <w:tc>
          <w:tcPr>
            <w:tcW w:w="246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7"/>
                <w:szCs w:val="17"/>
                <w:color w:val="auto"/>
              </w:rPr>
              <w:t>State and local</w:t>
            </w: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18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7"/>
                <w:szCs w:val="17"/>
                <w:color w:val="auto"/>
              </w:rPr>
              <w:t>Credit strength of underlying project or entity</w:t>
            </w:r>
          </w:p>
        </w:tc>
        <w:tc>
          <w:tcPr>
            <w:tcW w:w="1720" w:type="dxa"/>
            <w:vAlign w:val="bottom"/>
            <w:gridSpan w:val="2"/>
            <w:shd w:val="clear" w:color="auto" w:fill="CFF0FC"/>
          </w:tcPr>
          <w:p>
            <w:pPr>
              <w:jc w:val="center"/>
              <w:ind w:left="15"/>
              <w:spacing w:after="0" w:line="194" w:lineRule="exact"/>
              <w:rPr>
                <w:sz w:val="20"/>
                <w:szCs w:val="20"/>
                <w:color w:val="auto"/>
              </w:rPr>
            </w:pPr>
            <w:r>
              <w:rPr>
                <w:rFonts w:ascii="Times New Roman" w:cs="Times New Roman" w:eastAsia="Times New Roman" w:hAnsi="Times New Roman"/>
                <w:sz w:val="17"/>
                <w:szCs w:val="17"/>
                <w:color w:val="auto"/>
                <w:w w:val="98"/>
              </w:rPr>
              <w:t>2.08-5.01%</w:t>
            </w:r>
          </w:p>
        </w:tc>
      </w:tr>
      <w:tr>
        <w:trPr>
          <w:trHeight w:val="238"/>
        </w:trPr>
        <w:tc>
          <w:tcPr>
            <w:tcW w:w="2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government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240" w:type="dxa"/>
            <w:vAlign w:val="bottom"/>
            <w:shd w:val="clear" w:color="auto" w:fill="CFF0FC"/>
          </w:tcPr>
          <w:p>
            <w:pPr>
              <w:spacing w:after="0"/>
              <w:rPr>
                <w:sz w:val="20"/>
                <w:szCs w:val="20"/>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Discounted Cash Flow</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Discount rate</w:t>
            </w:r>
          </w:p>
        </w:tc>
        <w:tc>
          <w:tcPr>
            <w:tcW w:w="1720" w:type="dxa"/>
            <w:vAlign w:val="bottom"/>
            <w:gridSpan w:val="2"/>
            <w:shd w:val="clear" w:color="auto" w:fill="CFF0FC"/>
          </w:tcPr>
          <w:p>
            <w:pPr>
              <w:jc w:val="center"/>
              <w:ind w:left="55"/>
              <w:spacing w:after="0"/>
              <w:rPr>
                <w:sz w:val="20"/>
                <w:szCs w:val="20"/>
                <w:color w:val="auto"/>
              </w:rPr>
            </w:pPr>
            <w:r>
              <w:rPr>
                <w:rFonts w:ascii="Times New Roman" w:cs="Times New Roman" w:eastAsia="Times New Roman" w:hAnsi="Times New Roman"/>
                <w:sz w:val="17"/>
                <w:szCs w:val="17"/>
                <w:color w:val="auto"/>
                <w:w w:val="97"/>
              </w:rPr>
              <w:t>(4.38%)</w:t>
            </w:r>
          </w:p>
        </w:tc>
      </w:tr>
      <w:tr>
        <w:trPr>
          <w:trHeight w:val="194"/>
        </w:trPr>
        <w:tc>
          <w:tcPr>
            <w:tcW w:w="24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Collateral dependent</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Collateral based</w:t>
            </w:r>
          </w:p>
        </w:tc>
        <w:tc>
          <w:tcPr>
            <w:tcW w:w="140" w:type="dxa"/>
            <w:vAlign w:val="bottom"/>
          </w:tcPr>
          <w:p>
            <w:pPr>
              <w:spacing w:after="0"/>
              <w:rPr>
                <w:sz w:val="16"/>
                <w:szCs w:val="16"/>
                <w:color w:val="auto"/>
              </w:rPr>
            </w:pPr>
          </w:p>
        </w:tc>
        <w:tc>
          <w:tcPr>
            <w:tcW w:w="31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Discount to reflect current market conditions</w:t>
            </w:r>
          </w:p>
        </w:tc>
        <w:tc>
          <w:tcPr>
            <w:tcW w:w="1720" w:type="dxa"/>
            <w:vAlign w:val="bottom"/>
            <w:gridSpan w:val="2"/>
          </w:tcPr>
          <w:p>
            <w:pPr>
              <w:jc w:val="center"/>
              <w:ind w:left="15"/>
              <w:spacing w:after="0" w:line="194" w:lineRule="exact"/>
              <w:rPr>
                <w:sz w:val="20"/>
                <w:szCs w:val="20"/>
                <w:color w:val="auto"/>
              </w:rPr>
            </w:pPr>
            <w:r>
              <w:rPr>
                <w:rFonts w:ascii="Times New Roman" w:cs="Times New Roman" w:eastAsia="Times New Roman" w:hAnsi="Times New Roman"/>
                <w:sz w:val="17"/>
                <w:szCs w:val="17"/>
                <w:color w:val="auto"/>
              </w:rPr>
              <w:t>20.00-29.01%</w:t>
            </w:r>
          </w:p>
        </w:tc>
      </w:tr>
      <w:tr>
        <w:trPr>
          <w:trHeight w:val="230"/>
        </w:trPr>
        <w:tc>
          <w:tcPr>
            <w:tcW w:w="2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impaired loans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24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measurements</w:t>
            </w:r>
          </w:p>
        </w:tc>
        <w:tc>
          <w:tcPr>
            <w:tcW w:w="14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ultimate collectability</w:t>
            </w:r>
          </w:p>
        </w:tc>
        <w:tc>
          <w:tcPr>
            <w:tcW w:w="172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rPr>
              <w:t>(24.13%)</w:t>
            </w:r>
          </w:p>
        </w:tc>
      </w:tr>
      <w:tr>
        <w:trPr>
          <w:trHeight w:val="202"/>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 servicing</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Constant prepayment rate and probability of</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5"/>
              </w:rPr>
              <w:t>— %</w:t>
            </w:r>
          </w:p>
        </w:tc>
      </w:tr>
      <w:tr>
        <w:trPr>
          <w:trHeight w:val="238"/>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rights</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Discounted Cash Flow</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default / Discount rate</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 — )</w:t>
            </w:r>
          </w:p>
        </w:tc>
      </w:tr>
    </w:tbl>
    <w:p>
      <w:pPr>
        <w:spacing w:after="0" w:line="200" w:lineRule="exact"/>
        <w:rPr>
          <w:sz w:val="20"/>
          <w:szCs w:val="20"/>
          <w:color w:val="auto"/>
        </w:rPr>
      </w:pP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14" w:name="page115"/>
    <w:bookmarkEnd w:id="11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 – Condensed Financial Statements of Parent Company</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66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4"/>
              </w:rPr>
              <w:t>2023</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Dividends and accounts receivable from subsidiary</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receivable - available-for-sale securities /</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bearing time deposits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Securities - US Treasuries / municipals</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338,893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FF0FC"/>
          </w:tcPr>
          <w:p>
            <w:pPr>
              <w:spacing w:after="0"/>
              <w:rPr>
                <w:sz w:val="24"/>
                <w:szCs w:val="24"/>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354,798</w:t>
            </w:r>
          </w:p>
        </w:tc>
        <w:tc>
          <w:tcPr>
            <w:tcW w:w="280" w:type="dxa"/>
            <w:vAlign w:val="bottom"/>
            <w:tcBorders>
              <w:right w:val="single" w:sz="8" w:color="CFF0FC"/>
            </w:tcBorders>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346,382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borrowings</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316,543</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354,798</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Income</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44,285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Distributed earnings of dissolved subsidiary</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 available-for-sale securities / interest-bearing time deposits</w:t>
            </w:r>
          </w:p>
        </w:tc>
        <w:tc>
          <w:tcPr>
            <w:tcW w:w="3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Noninterest income</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sales of available-for-sale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income</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8,671</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44,593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2,401</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and Equity in</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Undistributed Earnings of Subsidiaries</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6,270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41,829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 (Benefit)</w:t>
            </w:r>
          </w:p>
        </w:tc>
        <w:tc>
          <w:tcPr>
            <w:tcW w:w="30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(495 )</w:t>
            </w:r>
          </w:p>
        </w:tc>
        <w:tc>
          <w:tcPr>
            <w:tcW w:w="440" w:type="dxa"/>
            <w:vAlign w:val="bottom"/>
          </w:tcPr>
          <w:p>
            <w:pPr>
              <w:spacing w:after="0"/>
              <w:rPr>
                <w:sz w:val="20"/>
                <w:szCs w:val="20"/>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(535 )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6,765</w:t>
            </w:r>
          </w:p>
        </w:tc>
        <w:tc>
          <w:tcPr>
            <w:tcW w:w="28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42,364</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undistributed (distributions in excess of) earnings of</w:t>
            </w:r>
          </w:p>
        </w:tc>
        <w:tc>
          <w:tcPr>
            <w:tcW w:w="300" w:type="dxa"/>
            <w:vAlign w:val="bottom"/>
          </w:tcPr>
          <w:p>
            <w:pPr>
              <w:spacing w:after="0"/>
              <w:rPr>
                <w:sz w:val="18"/>
                <w:szCs w:val="18"/>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16,022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(9,849 )</w:t>
            </w:r>
          </w:p>
        </w:tc>
        <w:tc>
          <w:tcPr>
            <w:tcW w:w="2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22,787</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32,515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gains (losses) on securities, net of taxes</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9,221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(35,049 )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(8,881 )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32,008</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(2,534 )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-5802630</wp:posOffset>
            </wp:positionV>
            <wp:extent cx="6858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-5785485</wp:posOffset>
            </wp:positionV>
            <wp:extent cx="6858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-5802630</wp:posOffset>
            </wp:positionV>
            <wp:extent cx="6858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-5785485</wp:posOffset>
            </wp:positionV>
            <wp:extent cx="6858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-4697095</wp:posOffset>
            </wp:positionV>
            <wp:extent cx="6858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-4371340</wp:posOffset>
            </wp:positionV>
            <wp:extent cx="6858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-504825</wp:posOffset>
            </wp:positionV>
            <wp:extent cx="7683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-504825</wp:posOffset>
            </wp:positionV>
            <wp:extent cx="6858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9" w:right="339" w:bottom="688"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688" w:gutter="0" w:footer="0" w:header="0"/>
          <w:type w:val="continuous"/>
        </w:sectPr>
      </w:pPr>
    </w:p>
    <w:bookmarkStart w:id="115" w:name="page116"/>
    <w:bookmarkEnd w:id="11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tcPr>
          <w:p>
            <w:pPr>
              <w:spacing w:after="0"/>
              <w:rPr>
                <w:sz w:val="20"/>
                <w:szCs w:val="20"/>
                <w:color w:val="auto"/>
              </w:rPr>
            </w:pPr>
          </w:p>
        </w:tc>
      </w:tr>
      <w:tr>
        <w:trPr>
          <w:trHeight w:val="21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undistributed (distributions in excess of) net income</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(16,022 )</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(1,480 )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subordinated notes issuance fees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stock awards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available-for-sale securities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(1,981 )</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(456 )</w:t>
            </w:r>
          </w:p>
        </w:tc>
      </w:tr>
      <w:tr>
        <w:trPr>
          <w:trHeight w:val="232"/>
        </w:trPr>
        <w:tc>
          <w:tcPr>
            <w:tcW w:w="66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Activity in certificates of deposit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Maturities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used for acquisitions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(9,806 )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(79,235 )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(7,928 )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(70,174 )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(repayments) of other borrowings</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(30,000 )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(308 )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subordinated notes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dividends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(11,335 )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(10,276 )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(7,670 )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(21,553 )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(40,584 )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(13,111 )</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(2,392 )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shd w:val="clear" w:color="auto" w:fill="CFF0FC"/>
          </w:tcPr>
          <w:p>
            <w:pPr>
              <w:spacing w:after="0"/>
              <w:rPr>
                <w:sz w:val="20"/>
                <w:szCs w:val="20"/>
                <w:color w:val="auto"/>
              </w:rPr>
            </w:pP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-3154045</wp:posOffset>
            </wp:positionV>
            <wp:extent cx="7683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-3154045</wp:posOffset>
            </wp:positionV>
            <wp:extent cx="6858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-1602740</wp:posOffset>
            </wp:positionV>
            <wp:extent cx="7683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-1602740</wp:posOffset>
            </wp:positionV>
            <wp:extent cx="6858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-668020</wp:posOffset>
            </wp:positionV>
            <wp:extent cx="7683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-668020</wp:posOffset>
            </wp:positionV>
            <wp:extent cx="6858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 – Quarterly Financial Data</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Financial Data - UNAUDITED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Quarter Ended in 2023</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Mar 31</w:t>
            </w:r>
          </w:p>
        </w:tc>
        <w:tc>
          <w:tcPr>
            <w:tcW w:w="2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Sep 30</w:t>
            </w:r>
          </w:p>
        </w:tc>
        <w:tc>
          <w:tcPr>
            <w:tcW w:w="2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 31</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Income:</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38,270</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(129 )</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(12,754 )</w:t>
            </w: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(12,572 )</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(13,380 )</w:t>
            </w: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(12,593 )</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13,615,655</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13,632,440</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13,650,823</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13,665,773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49"/>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Quarter Ended in 2022</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Mar 31</w:t>
            </w:r>
          </w:p>
        </w:tc>
        <w:tc>
          <w:tcPr>
            <w:tcW w:w="2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Sep 30</w:t>
            </w:r>
          </w:p>
        </w:tc>
        <w:tc>
          <w:tcPr>
            <w:tcW w:w="2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 31</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Income:</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22,557</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loan loss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loan loss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(9,150 )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(9,915 )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(9,739 )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(12,908 )</w:t>
            </w:r>
          </w:p>
        </w:tc>
      </w:tr>
      <w:tr>
        <w:trPr>
          <w:trHeight w:val="232"/>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Borders>
              <w:top w:val="single" w:sz="8" w:color="CFF0FC"/>
            </w:tcBorders>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12,955,107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12,957,126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12,983,307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13,606,876</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-4217035</wp:posOffset>
            </wp:positionV>
            <wp:extent cx="7683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-4217035</wp:posOffset>
            </wp:positionV>
            <wp:extent cx="6858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-4217035</wp:posOffset>
            </wp:positionV>
            <wp:extent cx="6858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-2948305</wp:posOffset>
            </wp:positionV>
            <wp:extent cx="7683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-2931160</wp:posOffset>
            </wp:positionV>
            <wp:extent cx="7683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-2948305</wp:posOffset>
            </wp:positionV>
            <wp:extent cx="6858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-2931160</wp:posOffset>
            </wp:positionV>
            <wp:extent cx="6858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-2948305</wp:posOffset>
            </wp:positionV>
            <wp:extent cx="6858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-2931160</wp:posOffset>
            </wp:positionV>
            <wp:extent cx="6858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-2588260</wp:posOffset>
            </wp:positionV>
            <wp:extent cx="7683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-2571115</wp:posOffset>
            </wp:positionV>
            <wp:extent cx="7683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-2588260</wp:posOffset>
            </wp:positionV>
            <wp:extent cx="6858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-2571115</wp:posOffset>
            </wp:positionV>
            <wp:extent cx="6858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-2588260</wp:posOffset>
            </wp:positionV>
            <wp:extent cx="6858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-2571115</wp:posOffset>
            </wp:positionV>
            <wp:extent cx="6858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-1499235</wp:posOffset>
            </wp:positionV>
            <wp:extent cx="7683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-1499235</wp:posOffset>
            </wp:positionV>
            <wp:extent cx="6858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-1499235</wp:posOffset>
            </wp:positionV>
            <wp:extent cx="6858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-1182370</wp:posOffset>
            </wp:positionV>
            <wp:extent cx="7683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-1182370</wp:posOffset>
            </wp:positionV>
            <wp:extent cx="6858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-1182370</wp:posOffset>
            </wp:positionV>
            <wp:extent cx="6858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-864870</wp:posOffset>
            </wp:positionV>
            <wp:extent cx="7683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-864870</wp:posOffset>
            </wp:positionV>
            <wp:extent cx="685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-864870</wp:posOffset>
            </wp:positionV>
            <wp:extent cx="6858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-548005</wp:posOffset>
            </wp:positionV>
            <wp:extent cx="7683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6858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-548005</wp:posOffset>
            </wp:positionV>
            <wp:extent cx="6858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-205105</wp:posOffset>
            </wp:positionV>
            <wp:extent cx="7683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6858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16, 2024, the Company announced the authorization by its Board of Directors for the Company’s repurchase, either on the open market, or in privately negotiated transactions, of up to 650,000 shares of its outstanding common stock commencing January 16, 2024 and ending December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 IN AND DISAGREEMENTS WITH ACCOUNTING AND FINANCIAL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disagreements exist on accounting and financial disclosures or related matter.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MANAGEMENT REPORT REGARDING</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DISCLOSURE CONTROLS AND PROCEDURES</w:t>
      </w:r>
    </w:p>
    <w:p>
      <w:pPr>
        <w:spacing w:after="0" w:line="9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2023, pursuant to Exchange Act 13a-15. Based upon that evaluation, the Chief Executive Officer and Chief Financial Officer concluded that the Company’s disclosure controls and procedures were effective as of December 31, 2023, in timely alerting them to material information relating to the Company (including its consolidated subsidiaries) required to be included in the Company’s periodic SEC filings.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 REPORT REGARDING INTERNAL CONTROL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COMPLIANCE WITH DESIGNATED LAWS AND REGULATIONS</w:t>
      </w:r>
    </w:p>
    <w:p>
      <w:pPr>
        <w:spacing w:after="0" w:line="9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18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176"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2023.</w:t>
      </w:r>
    </w:p>
    <w:p>
      <w:pPr>
        <w:spacing w:after="0" w:line="18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Company’s fiscal quarter ended December 31, 2023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542925</wp:posOffset>
            </wp:positionV>
            <wp:extent cx="5760720" cy="8826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Board of Directors, and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Archbold, Ohio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Internal Control over Financial Reporting</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Farmers &amp; Merchants Bancorp, Inc.’s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December 31, 2023 and 2022, and for each of the three years in the period ended December 31, 2023, and our report dated February 27, 2024, expressed an unqualified opinion on those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Regarding Internal Control and Compliance with Designated Laws and Regulations. Our responsibility is to express an opinion on the Company’s internal control over financial reporting based on our audit.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public accounting firm registered with the PCAOB and are required to be independent with respect to the Company in accordance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Definitions and Limitations of Internal Control over Financial Reporting</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156970" cy="23114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15697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Wayne,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2700"/>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AND EXECUTIVE OFFICERS OF THE 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information called for herein is presented below:</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Principal Occupation or</w:t>
            </w: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Year First</w:t>
            </w:r>
          </w:p>
        </w:tc>
      </w:tr>
      <w:tr>
        <w:trPr>
          <w:trHeight w:val="198"/>
        </w:trPr>
        <w:tc>
          <w:tcPr>
            <w:tcW w:w="20" w:type="dxa"/>
            <w:vAlign w:val="bottom"/>
          </w:tcPr>
          <w:p>
            <w:pPr>
              <w:spacing w:after="0"/>
              <w:rPr>
                <w:sz w:val="17"/>
                <w:szCs w:val="17"/>
                <w:color w:val="auto"/>
              </w:rPr>
            </w:pPr>
          </w:p>
        </w:tc>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2260" w:type="dxa"/>
            <w:vAlign w:val="bottom"/>
          </w:tcPr>
          <w:p>
            <w:pPr>
              <w:spacing w:after="0"/>
              <w:rPr>
                <w:sz w:val="17"/>
                <w:szCs w:val="17"/>
                <w:color w:val="auto"/>
              </w:rPr>
            </w:pPr>
          </w:p>
        </w:tc>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3"/>
              </w:rPr>
              <w:t>Age</w:t>
            </w:r>
          </w:p>
        </w:tc>
        <w:tc>
          <w:tcPr>
            <w:tcW w:w="300" w:type="dxa"/>
            <w:vAlign w:val="bottom"/>
          </w:tcPr>
          <w:p>
            <w:pPr>
              <w:spacing w:after="0"/>
              <w:rPr>
                <w:sz w:val="17"/>
                <w:szCs w:val="17"/>
                <w:color w:val="auto"/>
              </w:rPr>
            </w:pPr>
          </w:p>
        </w:tc>
        <w:tc>
          <w:tcPr>
            <w:tcW w:w="5980" w:type="dxa"/>
            <w:vAlign w:val="bottom"/>
            <w:gridSpan w:val="3"/>
          </w:tcPr>
          <w:p>
            <w:pPr>
              <w:ind w:left="300"/>
              <w:spacing w:after="0" w:line="198" w:lineRule="exact"/>
              <w:rPr>
                <w:sz w:val="20"/>
                <w:szCs w:val="20"/>
                <w:color w:val="auto"/>
              </w:rPr>
            </w:pPr>
            <w:r>
              <w:rPr>
                <w:rFonts w:ascii="Times New Roman" w:cs="Times New Roman" w:eastAsia="Times New Roman" w:hAnsi="Times New Roman"/>
                <w:sz w:val="18"/>
                <w:szCs w:val="18"/>
                <w:b w:val="1"/>
                <w:bCs w:val="1"/>
                <w:color w:val="auto"/>
              </w:rPr>
              <w:t>Employment for Past Five Years</w:t>
            </w:r>
          </w:p>
        </w:tc>
        <w:tc>
          <w:tcPr>
            <w:tcW w:w="156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Became Director</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D. Boyce*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Founding Member and Managing Partner</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Dickmeyer Boyce Financial Management</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J. Briggs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Retired and former Chairman of Limberlost Bancshares, Inc.</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President of its wholly-owned subsidiary Bank of Geneva</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Eugene N. Burkholder</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Falor Farm Center, Inc.</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Lars B. Eller</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and CEO of the Company and</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Farmers &amp; Merchants State Bank</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68"/>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 Ellen Hornish</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CEO, Hornish Bros, Inc. / Fountain City Leasing, Inc. / Advantage Powder</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Coating, Inc.</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C. Johnson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Hawk’s Clothing, Inc.</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1991</w:t>
            </w: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Lori A. Johnston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ProMedica Insurance Corporation</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Marcia S. Latta</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Vice President of University Advancement,</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University of Findlay</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J. Planson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Planson Farms, Inc.</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J. Sauder</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Sauder Woodworking Co.</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R. Simon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Founder &amp; Managing Member / Attorney</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Simon PLC Attorneys &amp; Counselors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 Brad Stamm</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and Educational Consultant of</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Stamm Management Group</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Vernon</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24"/>
                <w:szCs w:val="24"/>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Owner, Licensed Funeral Director &amp; Embalmer</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Vernon Family Funeral Homes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Effective January 16, 2024</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Directors are elected annually at the annual meeting of shareholders.</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57" w:right="699" w:bottom="1028" w:gutter="0" w:footer="0" w:header="0"/>
        </w:sectPr>
      </w:pPr>
    </w:p>
    <w:bookmarkStart w:id="121" w:name="page122"/>
    <w:bookmarkEnd w:id="121"/>
    <w:tbl>
      <w:tblPr>
        <w:tblLayout w:type="fixed"/>
        <w:tblInd w:w="10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EXECUTIVE OFFICERS</w:t>
            </w:r>
          </w:p>
        </w:tc>
        <w:tc>
          <w:tcPr>
            <w:tcW w:w="3400" w:type="dxa"/>
            <w:vAlign w:val="bottom"/>
            <w:gridSpan w:val="2"/>
          </w:tcPr>
          <w:p>
            <w:pPr>
              <w:spacing w:after="0"/>
              <w:rPr>
                <w:sz w:val="17"/>
                <w:szCs w:val="17"/>
                <w:color w:val="auto"/>
              </w:rPr>
            </w:pPr>
          </w:p>
        </w:tc>
      </w:tr>
      <w:tr>
        <w:trPr>
          <w:trHeight w:val="448"/>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Principal Occupation &amp; Offices Held with</w:t>
            </w:r>
          </w:p>
        </w:tc>
      </w:tr>
      <w:tr>
        <w:trPr>
          <w:trHeight w:val="194"/>
        </w:trPr>
        <w:tc>
          <w:tcPr>
            <w:tcW w:w="4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Name</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Age</w:t>
            </w:r>
          </w:p>
        </w:tc>
        <w:tc>
          <w:tcPr>
            <w:tcW w:w="4700" w:type="dxa"/>
            <w:vAlign w:val="bottom"/>
            <w:gridSpan w:val="4"/>
          </w:tcPr>
          <w:p>
            <w:pPr>
              <w:ind w:left="300"/>
              <w:spacing w:after="0" w:line="194" w:lineRule="exact"/>
              <w:rPr>
                <w:sz w:val="20"/>
                <w:szCs w:val="20"/>
                <w:color w:val="auto"/>
              </w:rPr>
            </w:pPr>
            <w:r>
              <w:rPr>
                <w:rFonts w:ascii="Times New Roman" w:cs="Times New Roman" w:eastAsia="Times New Roman" w:hAnsi="Times New Roman"/>
                <w:sz w:val="18"/>
                <w:szCs w:val="18"/>
                <w:color w:val="auto"/>
              </w:rPr>
              <w:t>Corporation &amp; Bank for Past Five Years</w:t>
            </w:r>
          </w:p>
        </w:tc>
      </w:tr>
      <w:tr>
        <w:trPr>
          <w:trHeight w:val="20"/>
        </w:trPr>
        <w:tc>
          <w:tcPr>
            <w:tcW w:w="4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50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C. Johnson</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Chairman</w:t>
            </w:r>
          </w:p>
        </w:tc>
      </w:tr>
      <w:tr>
        <w:trPr>
          <w:trHeight w:val="54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Lars B. Eller</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President and Chief Executive Officer (“PEO”) </w:t>
            </w:r>
            <w:r>
              <w:rPr>
                <w:rFonts w:ascii="Times New Roman" w:cs="Times New Roman" w:eastAsia="Times New Roman" w:hAnsi="Times New Roman"/>
                <w:sz w:val="24"/>
                <w:szCs w:val="24"/>
                <w:color w:val="auto"/>
                <w:vertAlign w:val="superscript"/>
              </w:rPr>
              <w:t>(1) (2)</w:t>
            </w:r>
          </w:p>
        </w:tc>
      </w:tr>
      <w:tr>
        <w:trPr>
          <w:trHeight w:val="38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00" w:type="dxa"/>
            <w:vAlign w:val="bottom"/>
            <w:gridSpan w:val="4"/>
          </w:tcPr>
          <w:p>
            <w:pPr>
              <w:ind w:left="300"/>
              <w:spacing w:after="0" w:line="216" w:lineRule="exact"/>
              <w:rPr>
                <w:sz w:val="20"/>
                <w:szCs w:val="20"/>
                <w:color w:val="auto"/>
              </w:rPr>
            </w:pPr>
            <w:r>
              <w:rPr>
                <w:rFonts w:ascii="Times New Roman" w:cs="Times New Roman" w:eastAsia="Times New Roman" w:hAnsi="Times New Roman"/>
                <w:sz w:val="18"/>
                <w:szCs w:val="18"/>
                <w:color w:val="auto"/>
                <w:w w:val="98"/>
              </w:rPr>
              <w:t xml:space="preserve">Chief Financial Officer (“PFO”) </w:t>
            </w:r>
            <w:r>
              <w:rPr>
                <w:rFonts w:ascii="Times New Roman" w:cs="Times New Roman" w:eastAsia="Times New Roman" w:hAnsi="Times New Roman"/>
                <w:sz w:val="24"/>
                <w:szCs w:val="24"/>
                <w:color w:val="auto"/>
                <w:w w:val="98"/>
                <w:vertAlign w:val="superscript"/>
              </w:rPr>
              <w:t>(1)</w:t>
            </w:r>
            <w:r>
              <w:rPr>
                <w:rFonts w:ascii="Times New Roman" w:cs="Times New Roman" w:eastAsia="Times New Roman" w:hAnsi="Times New Roman"/>
                <w:sz w:val="18"/>
                <w:szCs w:val="18"/>
                <w:color w:val="auto"/>
                <w:w w:val="98"/>
              </w:rPr>
              <w:t xml:space="preserve"> and Chief Retail Banking</w:t>
            </w:r>
          </w:p>
        </w:tc>
      </w:tr>
      <w:tr>
        <w:trPr>
          <w:trHeight w:val="317"/>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Officer </w:t>
            </w:r>
            <w:r>
              <w:rPr>
                <w:rFonts w:ascii="Times New Roman" w:cs="Times New Roman" w:eastAsia="Times New Roman" w:hAnsi="Times New Roman"/>
                <w:sz w:val="24"/>
                <w:szCs w:val="24"/>
                <w:color w:val="auto"/>
                <w:vertAlign w:val="superscript"/>
              </w:rPr>
              <w:t>(3)</w:t>
            </w:r>
          </w:p>
        </w:tc>
      </w:tr>
      <w:tr>
        <w:trPr>
          <w:trHeight w:val="38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Rex D. Rice</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17"/>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and Chief Lending Officer </w:t>
            </w:r>
            <w:r>
              <w:rPr>
                <w:rFonts w:ascii="Times New Roman" w:cs="Times New Roman" w:eastAsia="Times New Roman" w:hAnsi="Times New Roman"/>
                <w:sz w:val="24"/>
                <w:szCs w:val="24"/>
                <w:color w:val="auto"/>
                <w:vertAlign w:val="superscript"/>
              </w:rPr>
              <w:t>(4)</w:t>
            </w:r>
          </w:p>
        </w:tc>
      </w:tr>
      <w:tr>
        <w:trPr>
          <w:trHeight w:val="38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Benet S. Rupp</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17"/>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and Chief Administrative Officer </w:t>
            </w:r>
            <w:r>
              <w:rPr>
                <w:rFonts w:ascii="Times New Roman" w:cs="Times New Roman" w:eastAsia="Times New Roman" w:hAnsi="Times New Roman"/>
                <w:sz w:val="24"/>
                <w:szCs w:val="24"/>
                <w:color w:val="auto"/>
                <w:vertAlign w:val="superscript"/>
              </w:rPr>
              <w:t>(5)</w:t>
            </w:r>
          </w:p>
        </w:tc>
      </w:tr>
    </w:tbl>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___________________________________________________________________________________________________________________________________</w:t>
      </w:r>
    </w:p>
    <w:p>
      <w:pPr>
        <w:spacing w:after="0" w:line="83" w:lineRule="exact"/>
        <w:rPr>
          <w:sz w:val="20"/>
          <w:szCs w:val="20"/>
          <w:color w:val="auto"/>
        </w:rPr>
      </w:pPr>
    </w:p>
    <w:p>
      <w:pPr>
        <w:ind w:left="560" w:hanging="189"/>
        <w:spacing w:after="0"/>
        <w:tabs>
          <w:tab w:leader="none" w:pos="56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designation PEO means principal executive officer and PFO means principal financial officer under the rules of the SEC.</w:t>
      </w:r>
    </w:p>
    <w:p>
      <w:pPr>
        <w:spacing w:after="0" w:line="211" w:lineRule="exact"/>
        <w:rPr>
          <w:rFonts w:ascii="Times New Roman" w:cs="Times New Roman" w:eastAsia="Times New Roman" w:hAnsi="Times New Roman"/>
          <w:sz w:val="24"/>
          <w:szCs w:val="24"/>
          <w:color w:val="auto"/>
          <w:vertAlign w:val="superscript"/>
        </w:rPr>
      </w:pPr>
    </w:p>
    <w:p>
      <w:pPr>
        <w:ind w:left="560" w:right="20" w:hanging="189"/>
        <w:spacing w:after="0" w:line="223" w:lineRule="auto"/>
        <w:tabs>
          <w:tab w:leader="none" w:pos="558"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Eller was President and Chief Executive Officer of the Bank beginning on September 13, 2018 and assumed the additional position of President and Chief Executive Officer of the Company on February 1, 2019.</w:t>
      </w:r>
    </w:p>
    <w:p>
      <w:pPr>
        <w:spacing w:after="0" w:line="212" w:lineRule="exact"/>
        <w:rPr>
          <w:rFonts w:ascii="Times New Roman" w:cs="Times New Roman" w:eastAsia="Times New Roman" w:hAnsi="Times New Roman"/>
          <w:sz w:val="24"/>
          <w:szCs w:val="24"/>
          <w:color w:val="auto"/>
          <w:vertAlign w:val="superscript"/>
        </w:rPr>
      </w:pPr>
    </w:p>
    <w:p>
      <w:pPr>
        <w:jc w:val="both"/>
        <w:ind w:left="560" w:hanging="189"/>
        <w:spacing w:after="0" w:line="245" w:lineRule="auto"/>
        <w:tabs>
          <w:tab w:leader="none" w:pos="557"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Ms. Britenriker was Executive Vice President and Chief Financial Officer of the Company. Ms. Britenriker served as Executive Vice President and Chief Retail Banking Officer of the Bank from January 7, 2019 to October 16, 2023 and resumed the position of Executive Vice President and Chief Financial Officer of the Bank on October 16 2023.</w:t>
      </w:r>
    </w:p>
    <w:p>
      <w:pPr>
        <w:spacing w:after="0" w:line="208" w:lineRule="exact"/>
        <w:rPr>
          <w:rFonts w:ascii="Times New Roman" w:cs="Times New Roman" w:eastAsia="Times New Roman" w:hAnsi="Times New Roman"/>
          <w:sz w:val="23"/>
          <w:szCs w:val="23"/>
          <w:color w:val="auto"/>
          <w:vertAlign w:val="superscript"/>
        </w:rPr>
      </w:pPr>
    </w:p>
    <w:p>
      <w:pPr>
        <w:ind w:left="560" w:hanging="189"/>
        <w:spacing w:after="0" w:line="223" w:lineRule="auto"/>
        <w:tabs>
          <w:tab w:leader="none" w:pos="5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Rice was the Executive Vice President and Senior Commercial Banking Manager until January 31, 2020. Mr. Rice assumed the position of Chief Lending Officer of the Bank effective upon the retirement of Todd Graham as of February 1, 2020.</w:t>
      </w:r>
    </w:p>
    <w:p>
      <w:pPr>
        <w:spacing w:after="0" w:line="212" w:lineRule="exact"/>
        <w:rPr>
          <w:rFonts w:ascii="Times New Roman" w:cs="Times New Roman" w:eastAsia="Times New Roman" w:hAnsi="Times New Roman"/>
          <w:sz w:val="24"/>
          <w:szCs w:val="24"/>
          <w:color w:val="auto"/>
          <w:vertAlign w:val="superscript"/>
        </w:rPr>
      </w:pPr>
    </w:p>
    <w:p>
      <w:pPr>
        <w:ind w:left="560" w:hanging="189"/>
        <w:spacing w:after="0" w:line="223" w:lineRule="auto"/>
        <w:tabs>
          <w:tab w:leader="none" w:pos="569"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Ms. Rupp joined the Company in June 2019 and was the Sr. Vice President and Chief People Officer until August 23, 2022. Ms. Rupp was appointed to serve as the Executive Vice President and Chief Administrative Office of the Bank on August 23, 2022.</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29, 2024, and is incorporated herein by reference to the sections of the proxy statement captioned “ Nominations for Members of the Board of Director, “”Our Board Composition” and “PROPOSAL ONE – Election of Directors and Information Concerning Directors and Officers.” The information called for under Item 405 of Regulation S-K and called for under paragraphs (d)(4) and (d)(5) of Item 407 is presented in the proxy statement to be furnished in connection with the solicitation of proxies on behalf of the Board of Directors of the Registrant for use at its Annual Meeting to be on April 29, 2024 and incorporated herein by reference to sections of the proxy statement captioned “Delinquent Section 16(a) Reports,” “Audit Committee Report” and “Committees of the Board of Directors.”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w:t>
      </w:r>
    </w:p>
    <w:p>
      <w:pPr>
        <w:spacing w:after="0" w:line="19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823" w:right="339" w:bottom="1440" w:gutter="0" w:footer="0" w:header="0"/>
        </w:sectPr>
      </w:pPr>
    </w:p>
    <w:bookmarkStart w:id="122" w:name="page123"/>
    <w:bookmarkEnd w:id="122"/>
    <w:p>
      <w:pPr>
        <w:jc w:val="both"/>
        <w:spacing w:after="0" w:line="261" w:lineRule="auto"/>
        <w:rPr>
          <w:sz w:val="20"/>
          <w:szCs w:val="20"/>
          <w:color w:val="auto"/>
        </w:rPr>
      </w:pPr>
      <w:r>
        <w:rPr>
          <w:rFonts w:ascii="Times New Roman" w:cs="Times New Roman" w:eastAsia="Times New Roman" w:hAnsi="Times New Roman"/>
          <w:sz w:val="18"/>
          <w:szCs w:val="18"/>
          <w:color w:val="auto"/>
        </w:rPr>
        <w:t>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the Corporation's Code is available on the website of the Bank (www.fm.bank). In addition, a copy of the Code is available to any shareholder free of charge upon request. Shareholders desiring a copy of the Code should address written requests to Mr. Lars B. Eller, President, Chief Executive Officer of Farmers &amp; Merchants Bancorp, Inc., 307 North Defiance Street, Archbold, Ohio 43502, and are asked to mark Code of Business Conduct and Ethics on the outside of the envelope containing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5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29, 2024, and is incorporated herein by reference to the sections of the proxy statement captioned “Compensation Discussion and Analysis,” “Compensation Committee Report on Executive Compensation,” and “Related Party Transactions.”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information called for by Item 403 of Regulation S-K is presented in the proxy statement to be furnished in connection with the solicitation of proxies on behalf of the Board of Directors of the Registrant for use at its Annual Meeting to be held Monday, April 29, 2024 and is incorporated herein by reference to the section of the proxy statement captioned “Security Ownership of Certain Beneficial Owners and Named Executive Officers.”</w:t>
      </w:r>
    </w:p>
    <w:p>
      <w:pPr>
        <w:spacing w:after="0" w:line="18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2023, 64,225 shares were awarded to 113 employees and 6,350 were forfeited under its long term incentive plan. At year-end, 2023, the Company held 899,784 shares in Treasury stock and 151,350 in unearned stock awards.</w:t>
      </w:r>
    </w:p>
    <w:p>
      <w:pPr>
        <w:spacing w:after="0" w:line="192"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each year. On June 4, 2021, ten Directors received approximately $6,000 worth of shares which equated to 272 shares while four Directors received a prorated value of shares. On October 1, 2021, a new Director received 68 prorated shares worth approximately $1,523. On June 3, 2022, twelve Directors each received $10,013 worth of shares which equated to 240 shares. On June 2, 2023, twelve Directors each received $14,997 worth of shares which equated to 754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626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rPr>
              <w:t>Equity Compensation Plan Information</w:t>
            </w:r>
          </w:p>
        </w:tc>
      </w:tr>
      <w:tr>
        <w:trPr>
          <w:trHeight w:val="211"/>
        </w:trPr>
        <w:tc>
          <w:tcPr>
            <w:tcW w:w="498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remaining</w:t>
            </w:r>
          </w:p>
        </w:tc>
      </w:tr>
      <w:tr>
        <w:trPr>
          <w:trHeight w:val="216"/>
        </w:trPr>
        <w:tc>
          <w:tcPr>
            <w:tcW w:w="4980" w:type="dxa"/>
            <w:vAlign w:val="bottom"/>
          </w:tcPr>
          <w:p>
            <w:pPr>
              <w:spacing w:after="0"/>
              <w:rPr>
                <w:sz w:val="18"/>
                <w:szCs w:val="18"/>
                <w:color w:val="auto"/>
              </w:rPr>
            </w:pPr>
          </w:p>
        </w:tc>
        <w:tc>
          <w:tcPr>
            <w:tcW w:w="1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available for future</w:t>
            </w:r>
          </w:p>
        </w:tc>
      </w:tr>
      <w:tr>
        <w:trPr>
          <w:trHeight w:val="216"/>
        </w:trPr>
        <w:tc>
          <w:tcPr>
            <w:tcW w:w="4980" w:type="dxa"/>
            <w:vAlign w:val="bottom"/>
          </w:tcPr>
          <w:p>
            <w:pPr>
              <w:spacing w:after="0"/>
              <w:rPr>
                <w:sz w:val="18"/>
                <w:szCs w:val="18"/>
                <w:color w:val="auto"/>
              </w:rPr>
            </w:pP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issuance under</w:t>
            </w:r>
          </w:p>
        </w:tc>
      </w:tr>
      <w:tr>
        <w:trPr>
          <w:trHeight w:val="216"/>
        </w:trPr>
        <w:tc>
          <w:tcPr>
            <w:tcW w:w="4980" w:type="dxa"/>
            <w:vAlign w:val="bottom"/>
          </w:tcPr>
          <w:p>
            <w:pPr>
              <w:spacing w:after="0"/>
              <w:rPr>
                <w:sz w:val="18"/>
                <w:szCs w:val="18"/>
                <w:color w:val="auto"/>
              </w:rPr>
            </w:pPr>
          </w:p>
        </w:tc>
        <w:tc>
          <w:tcPr>
            <w:tcW w:w="1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issued upon exercise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Weighted-average</w:t>
            </w:r>
          </w:p>
        </w:tc>
        <w:tc>
          <w:tcPr>
            <w:tcW w:w="260" w:type="dxa"/>
            <w:vAlign w:val="bottom"/>
          </w:tcPr>
          <w:p>
            <w:pPr>
              <w:spacing w:after="0"/>
              <w:rPr>
                <w:sz w:val="18"/>
                <w:szCs w:val="18"/>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equity compensation</w:t>
            </w:r>
          </w:p>
        </w:tc>
      </w:tr>
      <w:tr>
        <w:trPr>
          <w:trHeight w:val="216"/>
        </w:trPr>
        <w:tc>
          <w:tcPr>
            <w:tcW w:w="4980" w:type="dxa"/>
            <w:vAlign w:val="bottom"/>
          </w:tcPr>
          <w:p>
            <w:pPr>
              <w:spacing w:after="0"/>
              <w:rPr>
                <w:sz w:val="18"/>
                <w:szCs w:val="18"/>
                <w:color w:val="auto"/>
              </w:rPr>
            </w:pPr>
          </w:p>
        </w:tc>
        <w:tc>
          <w:tcPr>
            <w:tcW w:w="1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of outstanding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exercise price of</w:t>
            </w:r>
          </w:p>
        </w:tc>
        <w:tc>
          <w:tcPr>
            <w:tcW w:w="26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plans (excluding</w:t>
            </w:r>
          </w:p>
        </w:tc>
      </w:tr>
      <w:tr>
        <w:trPr>
          <w:trHeight w:val="216"/>
        </w:trPr>
        <w:tc>
          <w:tcPr>
            <w:tcW w:w="4980" w:type="dxa"/>
            <w:vAlign w:val="bottom"/>
          </w:tcPr>
          <w:p>
            <w:pPr>
              <w:spacing w:after="0"/>
              <w:rPr>
                <w:sz w:val="18"/>
                <w:szCs w:val="18"/>
                <w:color w:val="auto"/>
              </w:rPr>
            </w:pPr>
          </w:p>
        </w:tc>
        <w:tc>
          <w:tcPr>
            <w:tcW w:w="1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6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securities reflected</w:t>
            </w:r>
          </w:p>
        </w:tc>
      </w:tr>
      <w:tr>
        <w:trPr>
          <w:trHeight w:val="241"/>
        </w:trPr>
        <w:tc>
          <w:tcPr>
            <w:tcW w:w="4980" w:type="dxa"/>
            <w:vAlign w:val="bottom"/>
          </w:tcPr>
          <w:p>
            <w:pPr>
              <w:spacing w:after="0"/>
              <w:rPr>
                <w:sz w:val="20"/>
                <w:szCs w:val="20"/>
                <w:color w:val="auto"/>
              </w:rPr>
            </w:pPr>
          </w:p>
        </w:tc>
        <w:tc>
          <w:tcPr>
            <w:tcW w:w="1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and rights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6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column (a))</w:t>
            </w:r>
          </w:p>
        </w:tc>
      </w:tr>
      <w:tr>
        <w:trPr>
          <w:trHeight w:val="239"/>
        </w:trPr>
        <w:tc>
          <w:tcPr>
            <w:tcW w:w="4980" w:type="dxa"/>
            <w:vAlign w:val="bottom"/>
          </w:tcPr>
          <w:p>
            <w:pPr>
              <w:spacing w:after="0"/>
              <w:rPr>
                <w:sz w:val="20"/>
                <w:szCs w:val="20"/>
                <w:color w:val="auto"/>
              </w:rPr>
            </w:pPr>
          </w:p>
        </w:tc>
        <w:tc>
          <w:tcPr>
            <w:tcW w:w="1760" w:type="dxa"/>
            <w:vAlign w:val="bottom"/>
            <w:tcBorders>
              <w:top w:val="single" w:sz="8" w:color="auto"/>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 a )</w:t>
            </w: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 b )</w:t>
            </w:r>
          </w:p>
        </w:tc>
        <w:tc>
          <w:tcPr>
            <w:tcW w:w="260" w:type="dxa"/>
            <w:vAlign w:val="bottom"/>
          </w:tcPr>
          <w:p>
            <w:pPr>
              <w:spacing w:after="0"/>
              <w:rPr>
                <w:sz w:val="20"/>
                <w:szCs w:val="20"/>
                <w:color w:val="auto"/>
              </w:rPr>
            </w:pPr>
          </w:p>
        </w:tc>
        <w:tc>
          <w:tcPr>
            <w:tcW w:w="1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c )</w:t>
            </w:r>
          </w:p>
        </w:tc>
        <w:tc>
          <w:tcPr>
            <w:tcW w:w="100" w:type="dxa"/>
            <w:vAlign w:val="bottom"/>
          </w:tcPr>
          <w:p>
            <w:pPr>
              <w:spacing w:after="0"/>
              <w:rPr>
                <w:sz w:val="20"/>
                <w:szCs w:val="20"/>
                <w:color w:val="auto"/>
              </w:rPr>
            </w:pPr>
          </w:p>
        </w:tc>
      </w:tr>
      <w:tr>
        <w:trPr>
          <w:trHeight w:val="209"/>
        </w:trPr>
        <w:tc>
          <w:tcPr>
            <w:tcW w:w="6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7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security holders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1,235,667</w:t>
            </w:r>
          </w:p>
        </w:tc>
        <w:tc>
          <w:tcPr>
            <w:tcW w:w="100" w:type="dxa"/>
            <w:vAlign w:val="bottom"/>
            <w:shd w:val="clear" w:color="auto" w:fill="CFF0FC"/>
          </w:tcPr>
          <w:p>
            <w:pPr>
              <w:spacing w:after="0"/>
              <w:rPr>
                <w:sz w:val="21"/>
                <w:szCs w:val="21"/>
                <w:color w:val="auto"/>
              </w:rPr>
            </w:pPr>
          </w:p>
        </w:tc>
      </w:tr>
      <w:tr>
        <w:trPr>
          <w:trHeight w:val="211"/>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security 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0"/>
        </w:trPr>
        <w:tc>
          <w:tcPr>
            <w:tcW w:w="6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1,235,667</w:t>
            </w:r>
          </w:p>
        </w:tc>
        <w:tc>
          <w:tcPr>
            <w:tcW w:w="100" w:type="dxa"/>
            <w:vAlign w:val="bottom"/>
            <w:shd w:val="clear" w:color="auto" w:fill="CFF0FC"/>
          </w:tcPr>
          <w:p>
            <w:pPr>
              <w:spacing w:after="0"/>
              <w:rPr>
                <w:sz w:val="21"/>
                <w:szCs w:val="21"/>
                <w:color w:val="auto"/>
              </w:rPr>
            </w:pPr>
          </w:p>
        </w:tc>
      </w:tr>
      <w:tr>
        <w:trPr>
          <w:trHeight w:val="864"/>
        </w:trPr>
        <w:tc>
          <w:tcPr>
            <w:tcW w:w="674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29,2024, and is incorporated herein by reference to the sections of the proxy statement captioned “Related Party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presented in the proxy statement to be furnished in connection with the solicitation of proxies on behalf of the Board of Directors of the Registrant for use at its Annual Meeting to be held on April 29,2024, and is incorporated herein by reference to the section of the proxy statement captioned “Selection of Auditors/Principal Accounting Firm Fees.”</w:t>
      </w:r>
    </w:p>
    <w:p>
      <w:pPr>
        <w:spacing w:after="0" w:line="17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opinion related to the financial statements in the annual report was provided by FORVIS, LLP (formerly BKD, LLP) from Fort Wayne, Indiana. The Public Company Accounting Oversight Board (PCAOB) ID number for FORVIS, LLP is 686.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STATEMENTS SCHEDULES</w:t>
      </w:r>
    </w:p>
    <w:p>
      <w:pPr>
        <w:spacing w:after="0" w:line="148" w:lineRule="exact"/>
        <w:rPr>
          <w:sz w:val="20"/>
          <w:szCs w:val="20"/>
          <w:color w:val="auto"/>
        </w:rPr>
      </w:pPr>
    </w:p>
    <w:p>
      <w:pPr>
        <w:ind w:left="380" w:hanging="237"/>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44" w:lineRule="exact"/>
        <w:rPr>
          <w:rFonts w:ascii="Times New Roman" w:cs="Times New Roman" w:eastAsia="Times New Roman" w:hAnsi="Times New Roman"/>
          <w:sz w:val="18"/>
          <w:szCs w:val="18"/>
          <w:color w:val="auto"/>
        </w:rPr>
      </w:pPr>
    </w:p>
    <w:p>
      <w:pPr>
        <w:ind w:left="1380" w:right="5700" w:hanging="1008"/>
        <w:spacing w:after="0" w:line="281" w:lineRule="auto"/>
        <w:tabs>
          <w:tab w:leader="none" w:pos="13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(included in this 10-K under Item 8) Report of Independent Accountants</w:t>
      </w:r>
    </w:p>
    <w:p>
      <w:pPr>
        <w:spacing w:after="0" w:line="1" w:lineRule="exact"/>
        <w:rPr>
          <w:rFonts w:ascii="Times New Roman" w:cs="Times New Roman" w:eastAsia="Times New Roman" w:hAnsi="Times New Roman"/>
          <w:sz w:val="18"/>
          <w:szCs w:val="18"/>
          <w:color w:val="auto"/>
        </w:rPr>
      </w:pPr>
    </w:p>
    <w:p>
      <w:pPr>
        <w:ind w:left="1380" w:right="7280"/>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Consolidated Balance Sheets Consolidated Statements of Income</w:t>
      </w:r>
    </w:p>
    <w:p>
      <w:pPr>
        <w:ind w:left="1380" w:right="54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Consolidated Statements of Cash Flows</w:t>
      </w:r>
    </w:p>
    <w:p>
      <w:pPr>
        <w:spacing w:after="0" w:line="1"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to Consolidated Financial Statements</w:t>
      </w:r>
    </w:p>
    <w:p>
      <w:pPr>
        <w:spacing w:after="0" w:line="144" w:lineRule="exact"/>
        <w:rPr>
          <w:rFonts w:ascii="Times New Roman" w:cs="Times New Roman" w:eastAsia="Times New Roman" w:hAnsi="Times New Roman"/>
          <w:sz w:val="18"/>
          <w:szCs w:val="18"/>
          <w:color w:val="auto"/>
        </w:rPr>
      </w:pPr>
    </w:p>
    <w:p>
      <w:pPr>
        <w:ind w:left="1380" w:right="7380" w:hanging="1008"/>
        <w:spacing w:after="0" w:line="346" w:lineRule="auto"/>
        <w:tabs>
          <w:tab w:leader="none" w:pos="13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Five Year Summary of Operations</w:t>
      </w:r>
    </w:p>
    <w:p>
      <w:pPr>
        <w:spacing w:after="0" w:line="30" w:lineRule="exact"/>
        <w:rPr>
          <w:rFonts w:ascii="Times New Roman" w:cs="Times New Roman" w:eastAsia="Times New Roman" w:hAnsi="Times New Roman"/>
          <w:sz w:val="17"/>
          <w:szCs w:val="17"/>
          <w:color w:val="auto"/>
        </w:rPr>
      </w:pPr>
    </w:p>
    <w:p>
      <w:pPr>
        <w:ind w:left="380" w:hanging="237"/>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279" w:lineRule="exact"/>
        <w:rPr>
          <w:rFonts w:ascii="Times New Roman" w:cs="Times New Roman" w:eastAsia="Times New Roman" w:hAnsi="Times New Roman"/>
          <w:sz w:val="18"/>
          <w:szCs w:val="18"/>
          <w:color w:val="auto"/>
        </w:rPr>
      </w:pPr>
    </w:p>
    <w:p>
      <w:pPr>
        <w:ind w:left="1380" w:hanging="99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(3.1.a)</w:t>
      </w:r>
      <w:hyperlink r:id="rId984">
        <w:r>
          <w:rPr>
            <w:rFonts w:ascii="Times New Roman" w:cs="Times New Roman" w:eastAsia="Times New Roman" w:hAnsi="Times New Roman"/>
            <w:sz w:val="18"/>
            <w:szCs w:val="18"/>
            <w:u w:val="single" w:color="auto"/>
            <w:color w:val="0000FF"/>
          </w:rPr>
          <w:t>Amended Articles of Incorporation of the Registrant (incorporated by reference to Exhibit 3.1 to Registrant's Quarterly Report on Form</w:t>
        </w:r>
      </w:hyperlink>
      <w:r>
        <w:rPr>
          <w:rFonts w:ascii="Times New Roman" w:cs="Times New Roman" w:eastAsia="Times New Roman" w:hAnsi="Times New Roman"/>
          <w:sz w:val="18"/>
          <w:szCs w:val="18"/>
          <w:u w:val="single" w:color="auto"/>
          <w:color w:val="0000FF"/>
        </w:rPr>
        <w:t xml:space="preserve"> </w:t>
      </w:r>
      <w:hyperlink r:id="rId984">
        <w:r>
          <w:rPr>
            <w:rFonts w:ascii="Times New Roman" w:cs="Times New Roman" w:eastAsia="Times New Roman" w:hAnsi="Times New Roman"/>
            <w:sz w:val="18"/>
            <w:szCs w:val="18"/>
            <w:u w:val="single" w:color="auto"/>
            <w:color w:val="0000FF"/>
          </w:rPr>
          <w:t>10-Q filed with the Commission on October 25, 2017).</w:t>
        </w:r>
      </w:hyperlink>
    </w:p>
    <w:p>
      <w:pPr>
        <w:spacing w:after="0" w:line="80" w:lineRule="exact"/>
        <w:rPr>
          <w:rFonts w:ascii="Times New Roman" w:cs="Times New Roman" w:eastAsia="Times New Roman" w:hAnsi="Times New Roman"/>
          <w:sz w:val="18"/>
          <w:szCs w:val="18"/>
          <w:u w:val="single" w:color="auto"/>
          <w:color w:val="0000FF"/>
        </w:rPr>
      </w:pPr>
    </w:p>
    <w:p>
      <w:pPr>
        <w:ind w:left="38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(3.1.b)</w:t>
      </w:r>
      <w:r>
        <w:rPr>
          <w:rFonts w:ascii="Times New Roman" w:cs="Times New Roman" w:eastAsia="Times New Roman" w:hAnsi="Times New Roman"/>
          <w:sz w:val="17"/>
          <w:szCs w:val="17"/>
          <w:u w:val="single" w:color="auto"/>
          <w:color w:val="0000FF"/>
        </w:rPr>
        <w:t>Amendment to Articles of Incorporation of the Registrant.</w:t>
      </w:r>
    </w:p>
    <w:p>
      <w:pPr>
        <w:spacing w:after="0" w:line="144" w:lineRule="exact"/>
        <w:rPr>
          <w:rFonts w:ascii="Times New Roman" w:cs="Times New Roman" w:eastAsia="Times New Roman" w:hAnsi="Times New Roman"/>
          <w:sz w:val="18"/>
          <w:szCs w:val="18"/>
          <w:u w:val="single" w:color="auto"/>
          <w:color w:val="0000FF"/>
        </w:rPr>
      </w:pPr>
    </w:p>
    <w:p>
      <w:pPr>
        <w:ind w:left="1380" w:hanging="99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hyperlink r:id="rId985">
        <w:r>
          <w:rPr>
            <w:rFonts w:ascii="Times New Roman" w:cs="Times New Roman" w:eastAsia="Times New Roman" w:hAnsi="Times New Roman"/>
            <w:sz w:val="18"/>
            <w:szCs w:val="18"/>
            <w:u w:val="single" w:color="auto"/>
            <w:color w:val="0000FF"/>
          </w:rPr>
          <w:t>Code of Regulations of the Registrant (incorporated by reference to Exhibit 3.2 to the Company’s Quarterly Report on Form 10-Q that</w:t>
        </w:r>
      </w:hyperlink>
      <w:r>
        <w:rPr>
          <w:rFonts w:ascii="Times New Roman" w:cs="Times New Roman" w:eastAsia="Times New Roman" w:hAnsi="Times New Roman"/>
          <w:sz w:val="18"/>
          <w:szCs w:val="18"/>
          <w:u w:val="single" w:color="auto"/>
          <w:color w:val="0000FF"/>
        </w:rPr>
        <w:t xml:space="preserve"> </w:t>
      </w:r>
      <w:hyperlink r:id="rId985">
        <w:r>
          <w:rPr>
            <w:rFonts w:ascii="Times New Roman" w:cs="Times New Roman" w:eastAsia="Times New Roman" w:hAnsi="Times New Roman"/>
            <w:sz w:val="18"/>
            <w:szCs w:val="18"/>
            <w:u w:val="single" w:color="auto"/>
            <w:color w:val="0000FF"/>
          </w:rPr>
          <w:t>was filed with the Commission on July 26, 2017).</w:t>
        </w:r>
      </w:hyperlink>
    </w:p>
    <w:p>
      <w:pPr>
        <w:spacing w:after="0" w:line="80" w:lineRule="exact"/>
        <w:rPr>
          <w:rFonts w:ascii="Times New Roman" w:cs="Times New Roman" w:eastAsia="Times New Roman" w:hAnsi="Times New Roman"/>
          <w:sz w:val="18"/>
          <w:szCs w:val="18"/>
          <w:u w:val="single" w:color="auto"/>
          <w:color w:val="0000FF"/>
        </w:rPr>
      </w:pPr>
    </w:p>
    <w:p>
      <w:pPr>
        <w:ind w:left="1380" w:hanging="999"/>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hyperlink r:id="rId986">
        <w:r>
          <w:rPr>
            <w:rFonts w:ascii="Times New Roman" w:cs="Times New Roman" w:eastAsia="Times New Roman" w:hAnsi="Times New Roman"/>
            <w:sz w:val="18"/>
            <w:szCs w:val="18"/>
            <w:u w:val="single" w:color="auto"/>
            <w:color w:val="0000FF"/>
          </w:rPr>
          <w:t>Description of Registrant's Common Stock (incorporated by reference to Exhibit 4.1 to Registrant's Annual Report on Form 10-K filed</w:t>
        </w:r>
      </w:hyperlink>
      <w:r>
        <w:rPr>
          <w:rFonts w:ascii="Times New Roman" w:cs="Times New Roman" w:eastAsia="Times New Roman" w:hAnsi="Times New Roman"/>
          <w:sz w:val="18"/>
          <w:szCs w:val="18"/>
          <w:u w:val="single" w:color="auto"/>
          <w:color w:val="0000FF"/>
        </w:rPr>
        <w:t xml:space="preserve"> </w:t>
      </w:r>
      <w:hyperlink r:id="rId986">
        <w:r>
          <w:rPr>
            <w:rFonts w:ascii="Times New Roman" w:cs="Times New Roman" w:eastAsia="Times New Roman" w:hAnsi="Times New Roman"/>
            <w:sz w:val="18"/>
            <w:szCs w:val="18"/>
            <w:u w:val="single" w:color="auto"/>
            <w:color w:val="0000FF"/>
          </w:rPr>
          <w:t>with the Commission on February 26,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870585</wp:posOffset>
            </wp:positionH>
            <wp:positionV relativeFrom="paragraph">
              <wp:posOffset>-1128395</wp:posOffset>
            </wp:positionV>
            <wp:extent cx="624967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7">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-991235</wp:posOffset>
            </wp:positionV>
            <wp:extent cx="251333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8">
                      <a:extLst>
                        <a:ext uri="{28A0092B-C50C-407E-A947-70E740481C1C}"/>
                      </a:extLst>
                    </a:blip>
                    <a:srcRect/>
                    <a:stretch>
                      <a:fillRect/>
                    </a:stretch>
                  </pic:blipFill>
                  <pic:spPr bwMode="auto">
                    <a:xfrm>
                      <a:off x="0" y="0"/>
                      <a:ext cx="251333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-768350</wp:posOffset>
            </wp:positionV>
            <wp:extent cx="266509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9">
                      <a:extLst>
                        <a:ext uri="{28A0092B-C50C-407E-A947-70E740481C1C}"/>
                      </a:extLst>
                    </a:blip>
                    <a:srcRect/>
                    <a:stretch>
                      <a:fillRect/>
                    </a:stretch>
                  </pic:blipFill>
                  <pic:spPr bwMode="auto">
                    <a:xfrm>
                      <a:off x="0" y="0"/>
                      <a:ext cx="266509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-545465</wp:posOffset>
            </wp:positionV>
            <wp:extent cx="62572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0">
                      <a:extLst>
                        <a:ext uri="{28A0092B-C50C-407E-A947-70E740481C1C}"/>
                      </a:extLst>
                    </a:blip>
                    <a:srcRect/>
                    <a:stretch>
                      <a:fillRect/>
                    </a:stretch>
                  </pic:blipFill>
                  <pic:spPr bwMode="auto">
                    <a:xfrm>
                      <a:off x="0" y="0"/>
                      <a:ext cx="625729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-408305</wp:posOffset>
            </wp:positionV>
            <wp:extent cx="227838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1">
                      <a:extLst>
                        <a:ext uri="{28A0092B-C50C-407E-A947-70E740481C1C}"/>
                      </a:extLst>
                    </a:blip>
                    <a:srcRect/>
                    <a:stretch>
                      <a:fillRect/>
                    </a:stretch>
                  </pic:blipFill>
                  <pic:spPr bwMode="auto">
                    <a:xfrm>
                      <a:off x="0" y="0"/>
                      <a:ext cx="22783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-185420</wp:posOffset>
            </wp:positionV>
            <wp:extent cx="625602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2">
                      <a:extLst>
                        <a:ext uri="{28A0092B-C50C-407E-A947-70E740481C1C}"/>
                      </a:extLst>
                    </a:blip>
                    <a:srcRect/>
                    <a:stretch>
                      <a:fillRect/>
                    </a:stretch>
                  </pic:blipFill>
                  <pic:spPr bwMode="auto">
                    <a:xfrm>
                      <a:off x="0" y="0"/>
                      <a:ext cx="625602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-48260</wp:posOffset>
            </wp:positionV>
            <wp:extent cx="205676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3">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u w:val="single" w:color="auto"/>
          <w:color w:val="0000FF"/>
        </w:rPr>
      </w:pPr>
    </w:p>
    <w:tbl>
      <w:tblPr>
        <w:tblLayout w:type="fixed"/>
        <w:tblInd w:w="38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20" w:type="dxa"/>
            <w:vAlign w:val="bottom"/>
            <w:gridSpan w:val="4"/>
          </w:tcPr>
          <w:p>
            <w:pPr>
              <w:spacing w:after="0"/>
              <w:rPr>
                <w:rFonts w:ascii="Times New Roman" w:cs="Times New Roman" w:eastAsia="Times New Roman" w:hAnsi="Times New Roman"/>
                <w:sz w:val="18"/>
                <w:szCs w:val="18"/>
                <w:color w:val="0000FF"/>
              </w:rPr>
            </w:pPr>
            <w:hyperlink r:id="rId994">
              <w:r>
                <w:rPr>
                  <w:rFonts w:ascii="Times New Roman" w:cs="Times New Roman" w:eastAsia="Times New Roman" w:hAnsi="Times New Roman"/>
                  <w:sz w:val="18"/>
                  <w:szCs w:val="18"/>
                  <w:color w:val="0000FF"/>
                </w:rPr>
                <w:t>Form of 3.25% Fixed to Floating Rate Subordinated Note due July 30, 2031 (included as Exhibit A to the Purchase Agreement filed as</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6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20" w:type="dxa"/>
            <w:vAlign w:val="bottom"/>
            <w:gridSpan w:val="4"/>
          </w:tcPr>
          <w:p>
            <w:pPr>
              <w:spacing w:after="0" w:line="196" w:lineRule="exact"/>
              <w:rPr>
                <w:rFonts w:ascii="Times New Roman" w:cs="Times New Roman" w:eastAsia="Times New Roman" w:hAnsi="Times New Roman"/>
                <w:sz w:val="18"/>
                <w:szCs w:val="18"/>
                <w:color w:val="0000FF"/>
              </w:rPr>
            </w:pPr>
            <w:hyperlink r:id="rId994">
              <w:r>
                <w:rPr>
                  <w:rFonts w:ascii="Times New Roman" w:cs="Times New Roman" w:eastAsia="Times New Roman" w:hAnsi="Times New Roman"/>
                  <w:sz w:val="18"/>
                  <w:szCs w:val="18"/>
                  <w:color w:val="0000FF"/>
                </w:rPr>
                <w:t>Exhibit 10.6 hereto).</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4"/>
          </w:tcPr>
          <w:p>
            <w:pPr>
              <w:spacing w:after="0"/>
              <w:rPr>
                <w:rFonts w:ascii="Times New Roman" w:cs="Times New Roman" w:eastAsia="Times New Roman" w:hAnsi="Times New Roman"/>
                <w:sz w:val="18"/>
                <w:szCs w:val="18"/>
                <w:color w:val="0000FF"/>
              </w:rPr>
            </w:pPr>
            <w:hyperlink r:id="rId995">
              <w:r>
                <w:rPr>
                  <w:rFonts w:ascii="Times New Roman" w:cs="Times New Roman" w:eastAsia="Times New Roman" w:hAnsi="Times New Roman"/>
                  <w:sz w:val="18"/>
                  <w:szCs w:val="18"/>
                  <w:color w:val="0000FF"/>
                </w:rPr>
                <w:t>Form of Change in Control Agreement executed by and between the Company and Barbara J. Britenriker on December 26, 2012</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20" w:type="dxa"/>
            <w:vAlign w:val="bottom"/>
            <w:gridSpan w:val="4"/>
          </w:tcPr>
          <w:p>
            <w:pPr>
              <w:spacing w:after="0" w:line="196" w:lineRule="exact"/>
              <w:rPr>
                <w:rFonts w:ascii="Times New Roman" w:cs="Times New Roman" w:eastAsia="Times New Roman" w:hAnsi="Times New Roman"/>
                <w:sz w:val="18"/>
                <w:szCs w:val="18"/>
                <w:color w:val="0000FF"/>
              </w:rPr>
            </w:pPr>
            <w:hyperlink r:id="rId995">
              <w:r>
                <w:rPr>
                  <w:rFonts w:ascii="Times New Roman" w:cs="Times New Roman" w:eastAsia="Times New Roman" w:hAnsi="Times New Roman"/>
                  <w:sz w:val="18"/>
                  <w:szCs w:val="18"/>
                  <w:color w:val="0000FF"/>
                </w:rPr>
                <w:t>(incorporated by reference to Exhibit 10.1 to the Annual Report on Form 10-K filed with the Commission on February 25, 2013).</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4"/>
          </w:tcPr>
          <w:p>
            <w:pPr>
              <w:spacing w:after="0"/>
              <w:rPr>
                <w:rFonts w:ascii="Times New Roman" w:cs="Times New Roman" w:eastAsia="Times New Roman" w:hAnsi="Times New Roman"/>
                <w:sz w:val="18"/>
                <w:szCs w:val="18"/>
                <w:color w:val="0000FF"/>
                <w:w w:val="99"/>
              </w:rPr>
            </w:pPr>
            <w:hyperlink r:id="rId996">
              <w:r>
                <w:rPr>
                  <w:rFonts w:ascii="Times New Roman" w:cs="Times New Roman" w:eastAsia="Times New Roman" w:hAnsi="Times New Roman"/>
                  <w:sz w:val="18"/>
                  <w:szCs w:val="18"/>
                  <w:color w:val="0000FF"/>
                  <w:w w:val="99"/>
                </w:rPr>
                <w:t>Form of Change in Control Agreement executed by and between the Company and Rex D. Rice on December 26, 2012 (incorporated by</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808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20" w:type="dxa"/>
            <w:vAlign w:val="bottom"/>
            <w:gridSpan w:val="4"/>
          </w:tcPr>
          <w:p>
            <w:pPr>
              <w:spacing w:after="0" w:line="196" w:lineRule="exact"/>
              <w:rPr>
                <w:rFonts w:ascii="Times New Roman" w:cs="Times New Roman" w:eastAsia="Times New Roman" w:hAnsi="Times New Roman"/>
                <w:sz w:val="18"/>
                <w:szCs w:val="18"/>
                <w:color w:val="0000FF"/>
              </w:rPr>
            </w:pPr>
            <w:hyperlink r:id="rId996">
              <w:r>
                <w:rPr>
                  <w:rFonts w:ascii="Times New Roman" w:cs="Times New Roman" w:eastAsia="Times New Roman" w:hAnsi="Times New Roman"/>
                  <w:sz w:val="18"/>
                  <w:szCs w:val="18"/>
                  <w:color w:val="0000FF"/>
                </w:rPr>
                <w:t>reference to Exhibit 10.2 to the Annual Report on Form 10-K filed with the Commission on February 25, 2013).</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6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20"/>
          </w:cols>
          <w:pgMar w:left="320" w:top="833" w:right="359" w:bottom="1440" w:gutter="0" w:footer="0" w:header="0"/>
        </w:sectPr>
      </w:pPr>
    </w:p>
    <w:p>
      <w:pPr>
        <w:ind w:left="380"/>
        <w:spacing w:after="0"/>
        <w:rPr>
          <w:sz w:val="20"/>
          <w:szCs w:val="20"/>
          <w:color w:val="auto"/>
        </w:rPr>
      </w:pPr>
      <w:r>
        <w:rPr>
          <w:rFonts w:ascii="Times New Roman" w:cs="Times New Roman" w:eastAsia="Times New Roman" w:hAnsi="Times New Roman"/>
          <w:sz w:val="17"/>
          <w:szCs w:val="17"/>
          <w:color w:val="auto"/>
        </w:rPr>
        <w:t>(10.3)</w:t>
      </w: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997">
        <w:r>
          <w:rPr>
            <w:rFonts w:ascii="Times New Roman" w:cs="Times New Roman" w:eastAsia="Times New Roman" w:hAnsi="Times New Roman"/>
            <w:sz w:val="18"/>
            <w:szCs w:val="18"/>
            <w:u w:val="single" w:color="auto"/>
            <w:color w:val="0000FF"/>
          </w:rPr>
          <w:t>Employment Agreement executed by and between The Farmers &amp; Merchants State Bank and Lars B. Eller on September 1, 2021</w:t>
        </w:r>
      </w:hyperlink>
      <w:r>
        <w:rPr>
          <w:rFonts w:ascii="Times New Roman" w:cs="Times New Roman" w:eastAsia="Times New Roman" w:hAnsi="Times New Roman"/>
          <w:sz w:val="18"/>
          <w:szCs w:val="18"/>
          <w:u w:val="single" w:color="auto"/>
          <w:color w:val="0000FF"/>
        </w:rPr>
        <w:t xml:space="preserve"> </w:t>
      </w:r>
      <w:hyperlink r:id="rId997">
        <w:r>
          <w:rPr>
            <w:rFonts w:ascii="Times New Roman" w:cs="Times New Roman" w:eastAsia="Times New Roman" w:hAnsi="Times New Roman"/>
            <w:sz w:val="18"/>
            <w:szCs w:val="18"/>
            <w:u w:val="single" w:color="auto"/>
            <w:color w:val="0000FF"/>
          </w:rPr>
          <w:t>(incorporated by reference to Exhibit 10.1 to Registrant’s Report on Form 8-K filed with the Commission on August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25348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8">
                      <a:extLst>
                        <a:ext uri="{28A0092B-C50C-407E-A947-70E740481C1C}"/>
                      </a:extLst>
                    </a:blip>
                    <a:srcRect/>
                    <a:stretch>
                      <a:fillRect/>
                    </a:stretch>
                  </pic:blipFill>
                  <pic:spPr bwMode="auto">
                    <a:xfrm>
                      <a:off x="0" y="0"/>
                      <a:ext cx="62534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581977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9">
                      <a:extLst>
                        <a:ext uri="{28A0092B-C50C-407E-A947-70E740481C1C}"/>
                      </a:extLst>
                    </a:blip>
                    <a:srcRect/>
                    <a:stretch>
                      <a:fillRect/>
                    </a:stretch>
                  </pic:blipFill>
                  <pic:spPr bwMode="auto">
                    <a:xfrm>
                      <a:off x="0" y="0"/>
                      <a:ext cx="5819775" cy="8890"/>
                    </a:xfrm>
                    <a:prstGeom prst="rect">
                      <a:avLst/>
                    </a:prstGeom>
                    <a:noFill/>
                  </pic:spPr>
                </pic:pic>
              </a:graphicData>
            </a:graphic>
          </wp:anchor>
        </w:drawing>
      </w:r>
    </w:p>
    <w:p>
      <w:pPr>
        <w:spacing w:after="0" w:line="61"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000">
        <w:r>
          <w:rPr>
            <w:rFonts w:ascii="Times New Roman" w:cs="Times New Roman" w:eastAsia="Times New Roman" w:hAnsi="Times New Roman"/>
            <w:sz w:val="18"/>
            <w:szCs w:val="18"/>
            <w:u w:val="single" w:color="auto"/>
            <w:color w:val="0000FF"/>
          </w:rPr>
          <w:t>Farmers &amp; Merchants Bancorp, Inc. 2015 Long-Term Stock Incentive Plan (incorporated by reference to Appendix A to Registrant’s</w:t>
        </w:r>
      </w:hyperlink>
      <w:r>
        <w:rPr>
          <w:rFonts w:ascii="Times New Roman" w:cs="Times New Roman" w:eastAsia="Times New Roman" w:hAnsi="Times New Roman"/>
          <w:sz w:val="18"/>
          <w:szCs w:val="18"/>
          <w:u w:val="single" w:color="auto"/>
          <w:color w:val="0000FF"/>
        </w:rPr>
        <w:t xml:space="preserve"> </w:t>
      </w:r>
      <w:hyperlink r:id="rId1000">
        <w:r>
          <w:rPr>
            <w:rFonts w:ascii="Times New Roman" w:cs="Times New Roman" w:eastAsia="Times New Roman" w:hAnsi="Times New Roman"/>
            <w:sz w:val="18"/>
            <w:szCs w:val="18"/>
            <w:u w:val="single" w:color="auto"/>
            <w:color w:val="0000FF"/>
          </w:rPr>
          <w:t>Definitive 14A Proxy Statement, File No. 000-14492, filed with the Commission on March 16,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25665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1">
                      <a:extLst>
                        <a:ext uri="{28A0092B-C50C-407E-A947-70E740481C1C}"/>
                      </a:extLst>
                    </a:blip>
                    <a:srcRect/>
                    <a:stretch>
                      <a:fillRect/>
                    </a:stretch>
                  </pic:blipFill>
                  <pic:spPr bwMode="auto">
                    <a:xfrm>
                      <a:off x="0" y="0"/>
                      <a:ext cx="6256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466788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2">
                      <a:extLst>
                        <a:ext uri="{28A0092B-C50C-407E-A947-70E740481C1C}"/>
                      </a:extLst>
                    </a:blip>
                    <a:srcRect/>
                    <a:stretch>
                      <a:fillRect/>
                    </a:stretch>
                  </pic:blipFill>
                  <pic:spPr bwMode="auto">
                    <a:xfrm>
                      <a:off x="0" y="0"/>
                      <a:ext cx="4667885" cy="825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800" w:space="580"/>
            <w:col w:w="9840"/>
          </w:cols>
          <w:pgMar w:left="320" w:top="833" w:right="359" w:bottom="1440" w:gutter="0" w:footer="0" w:header="0"/>
          <w:type w:val="continuous"/>
        </w:sectPr>
      </w:pPr>
    </w:p>
    <w:p>
      <w:pPr>
        <w:jc w:val="both"/>
        <w:ind w:left="1380" w:hanging="998"/>
        <w:spacing w:after="0" w:line="28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003">
        <w:r>
          <w:rPr>
            <w:rFonts w:ascii="Times New Roman" w:cs="Times New Roman" w:eastAsia="Times New Roman" w:hAnsi="Times New Roman"/>
            <w:sz w:val="18"/>
            <w:szCs w:val="18"/>
            <w:u w:val="single" w:color="auto"/>
            <w:color w:val="0000FF"/>
          </w:rPr>
          <w:t>Form on Restricted Stock Agreement (incorporated by reference to Exhibit 10.2 to the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1003">
        <w:r>
          <w:rPr>
            <w:rFonts w:ascii="Times New Roman" w:cs="Times New Roman" w:eastAsia="Times New Roman" w:hAnsi="Times New Roman"/>
            <w:sz w:val="18"/>
            <w:szCs w:val="18"/>
            <w:u w:val="single" w:color="auto"/>
            <w:color w:val="0000FF"/>
          </w:rPr>
          <w:t>Commission on October 27,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-185420</wp:posOffset>
            </wp:positionV>
            <wp:extent cx="624967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4">
                      <a:extLst>
                        <a:ext uri="{28A0092B-C50C-407E-A947-70E740481C1C}"/>
                      </a:extLst>
                    </a:blip>
                    <a:srcRect/>
                    <a:stretch>
                      <a:fillRect/>
                    </a:stretch>
                  </pic:blipFill>
                  <pic:spPr bwMode="auto">
                    <a:xfrm>
                      <a:off x="0" y="0"/>
                      <a:ext cx="624967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-48260</wp:posOffset>
            </wp:positionV>
            <wp:extent cx="161226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5">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61" w:lineRule="exact"/>
        <w:rPr>
          <w:sz w:val="20"/>
          <w:szCs w:val="20"/>
          <w:color w:val="auto"/>
        </w:rPr>
      </w:pPr>
    </w:p>
    <w:p>
      <w:pPr>
        <w:jc w:val="both"/>
        <w:ind w:left="1380" w:hanging="998"/>
        <w:spacing w:after="0" w:line="266"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994">
        <w:r>
          <w:rPr>
            <w:rFonts w:ascii="Times New Roman" w:cs="Times New Roman" w:eastAsia="Times New Roman" w:hAnsi="Times New Roman"/>
            <w:sz w:val="18"/>
            <w:szCs w:val="18"/>
            <w:u w:val="single" w:color="auto"/>
            <w:color w:val="0000FF"/>
          </w:rPr>
          <w:t>Form of Subordinated Note Purchase Agreement, dated July 30, 2021, by and among Farmers &amp; Merchants Bancorp, Inc, and the</w:t>
        </w:r>
      </w:hyperlink>
      <w:r>
        <w:rPr>
          <w:rFonts w:ascii="Times New Roman" w:cs="Times New Roman" w:eastAsia="Times New Roman" w:hAnsi="Times New Roman"/>
          <w:sz w:val="18"/>
          <w:szCs w:val="18"/>
          <w:u w:val="single" w:color="auto"/>
          <w:color w:val="0000FF"/>
        </w:rPr>
        <w:t xml:space="preserve"> </w:t>
      </w:r>
      <w:hyperlink r:id="rId994">
        <w:r>
          <w:rPr>
            <w:rFonts w:ascii="Times New Roman" w:cs="Times New Roman" w:eastAsia="Times New Roman" w:hAnsi="Times New Roman"/>
            <w:sz w:val="18"/>
            <w:szCs w:val="18"/>
            <w:u w:val="single" w:color="auto"/>
            <w:color w:val="0000FF"/>
          </w:rPr>
          <w:t>Purchasers (as defined therein) (incorporated by reference to Exhibit 10.1 to the Current Report on Form 8-K filed with the Commission</w:t>
        </w:r>
      </w:hyperlink>
      <w:r>
        <w:rPr>
          <w:rFonts w:ascii="Times New Roman" w:cs="Times New Roman" w:eastAsia="Times New Roman" w:hAnsi="Times New Roman"/>
          <w:sz w:val="18"/>
          <w:szCs w:val="18"/>
          <w:u w:val="single" w:color="auto"/>
          <w:color w:val="0000FF"/>
        </w:rPr>
        <w:t xml:space="preserve"> </w:t>
      </w:r>
      <w:hyperlink r:id="rId994">
        <w:r>
          <w:rPr>
            <w:rFonts w:ascii="Times New Roman" w:cs="Times New Roman" w:eastAsia="Times New Roman" w:hAnsi="Times New Roman"/>
            <w:sz w:val="18"/>
            <w:szCs w:val="18"/>
            <w:u w:val="single" w:color="auto"/>
            <w:color w:val="0000FF"/>
          </w:rPr>
          <w:t>on August 2,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870585</wp:posOffset>
            </wp:positionH>
            <wp:positionV relativeFrom="paragraph">
              <wp:posOffset>-313055</wp:posOffset>
            </wp:positionV>
            <wp:extent cx="625094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6">
                      <a:extLst>
                        <a:ext uri="{28A0092B-C50C-407E-A947-70E740481C1C}"/>
                      </a:extLst>
                    </a:blip>
                    <a:srcRect/>
                    <a:stretch>
                      <a:fillRect/>
                    </a:stretch>
                  </pic:blipFill>
                  <pic:spPr bwMode="auto">
                    <a:xfrm>
                      <a:off x="0" y="0"/>
                      <a:ext cx="625094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-175895</wp:posOffset>
            </wp:positionV>
            <wp:extent cx="625221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7">
                      <a:extLst>
                        <a:ext uri="{28A0092B-C50C-407E-A947-70E740481C1C}"/>
                      </a:extLst>
                    </a:blip>
                    <a:srcRect/>
                    <a:stretch>
                      <a:fillRect/>
                    </a:stretch>
                  </pic:blipFill>
                  <pic:spPr bwMode="auto">
                    <a:xfrm>
                      <a:off x="0" y="0"/>
                      <a:ext cx="625221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-38735</wp:posOffset>
            </wp:positionV>
            <wp:extent cx="9105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8">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75" w:lineRule="exact"/>
        <w:rPr>
          <w:rFonts w:ascii="Times New Roman" w:cs="Times New Roman" w:eastAsia="Times New Roman" w:hAnsi="Times New Roman"/>
          <w:sz w:val="18"/>
          <w:szCs w:val="18"/>
          <w:u w:val="single" w:color="auto"/>
          <w:color w:val="0000FF"/>
        </w:rPr>
      </w:pPr>
    </w:p>
    <w:p>
      <w:pPr>
        <w:jc w:val="both"/>
        <w:ind w:left="1380" w:hanging="998"/>
        <w:spacing w:after="0" w:line="28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009">
        <w:r>
          <w:rPr>
            <w:rFonts w:ascii="Times New Roman" w:cs="Times New Roman" w:eastAsia="Times New Roman" w:hAnsi="Times New Roman"/>
            <w:sz w:val="18"/>
            <w:szCs w:val="18"/>
            <w:u w:val="single" w:color="auto"/>
            <w:color w:val="0000FF"/>
          </w:rPr>
          <w:t>Form of Change in Control Agreement executed by and between the Company and Benet S. Rupp on July 1, 2019 (incorporated by</w:t>
        </w:r>
      </w:hyperlink>
      <w:r>
        <w:rPr>
          <w:rFonts w:ascii="Times New Roman" w:cs="Times New Roman" w:eastAsia="Times New Roman" w:hAnsi="Times New Roman"/>
          <w:sz w:val="18"/>
          <w:szCs w:val="18"/>
          <w:u w:val="single" w:color="auto"/>
          <w:color w:val="0000FF"/>
        </w:rPr>
        <w:t xml:space="preserve"> </w:t>
      </w:r>
      <w:hyperlink r:id="rId1009">
        <w:r>
          <w:rPr>
            <w:rFonts w:ascii="Times New Roman" w:cs="Times New Roman" w:eastAsia="Times New Roman" w:hAnsi="Times New Roman"/>
            <w:sz w:val="18"/>
            <w:szCs w:val="18"/>
            <w:u w:val="single" w:color="auto"/>
            <w:color w:val="0000FF"/>
          </w:rPr>
          <w:t>reference to Exhibit 10.1 to the Company's Quarterly Report on Form 10-Q that was filed with the Commission on October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-185420</wp:posOffset>
            </wp:positionV>
            <wp:extent cx="625538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0">
                      <a:extLst>
                        <a:ext uri="{28A0092B-C50C-407E-A947-70E740481C1C}"/>
                      </a:extLst>
                    </a:blip>
                    <a:srcRect/>
                    <a:stretch>
                      <a:fillRect/>
                    </a:stretch>
                  </pic:blipFill>
                  <pic:spPr bwMode="auto">
                    <a:xfrm>
                      <a:off x="0" y="0"/>
                      <a:ext cx="625538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-48260</wp:posOffset>
            </wp:positionV>
            <wp:extent cx="613219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1">
                      <a:extLst>
                        <a:ext uri="{28A0092B-C50C-407E-A947-70E740481C1C}"/>
                      </a:extLst>
                    </a:blip>
                    <a:srcRect/>
                    <a:stretch>
                      <a:fillRect/>
                    </a:stretch>
                  </pic:blipFill>
                  <pic:spPr bwMode="auto">
                    <a:xfrm>
                      <a:off x="0" y="0"/>
                      <a:ext cx="6132195" cy="8890"/>
                    </a:xfrm>
                    <a:prstGeom prst="rect">
                      <a:avLst/>
                    </a:prstGeom>
                    <a:noFill/>
                  </pic:spPr>
                </pic:pic>
              </a:graphicData>
            </a:graphic>
          </wp:anchor>
        </w:drawing>
      </w:r>
    </w:p>
    <w:p>
      <w:pPr>
        <w:spacing w:after="0" w:line="61" w:lineRule="exact"/>
        <w:rPr>
          <w:sz w:val="20"/>
          <w:szCs w:val="20"/>
          <w:color w:val="auto"/>
        </w:rPr>
      </w:pPr>
    </w:p>
    <w:p>
      <w:pPr>
        <w:ind w:left="1380" w:hanging="1008"/>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Farmers &amp; Merchants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236093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2">
                      <a:extLst>
                        <a:ext uri="{28A0092B-C50C-407E-A947-70E740481C1C}"/>
                      </a:extLst>
                    </a:blip>
                    <a:srcRect/>
                    <a:stretch>
                      <a:fillRect/>
                    </a:stretch>
                  </pic:blipFill>
                  <pic:spPr bwMode="auto">
                    <a:xfrm>
                      <a:off x="0" y="0"/>
                      <a:ext cx="2360930" cy="8890"/>
                    </a:xfrm>
                    <a:prstGeom prst="rect">
                      <a:avLst/>
                    </a:prstGeom>
                    <a:noFill/>
                  </pic:spPr>
                </pic:pic>
              </a:graphicData>
            </a:graphic>
          </wp:anchor>
        </w:drawing>
      </w:r>
    </w:p>
    <w:p>
      <w:pPr>
        <w:spacing w:after="0" w:line="124" w:lineRule="exact"/>
        <w:rPr>
          <w:sz w:val="20"/>
          <w:szCs w:val="20"/>
          <w:color w:val="auto"/>
        </w:rPr>
      </w:pPr>
    </w:p>
    <w:p>
      <w:pPr>
        <w:ind w:left="1380" w:hanging="1008"/>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FORVIS,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118427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3">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124"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Required under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400494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4">
                      <a:extLst>
                        <a:ext uri="{28A0092B-C50C-407E-A947-70E740481C1C}"/>
                      </a:extLst>
                    </a:blip>
                    <a:srcRect/>
                    <a:stretch>
                      <a:fillRect/>
                    </a:stretch>
                  </pic:blipFill>
                  <pic:spPr bwMode="auto">
                    <a:xfrm>
                      <a:off x="0" y="0"/>
                      <a:ext cx="4004945" cy="8255"/>
                    </a:xfrm>
                    <a:prstGeom prst="rect">
                      <a:avLst/>
                    </a:prstGeom>
                    <a:noFill/>
                  </pic:spPr>
                </pic:pic>
              </a:graphicData>
            </a:graphic>
          </wp:anchor>
        </w:drawing>
      </w:r>
    </w:p>
    <w:p>
      <w:pPr>
        <w:spacing w:after="0" w:line="124"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Required under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397319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5">
                      <a:extLst>
                        <a:ext uri="{28A0092B-C50C-407E-A947-70E740481C1C}"/>
                      </a:extLst>
                    </a:blip>
                    <a:srcRect/>
                    <a:stretch>
                      <a:fillRect/>
                    </a:stretch>
                  </pic:blipFill>
                  <pic:spPr bwMode="auto">
                    <a:xfrm>
                      <a:off x="0" y="0"/>
                      <a:ext cx="3973195" cy="8890"/>
                    </a:xfrm>
                    <a:prstGeom prst="rect">
                      <a:avLst/>
                    </a:prstGeom>
                    <a:noFill/>
                  </pic:spPr>
                </pic:pic>
              </a:graphicData>
            </a:graphic>
          </wp:anchor>
        </w:drawing>
      </w:r>
    </w:p>
    <w:p>
      <w:pPr>
        <w:spacing w:after="0" w:line="259"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476377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6">
                      <a:extLst>
                        <a:ext uri="{28A0092B-C50C-407E-A947-70E740481C1C}"/>
                      </a:extLst>
                    </a:blip>
                    <a:srcRect/>
                    <a:stretch>
                      <a:fillRect/>
                    </a:stretch>
                  </pic:blipFill>
                  <pic:spPr bwMode="auto">
                    <a:xfrm>
                      <a:off x="0" y="0"/>
                      <a:ext cx="4763770" cy="8890"/>
                    </a:xfrm>
                    <a:prstGeom prst="rect">
                      <a:avLst/>
                    </a:prstGeom>
                    <a:noFill/>
                  </pic:spPr>
                </pic:pic>
              </a:graphicData>
            </a:graphic>
          </wp:anchor>
        </w:drawing>
      </w:r>
    </w:p>
    <w:p>
      <w:pPr>
        <w:spacing w:after="0" w:line="259"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473202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7">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type w:val="continuous"/>
        </w:sectPr>
      </w:pPr>
    </w:p>
    <w:bookmarkStart w:id="126" w:name="page127"/>
    <w:bookmarkEnd w:id="126"/>
    <w:tbl>
      <w:tblPr>
        <w:tblLayout w:type="fixed"/>
        <w:tblInd w:w="38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317"/>
        </w:trPr>
        <w:tc>
          <w:tcPr>
            <w:tcW w:w="820" w:type="dxa"/>
            <w:vAlign w:val="bottom"/>
          </w:tcPr>
          <w:p>
            <w:pPr>
              <w:spacing w:after="0"/>
              <w:rPr>
                <w:sz w:val="24"/>
                <w:szCs w:val="24"/>
                <w:color w:val="auto"/>
              </w:rPr>
            </w:pP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embedded within the Inline XBRL document. </w:t>
            </w:r>
            <w:r>
              <w:rPr>
                <w:rFonts w:ascii="Times New Roman" w:cs="Times New Roman" w:eastAsia="Times New Roman" w:hAnsi="Times New Roman"/>
                <w:sz w:val="24"/>
                <w:szCs w:val="24"/>
                <w:color w:val="auto"/>
                <w:vertAlign w:val="superscript"/>
              </w:rPr>
              <w:t>(1)</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24"/>
                <w:szCs w:val="24"/>
                <w:color w:val="auto"/>
                <w:vertAlign w:val="superscript"/>
              </w:rPr>
              <w:t>(1)</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24"/>
                <w:szCs w:val="24"/>
                <w:color w:val="auto"/>
                <w:vertAlign w:val="superscript"/>
              </w:rPr>
              <w:t>(1)</w:t>
            </w:r>
          </w:p>
        </w:tc>
      </w:tr>
      <w:tr>
        <w:trPr>
          <w:trHeight w:val="3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24"/>
                <w:szCs w:val="24"/>
                <w:color w:val="auto"/>
                <w:vertAlign w:val="superscript"/>
              </w:rPr>
              <w:t>(1)</w:t>
            </w:r>
          </w:p>
        </w:tc>
      </w:tr>
      <w:tr>
        <w:trPr>
          <w:trHeight w:val="3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24"/>
                <w:szCs w:val="24"/>
                <w:color w:val="auto"/>
                <w:vertAlign w:val="superscript"/>
              </w:rPr>
              <w:t>(1)</w:t>
            </w: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24"/>
                <w:szCs w:val="24"/>
                <w:color w:val="auto"/>
                <w:vertAlign w:val="superscript"/>
              </w:rPr>
              <w:t>(1)</w:t>
            </w:r>
          </w:p>
        </w:tc>
      </w:tr>
    </w:tbl>
    <w:p>
      <w:pPr>
        <w:ind w:left="1380" w:right="20" w:hanging="1008"/>
        <w:spacing w:after="0" w:line="258" w:lineRule="auto"/>
        <w:tabs>
          <w:tab w:leader="none" w:pos="13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2021, has been formatted in Inline XBRL.</w:t>
      </w:r>
    </w:p>
    <w:p>
      <w:pPr>
        <w:spacing w:after="0" w:line="88" w:lineRule="exact"/>
        <w:rPr>
          <w:rFonts w:ascii="Times New Roman" w:cs="Times New Roman" w:eastAsia="Times New Roman" w:hAnsi="Times New Roman"/>
          <w:sz w:val="18"/>
          <w:szCs w:val="18"/>
          <w:color w:val="auto"/>
        </w:rPr>
      </w:pPr>
    </w:p>
    <w:p>
      <w:pPr>
        <w:ind w:firstLine="8"/>
        <w:spacing w:after="0" w:line="251" w:lineRule="auto"/>
        <w:tabs>
          <w:tab w:leader="none" w:pos="185"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5080" w:type="dxa"/>
        <w:tblCellMar>
          <w:top w:w="0" w:type="dxa"/>
          <w:left w:w="0" w:type="dxa"/>
          <w:bottom w:w="0" w:type="dxa"/>
          <w:right w:w="0" w:type="dxa"/>
        </w:tblCellMar>
      </w:tblPr>
      <w:tr>
        <w:trPr>
          <w:trHeight w:val="241"/>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Lars B. Eller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  February 27, 2024</w:t>
            </w:r>
          </w:p>
        </w:tc>
      </w:tr>
      <w:tr>
        <w:trPr>
          <w:trHeight w:val="234"/>
        </w:trPr>
        <w:tc>
          <w:tcPr>
            <w:tcW w:w="300" w:type="dxa"/>
            <w:vAlign w:val="bottom"/>
          </w:tcPr>
          <w:p>
            <w:pPr>
              <w:spacing w:after="0"/>
              <w:rPr>
                <w:sz w:val="20"/>
                <w:szCs w:val="20"/>
                <w:color w:val="auto"/>
              </w:rPr>
            </w:pPr>
          </w:p>
        </w:tc>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Lars B. Eller</w:t>
            </w:r>
          </w:p>
        </w:tc>
        <w:tc>
          <w:tcPr>
            <w:tcW w:w="68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38"/>
        </w:trPr>
        <w:tc>
          <w:tcPr>
            <w:tcW w:w="3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68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 w:type="dxa"/>
            <w:vAlign w:val="bottom"/>
          </w:tcPr>
          <w:p>
            <w:pPr>
              <w:spacing w:after="0"/>
              <w:rPr>
                <w:sz w:val="20"/>
                <w:szCs w:val="20"/>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Lars B. Eller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Barbara J. Britenriker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Officer/Principal Accounting Officer)</w:t>
            </w:r>
          </w:p>
        </w:tc>
        <w:tc>
          <w:tcPr>
            <w:tcW w:w="60" w:type="dxa"/>
            <w:vAlign w:val="bottom"/>
          </w:tcPr>
          <w:p>
            <w:pPr>
              <w:spacing w:after="0"/>
              <w:rPr>
                <w:sz w:val="21"/>
                <w:szCs w:val="21"/>
                <w:color w:val="auto"/>
              </w:rPr>
            </w:pPr>
          </w:p>
        </w:tc>
      </w:tr>
      <w:tr>
        <w:trPr>
          <w:trHeight w:val="493"/>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D. Boyce</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J. Briggs</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Ian D. Boyce,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Andrew J. Briggs,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Eugene N. Burkholder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 Ellen Hornish</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Eugene N. Burkholder,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Jo Ellen Hornish,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C. Johnson</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A. Johnston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Jack C. Johnson,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Lori A. Johnston,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Marcia S. Latta</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J. Planson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Marcia S. Latta,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Steven J. Planson,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J. Sauder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Frank R. Simon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Kevin J. Sauder,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Frank R. Simon,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Brad Stamm</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P. Vernon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27, 2024</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 Brad Stamm,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David P. Vernon,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00"/>
        </w:trPr>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80" w:type="dxa"/>
            <w:vAlign w:val="bottom"/>
            <w:gridSpan w:val="3"/>
          </w:tcPr>
          <w:p>
            <w:pPr>
              <w:jc w:val="right"/>
              <w:ind w:right="2670"/>
              <w:spacing w:after="0"/>
              <w:rPr>
                <w:sz w:val="20"/>
                <w:szCs w:val="20"/>
                <w:color w:val="auto"/>
              </w:rPr>
            </w:pPr>
            <w:r>
              <w:rPr>
                <w:rFonts w:ascii="Times New Roman" w:cs="Times New Roman" w:eastAsia="Times New Roman" w:hAnsi="Times New Roman"/>
                <w:sz w:val="18"/>
                <w:szCs w:val="18"/>
                <w:color w:val="auto"/>
              </w:rPr>
              <w:t>128</w:t>
            </w: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ATTACHMENT TO CERTIFICATE OF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ARTICLES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at a meeting duly convened and held on April 17, 2023, and in accordance with Chapter 1701 of the Ohio Revised Code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Articles of Incorporation, the Shareholders of Farmers &amp; Merchants Bancorp, Inc., an Ohio corporation, adopted the following resolutions: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Article FOURTH of the Amended Articles of Incorporation, be and hereby is, amended in its entirety as follows:</w:t>
      </w:r>
    </w:p>
    <w:p>
      <w:pPr>
        <w:spacing w:after="0" w:line="200" w:lineRule="exact"/>
        <w:rPr>
          <w:sz w:val="20"/>
          <w:szCs w:val="20"/>
          <w:color w:val="auto"/>
        </w:rPr>
      </w:pPr>
    </w:p>
    <w:p>
      <w:pPr>
        <w:spacing w:after="0" w:line="219" w:lineRule="exact"/>
        <w:rPr>
          <w:sz w:val="20"/>
          <w:szCs w:val="20"/>
          <w:color w:val="auto"/>
        </w:rPr>
      </w:pPr>
    </w:p>
    <w:p>
      <w:pPr>
        <w:jc w:val="both"/>
        <w:ind w:firstLine="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number of shares (collectively the “Shares”) that the Corporation is authorized to have outstanding is Twenty Million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Hundred Thousand (20,100,000), consisting of: (i) 20,000,000 common shares, without par value (the “Common Shares”); and (ii) 100,000 preferred shares, without par value (the “Preferred Shares”). The Shares shall have the following terms:</w:t>
      </w:r>
    </w:p>
    <w:p>
      <w:pPr>
        <w:spacing w:after="0" w:line="283"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the Common Shares are entitled at all times, except in the election of directors where the Common Shares may be voted cumulatively in accordance with Ohio law, to one (1) vote for each Common Share and to such dividends as the Board of Directors may in its discretion periodically declare, subject, however, to any voting and dividend rights of the holders of the Preferred Shares. In the event of any liquidation, dissolution or winding up of the Corporation, the remaining assets of the Corporation after the payment of all debts and necessary expenses shall be distributed among the holders of the Common Shares pro rata in accordance with their respective shareholdings, subject, however, to the rights of the holders of the Preferred Shares then outstanding. The Common Shares are subject to all of the terms and provisions of any Preferred Shares as established by the Board of Directors in accordance with this Article FOURTH.</w:t>
      </w:r>
    </w:p>
    <w:p>
      <w:pPr>
        <w:spacing w:after="0" w:line="29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Board of Directors is hereby expressly authorized in its discretion to adopt amendments to the Articles of Incorporation to provide for the issuance of one (1) or more series of Preferred Shares; to establish periodically the number of Preferred Shares to be included in each such series; and to fix the designation, powers, preferences, voting rights, dividend rights, conversion rights, and other rights of the Preferred Shares of each such series and any qualifications, limitations or restrictions thereof, to the fullest extent permitted by law. Preferred Shares redeemed or otherwise acquired by the Corporation shall become authorized but unissued Preferred Shares, shall be unclassified as to series, and may thereafter be reissued in the same manner as other authorized but unissued Preferred Shares.</w:t>
      </w:r>
    </w:p>
    <w:p>
      <w:pPr>
        <w:spacing w:after="0" w:line="29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Preemptive Rights: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specifically provided in connection with the authorization of a series of Preferred Shares, no holder of any Shares of any class of the Corporation shall be entitled to the preemptive right to subscribe for, purchase, or receive any part of any new or additional Shares of any class, whether now or hereafter authorized, or any securities exchangeable for or convertible into such Shares, or any warrants or other instruments evidencing rights or options to subscribe for, purchase or otherwise acquire such Shares.</w:t>
      </w:r>
    </w:p>
    <w:p>
      <w:pPr>
        <w:spacing w:after="0" w:line="3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Lars B. Eller, as President of the Corporation is hereby authorized and directed to file a Certificate of Amendment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Ohio Secretary of State regarding these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SUBSIDIARIES OF FARMERS &amp; MERCHANTS BANCORP, INC</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FARMERS &amp; MERCHANTS STATE BANK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FARMERS &amp; MERCHANTS RISK MANAGEMENT,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Subsidiary was dissolved in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349240" cy="82296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4">
                      <a:extLst>
                        <a:ext uri="{28A0092B-C50C-407E-A947-70E740481C1C}"/>
                      </a:extLst>
                    </a:blip>
                    <a:srcRect/>
                    <a:stretch>
                      <a:fillRect/>
                    </a:stretch>
                  </pic:blipFill>
                  <pic:spPr bwMode="auto">
                    <a:xfrm>
                      <a:off x="0" y="0"/>
                      <a:ext cx="53492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(SEC File No. 333-248781) of our report dated February 27, 2024, on our audits of the consolidated financial statements of Farmers &amp; Merchants Bancorp, Inc. as of December 31, 2023 and 2022, and for the three-year period ended December 31, 2023, which report is included in Farmers &amp; Merchants Bancorp, Inc.’s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FORVIS,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Wayne,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Chief Executive Officer of Farmers &amp; Merchants Bancorp, Inc., certify that:</w:t>
      </w:r>
    </w:p>
    <w:p>
      <w:pPr>
        <w:spacing w:after="0" w:line="225"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1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4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firstLine="10"/>
        <w:spacing w:after="0" w:line="282" w:lineRule="auto"/>
        <w:tabs>
          <w:tab w:leader="none" w:pos="8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27, 2024</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Lars B. Eller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Chief Financial Officer of Farmers &amp; Merchants Bancorp, Inc., certify that:</w:t>
      </w:r>
    </w:p>
    <w:p>
      <w:pPr>
        <w:spacing w:after="0" w:line="225"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1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4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firstLine="10"/>
        <w:spacing w:after="0" w:line="282" w:lineRule="auto"/>
        <w:tabs>
          <w:tab w:leader="none" w:pos="8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7"/>
          <w:szCs w:val="17"/>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Barbara J. Britenriker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ENACTED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Farmers &amp; Merchants Bancorp, Inc. for the year ended December 31, 2023, as filed with the Securities and Exchange Commission (the “Report”), I, Lars B. Eller, Chief Executive Officer, of the Company, certify, pursuant to 18 U.S.C. 1350, as added by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Lars B. Eller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ENACTED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Farmers &amp; Merchants Bancorp, Inc. for the year ended December 31, 2023, as filed with the Securities and Exchange Commission (the “Report”), I, Barbara J. Britenriker, Chief Financial Officer, of the Company, certify, pursuant to 18 U.S.C. 1350, as added by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7"/>
          <w:szCs w:val="17"/>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Barbara J. Britenriker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lvl w:ilvl="1">
      <w:lvlJc w:val="left"/>
      <w:lvlText w:val="o"/>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amp;"/>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o"/>
      <w:numFmt w:val="bullet"/>
      <w:start w:val="1"/>
    </w:lvl>
  </w:abstractNum>
  <w:abstractNum w:abstractNumId="13">
    <w:nsid w:val="8EDBDAB"/>
    <w:multiLevelType w:val="hybridMultilevel"/>
    <w:lvl w:ilvl="0">
      <w:lvlJc w:val="left"/>
      <w:lvlText w:val="o"/>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lvl w:ilvl="1">
      <w:lvlJc w:val="left"/>
      <w:lvlText w:val="%2."/>
      <w:numFmt w:val="lowerLetter"/>
      <w:start w:val="1"/>
    </w:lvl>
  </w:abstractNum>
  <w:abstractNum w:abstractNumId="18">
    <w:nsid w:val="54E49EB4"/>
    <w:multiLevelType w:val="hybridMultilevel"/>
    <w:lvl w:ilvl="0">
      <w:lvlJc w:val="left"/>
      <w:lvlText w:val="%1."/>
      <w:numFmt w:val="decimal"/>
      <w:start w:val="5"/>
    </w:lvl>
    <w:lvl w:ilvl="1">
      <w:lvlJc w:val="left"/>
      <w:lvlText w:val="%2."/>
      <w:numFmt w:val="lowerLetter"/>
      <w:start w:val="1"/>
    </w:lvl>
  </w:abstractNum>
  <w:abstractNum w:abstractNumId="19">
    <w:nsid w:val="71F32454"/>
    <w:multiLevelType w:val="hybridMultilevel"/>
    <w:lvl w:ilvl="0">
      <w:lvlJc w:val="left"/>
      <w:lvlText w:val="%1."/>
      <w:numFmt w:val="decimal"/>
      <w:start w:val="8"/>
    </w:lvl>
    <w:lvl w:ilvl="1">
      <w:lvlJc w:val="left"/>
      <w:lvlText w:val="%2."/>
      <w:numFmt w:val="lowerLetter"/>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Letter"/>
      <w:start w:val="1"/>
    </w:lvl>
    <w:lvl w:ilvl="1">
      <w:lvlJc w:val="left"/>
      <w:lvlText w:val="(%2)"/>
      <w:numFmt w:val="decimal"/>
      <w:start w:val="1"/>
    </w:lvl>
  </w:abstractNum>
  <w:abstractNum w:abstractNumId="24">
    <w:nsid w:val="8138641"/>
    <w:multiLevelType w:val="hybridMultilevel"/>
    <w:lvl w:ilvl="0">
      <w:lvlJc w:val="left"/>
      <w:lvlText w:val="(%1)"/>
      <w:numFmt w:val="decimal"/>
      <w:start w:val="21"/>
    </w:lvl>
  </w:abstractNum>
  <w:abstractNum w:abstractNumId="25">
    <w:nsid w:val="1E7FF521"/>
    <w:multiLevelType w:val="hybridMultilevel"/>
    <w:lvl w:ilvl="0">
      <w:lvlJc w:val="left"/>
      <w:lvlText w:val="(%1)"/>
      <w:numFmt w:val="decimal"/>
      <w:start w:val="23"/>
    </w:lvl>
  </w:abstractNum>
  <w:abstractNum w:abstractNumId="26">
    <w:nsid w:val="7C3DBD3D"/>
    <w:multiLevelType w:val="hybridMultilevel"/>
    <w:lvl w:ilvl="0">
      <w:lvlJc w:val="left"/>
      <w:lvlText w:val="%1"/>
      <w:numFmt w:val="decimal"/>
      <w:start w:val="1"/>
    </w:lvl>
    <w:lvl w:ilvl="1">
      <w:lvlJc w:val="left"/>
      <w:lvlText w:val="%2"/>
      <w:numFmt w:val="decimal"/>
      <w:start w:val="104"/>
    </w:lvl>
  </w:abstractNum>
  <w:abstractNum w:abstractNumId="27">
    <w:nsid w:val="737B8DDC"/>
    <w:multiLevelType w:val="hybridMultilevel"/>
    <w:lvl w:ilvl="0">
      <w:lvlJc w:val="left"/>
      <w:lvlText w:val="(%1)"/>
      <w:numFmt w:val="decimal"/>
      <w:start w:val="1"/>
    </w:lvl>
    <w:lvl w:ilvl="1">
      <w:lvlJc w:val="left"/>
      <w:lvlText w:val="%2"/>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jpeg"/><Relationship Id="rId975" Type="http://schemas.openxmlformats.org/officeDocument/2006/relationships/image" Target="media/image968.png"/><Relationship Id="rId976" Type="http://schemas.openxmlformats.org/officeDocument/2006/relationships/image" Target="media/image969.jpe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7" Type="http://schemas.openxmlformats.org/officeDocument/2006/relationships/image" Target="media/image977.png"/><Relationship Id="rId988" Type="http://schemas.openxmlformats.org/officeDocument/2006/relationships/image" Target="media/image978.png"/><Relationship Id="rId989" Type="http://schemas.openxmlformats.org/officeDocument/2006/relationships/image" Target="media/image979.png"/><Relationship Id="rId990" Type="http://schemas.openxmlformats.org/officeDocument/2006/relationships/image" Target="media/image980.png"/><Relationship Id="rId991" Type="http://schemas.openxmlformats.org/officeDocument/2006/relationships/image" Target="media/image981.png"/><Relationship Id="rId992" Type="http://schemas.openxmlformats.org/officeDocument/2006/relationships/image" Target="media/image982.png"/><Relationship Id="rId993" Type="http://schemas.openxmlformats.org/officeDocument/2006/relationships/image" Target="media/image983.png"/><Relationship Id="rId998" Type="http://schemas.openxmlformats.org/officeDocument/2006/relationships/image" Target="media/image984.png"/><Relationship Id="rId999" Type="http://schemas.openxmlformats.org/officeDocument/2006/relationships/image" Target="media/image985.png"/><Relationship Id="rId1001" Type="http://schemas.openxmlformats.org/officeDocument/2006/relationships/image" Target="media/image986.png"/><Relationship Id="rId1002" Type="http://schemas.openxmlformats.org/officeDocument/2006/relationships/image" Target="media/image987.png"/><Relationship Id="rId1004" Type="http://schemas.openxmlformats.org/officeDocument/2006/relationships/image" Target="media/image988.png"/><Relationship Id="rId1005" Type="http://schemas.openxmlformats.org/officeDocument/2006/relationships/image" Target="media/image989.png"/><Relationship Id="rId1006" Type="http://schemas.openxmlformats.org/officeDocument/2006/relationships/image" Target="media/image990.png"/><Relationship Id="rId1007" Type="http://schemas.openxmlformats.org/officeDocument/2006/relationships/image" Target="media/image991.png"/><Relationship Id="rId1008" Type="http://schemas.openxmlformats.org/officeDocument/2006/relationships/image" Target="media/image992.png"/><Relationship Id="rId1010" Type="http://schemas.openxmlformats.org/officeDocument/2006/relationships/image" Target="media/image993.png"/><Relationship Id="rId1011" Type="http://schemas.openxmlformats.org/officeDocument/2006/relationships/image" Target="media/image994.png"/><Relationship Id="rId1012" Type="http://schemas.openxmlformats.org/officeDocument/2006/relationships/image" Target="media/image995.png"/><Relationship Id="rId1013" Type="http://schemas.openxmlformats.org/officeDocument/2006/relationships/image" Target="media/image996.png"/><Relationship Id="rId1014" Type="http://schemas.openxmlformats.org/officeDocument/2006/relationships/image" Target="media/image997.png"/><Relationship Id="rId1015" Type="http://schemas.openxmlformats.org/officeDocument/2006/relationships/image" Target="media/image998.png"/><Relationship Id="rId1016" Type="http://schemas.openxmlformats.org/officeDocument/2006/relationships/image" Target="media/image999.png"/><Relationship Id="rId1017" Type="http://schemas.openxmlformats.org/officeDocument/2006/relationships/image" Target="media/image1000.png"/><Relationship Id="rId1018" Type="http://schemas.openxmlformats.org/officeDocument/2006/relationships/image" Target="media/image1001.png"/><Relationship Id="rId1019" Type="http://schemas.openxmlformats.org/officeDocument/2006/relationships/image" Target="media/image1002.png"/><Relationship Id="rId1020" Type="http://schemas.openxmlformats.org/officeDocument/2006/relationships/image" Target="media/image1003.png"/><Relationship Id="rId1021" Type="http://schemas.openxmlformats.org/officeDocument/2006/relationships/image" Target="media/image1004.png"/><Relationship Id="rId1022" Type="http://schemas.openxmlformats.org/officeDocument/2006/relationships/image" Target="media/image1005.png"/><Relationship Id="rId1023" Type="http://schemas.openxmlformats.org/officeDocument/2006/relationships/image" Target="media/image1006.png"/><Relationship Id="rId1024" Type="http://schemas.openxmlformats.org/officeDocument/2006/relationships/image" Target="media/image1007.jpeg"/><Relationship Id="rId1025" Type="http://schemas.openxmlformats.org/officeDocument/2006/relationships/image" Target="media/image1008.png"/><Relationship Id="rId1026" Type="http://schemas.openxmlformats.org/officeDocument/2006/relationships/image" Target="media/image1009.png"/><Relationship Id="rId1027" Type="http://schemas.openxmlformats.org/officeDocument/2006/relationships/image" Target="media/image1010.png"/><Relationship Id="rId1028" Type="http://schemas.openxmlformats.org/officeDocument/2006/relationships/image" Target="media/image1011.png"/><Relationship Id="rId1029" Type="http://schemas.openxmlformats.org/officeDocument/2006/relationships/image" Target="media/image1012.png"/><Relationship Id="rId1030" Type="http://schemas.openxmlformats.org/officeDocument/2006/relationships/image" Target="media/image1013.png"/><Relationship Id="rId1031" Type="http://schemas.openxmlformats.org/officeDocument/2006/relationships/image" Target="media/image1014.png"/><Relationship Id="rId1032" Type="http://schemas.openxmlformats.org/officeDocument/2006/relationships/image" Target="media/image1015.png"/><Relationship Id="rId1033" Type="http://schemas.openxmlformats.org/officeDocument/2006/relationships/image" Target="media/image1016.png"/><Relationship Id="rId984" Type="http://schemas.openxmlformats.org/officeDocument/2006/relationships/hyperlink" Target="https://www.sec.gov/Archives/edgar/data/792966/000119312517318709/d447990dex31.htm" TargetMode="External"/><Relationship Id="rId985" Type="http://schemas.openxmlformats.org/officeDocument/2006/relationships/hyperlink" Target="https://www.sec.gov/Archives/edgar/data/792966/000119312517235925/d422994dex32.htm" TargetMode="External"/><Relationship Id="rId986" Type="http://schemas.openxmlformats.org/officeDocument/2006/relationships/hyperlink" Target="https://www.sec.gov/Archives/edgar/data/792966/000156459020006695/fmao-ex41_282.htm" TargetMode="External"/><Relationship Id="rId994" Type="http://schemas.openxmlformats.org/officeDocument/2006/relationships/hyperlink" Target="https://www.sec.gov/Archives/edgar/data/792966/000156459021039640/fmao-ex101_70.htm" TargetMode="External"/><Relationship Id="rId995" Type="http://schemas.openxmlformats.org/officeDocument/2006/relationships/hyperlink" Target="https://www.sec.gov/Archives/edgar/data/792966/000119312513073008/d445099dex101.htm" TargetMode="External"/><Relationship Id="rId996" Type="http://schemas.openxmlformats.org/officeDocument/2006/relationships/hyperlink" Target="https://www.sec.gov/Archives/edgar/data/792966/000119312513073008/d445099dex102.htm" TargetMode="External"/><Relationship Id="rId997" Type="http://schemas.openxmlformats.org/officeDocument/2006/relationships/hyperlink" Target="https://www.sec.gov/Archives/edgar/data/792966/000156459021045036/fmao-ex101_7.htm" TargetMode="External"/><Relationship Id="rId1000" Type="http://schemas.openxmlformats.org/officeDocument/2006/relationships/hyperlink" Target="https://www.sec.gov/Archives/edgar/data/792966/000119312515093241/d891255ddef14a.htm" TargetMode="External"/><Relationship Id="rId1003" Type="http://schemas.openxmlformats.org/officeDocument/2006/relationships/hyperlink" Target="https://www.sec.gov/Archives/edgar/data/792966/000095012405005979/k99341exv10w2.txt" TargetMode="External"/><Relationship Id="rId1009" Type="http://schemas.openxmlformats.org/officeDocument/2006/relationships/hyperlink" Target="https://www.sec.gov/Archives/edgar/data/792966/000095017022020005/fma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2024-02-27T16:47:53Z</dcterms:created>
  <dcterms:modified xsi:type="dcterms:W3CDTF">2024-02-27T16:47:53Z</dcterms:modified>
</cp:coreProperties>
</file>