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45720</wp:posOffset>
            </wp:positionV>
            <wp:extent cx="2065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5" w:lineRule="exact"/>
        <w:rPr>
          <w:sz w:val="24"/>
          <w:szCs w:val="24"/>
          <w:color w:val="auto"/>
        </w:rPr>
      </w:pPr>
    </w:p>
    <w:p>
      <w:pPr>
        <w:jc w:val="center"/>
        <w:spacing w:after="0" w:line="288" w:lineRule="exact"/>
        <w:rPr>
          <w:sz w:val="20"/>
          <w:szCs w:val="20"/>
          <w:color w:val="auto"/>
        </w:rPr>
      </w:pPr>
      <w:r>
        <w:rPr>
          <w:rFonts w:ascii="Arial" w:cs="Arial" w:eastAsia="Arial" w:hAnsi="Arial"/>
          <w:sz w:val="25"/>
          <w:szCs w:val="25"/>
          <w:b w:val="1"/>
          <w:bCs w:val="1"/>
          <w:color w:val="auto"/>
        </w:rPr>
        <w:t>FORM 10</w:t>
      </w:r>
      <w:r>
        <w:rPr>
          <w:rFonts w:ascii="MS PGothic" w:cs="MS PGothic" w:eastAsia="MS PGothic" w:hAnsi="MS PGothic"/>
          <w:sz w:val="25"/>
          <w:szCs w:val="25"/>
          <w:b w:val="1"/>
          <w:bCs w:val="1"/>
          <w:color w:val="auto"/>
        </w:rPr>
        <w:t>‑</w:t>
      </w:r>
      <w:r>
        <w:rPr>
          <w:rFonts w:ascii="Arial" w:cs="Arial" w:eastAsia="Arial" w:hAnsi="Arial"/>
          <w:sz w:val="25"/>
          <w:szCs w:val="25"/>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57785</wp:posOffset>
            </wp:positionV>
            <wp:extent cx="2065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14" w:lineRule="exact"/>
        <w:rPr>
          <w:sz w:val="24"/>
          <w:szCs w:val="24"/>
          <w:color w:val="auto"/>
        </w:rPr>
      </w:pPr>
    </w:p>
    <w:p>
      <w:pPr>
        <w:ind w:left="560" w:hanging="555"/>
        <w:spacing w:after="0"/>
        <w:tabs>
          <w:tab w:leader="none" w:pos="560" w:val="left"/>
        </w:tabs>
        <w:numPr>
          <w:ilvl w:val="0"/>
          <w:numId w:val="1"/>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Annual Report Pursuant to Section 13 or 15(d) of the Securities Exchange Act of 1934</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 w:lineRule="exact"/>
        <w:rPr>
          <w:sz w:val="24"/>
          <w:szCs w:val="24"/>
          <w:color w:val="auto"/>
        </w:rPr>
      </w:pPr>
    </w:p>
    <w:p>
      <w:pPr>
        <w:ind w:left="560" w:hanging="555"/>
        <w:spacing w:after="0"/>
        <w:tabs>
          <w:tab w:leader="none" w:pos="56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3"/>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Pr>
          <w:p>
            <w:pPr>
              <w:ind w:left="180"/>
              <w:spacing w:after="0"/>
              <w:rPr>
                <w:sz w:val="20"/>
                <w:szCs w:val="20"/>
                <w:color w:val="auto"/>
              </w:rPr>
            </w:pPr>
            <w:r>
              <w:rPr>
                <w:rFonts w:ascii="Arial" w:cs="Arial" w:eastAsia="Arial" w:hAnsi="Arial"/>
                <w:sz w:val="16"/>
                <w:szCs w:val="16"/>
                <w:b w:val="1"/>
                <w:bCs w:val="1"/>
                <w:color w:val="auto"/>
                <w:w w:val="91"/>
              </w:rPr>
              <w:t>For the transition period from</w:t>
            </w:r>
          </w:p>
        </w:tc>
        <w:tc>
          <w:tcPr>
            <w:tcW w:w="300" w:type="dxa"/>
            <w:vAlign w:val="bottom"/>
            <w:tcBorders>
              <w:bottom w:val="single" w:sz="8" w:color="auto"/>
            </w:tcBorders>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16"/>
        </w:trPr>
        <w:tc>
          <w:tcPr>
            <w:tcW w:w="1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4"/>
          </w:tcPr>
          <w:p>
            <w:pPr>
              <w:jc w:val="center"/>
              <w:ind w:left="183"/>
              <w:spacing w:after="0"/>
              <w:rPr>
                <w:sz w:val="20"/>
                <w:szCs w:val="20"/>
                <w:color w:val="auto"/>
              </w:rPr>
            </w:pPr>
            <w:r>
              <w:rPr>
                <w:rFonts w:ascii="Arial" w:cs="Arial" w:eastAsia="Arial" w:hAnsi="Arial"/>
                <w:sz w:val="16"/>
                <w:szCs w:val="16"/>
                <w:b w:val="1"/>
                <w:bCs w:val="1"/>
                <w:color w:val="auto"/>
                <w:w w:val="89"/>
              </w:rPr>
              <w:t>Commission File Number 001-38084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3"/>
        </w:trPr>
        <w:tc>
          <w:tcPr>
            <w:tcW w:w="1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20" w:type="dxa"/>
            <w:vAlign w:val="bottom"/>
            <w:gridSpan w:val="2"/>
          </w:tcPr>
          <w:p>
            <w:pPr>
              <w:spacing w:after="0"/>
              <w:rPr>
                <w:sz w:val="6"/>
                <w:szCs w:val="6"/>
                <w:color w:val="auto"/>
              </w:rPr>
            </w:pPr>
          </w:p>
        </w:tc>
        <w:tc>
          <w:tcPr>
            <w:tcW w:w="920" w:type="dxa"/>
            <w:vAlign w:val="bottom"/>
          </w:tcPr>
          <w:p>
            <w:pPr>
              <w:spacing w:after="0"/>
              <w:rPr>
                <w:sz w:val="6"/>
                <w:szCs w:val="6"/>
                <w:color w:val="auto"/>
              </w:rPr>
            </w:pPr>
          </w:p>
        </w:tc>
      </w:tr>
      <w:tr>
        <w:trPr>
          <w:trHeight w:val="468"/>
        </w:trPr>
        <w:tc>
          <w:tcPr>
            <w:tcW w:w="1820" w:type="dxa"/>
            <w:vAlign w:val="bottom"/>
          </w:tcPr>
          <w:p>
            <w:pPr>
              <w:spacing w:after="0"/>
              <w:rPr>
                <w:sz w:val="24"/>
                <w:szCs w:val="24"/>
                <w:color w:val="auto"/>
              </w:rPr>
            </w:pPr>
          </w:p>
        </w:tc>
        <w:tc>
          <w:tcPr>
            <w:tcW w:w="9600" w:type="dxa"/>
            <w:vAlign w:val="bottom"/>
            <w:gridSpan w:val="14"/>
          </w:tcPr>
          <w:p>
            <w:pPr>
              <w:jc w:val="center"/>
              <w:ind w:right="1800"/>
              <w:spacing w:after="0"/>
              <w:rPr>
                <w:sz w:val="20"/>
                <w:szCs w:val="20"/>
                <w:color w:val="auto"/>
              </w:rPr>
            </w:pPr>
            <w:r>
              <w:rPr>
                <w:rFonts w:ascii="Arial" w:cs="Arial" w:eastAsia="Arial" w:hAnsi="Arial"/>
                <w:sz w:val="35"/>
                <w:szCs w:val="35"/>
                <w:b w:val="1"/>
                <w:bCs w:val="1"/>
                <w:color w:val="auto"/>
                <w:w w:val="99"/>
              </w:rPr>
              <w:t>FARMERS &amp; MERCHANTS BANCORP, INC.</w:t>
            </w:r>
          </w:p>
        </w:tc>
      </w:tr>
      <w:tr>
        <w:trPr>
          <w:trHeight w:val="52"/>
        </w:trPr>
        <w:tc>
          <w:tcPr>
            <w:tcW w:w="1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37"/>
        </w:trPr>
        <w:tc>
          <w:tcPr>
            <w:tcW w:w="6340" w:type="dxa"/>
            <w:vAlign w:val="bottom"/>
            <w:gridSpan w:val="5"/>
          </w:tcPr>
          <w:p>
            <w:pPr>
              <w:jc w:val="center"/>
              <w:ind w:right="2463"/>
              <w:spacing w:after="0"/>
              <w:rPr>
                <w:sz w:val="20"/>
                <w:szCs w:val="20"/>
                <w:color w:val="auto"/>
              </w:rPr>
            </w:pPr>
            <w:r>
              <w:rPr>
                <w:rFonts w:ascii="Arial" w:cs="Arial" w:eastAsia="Arial" w:hAnsi="Arial"/>
                <w:sz w:val="16"/>
                <w:szCs w:val="16"/>
                <w:b w:val="1"/>
                <w:bCs w:val="1"/>
                <w:color w:val="auto"/>
              </w:rPr>
              <w:t>OHIO</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jc w:val="right"/>
              <w:ind w:right="487"/>
              <w:spacing w:after="0"/>
              <w:rPr>
                <w:sz w:val="20"/>
                <w:szCs w:val="20"/>
                <w:color w:val="auto"/>
              </w:rPr>
            </w:pPr>
            <w:r>
              <w:rPr>
                <w:rFonts w:ascii="Arial" w:cs="Arial" w:eastAsia="Arial" w:hAnsi="Arial"/>
                <w:sz w:val="16"/>
                <w:szCs w:val="16"/>
                <w:b w:val="1"/>
                <w:bCs w:val="1"/>
                <w:color w:val="auto"/>
              </w:rPr>
              <w:t>34-1469491</w:t>
            </w:r>
          </w:p>
        </w:tc>
        <w:tc>
          <w:tcPr>
            <w:tcW w:w="920" w:type="dxa"/>
            <w:vAlign w:val="bottom"/>
          </w:tcPr>
          <w:p>
            <w:pPr>
              <w:spacing w:after="0"/>
              <w:rPr>
                <w:sz w:val="20"/>
                <w:szCs w:val="20"/>
                <w:color w:val="auto"/>
              </w:rPr>
            </w:pPr>
          </w:p>
        </w:tc>
      </w:tr>
      <w:tr>
        <w:trPr>
          <w:trHeight w:val="122"/>
        </w:trPr>
        <w:tc>
          <w:tcPr>
            <w:tcW w:w="380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b w:val="1"/>
                <w:bCs w:val="1"/>
                <w:color w:val="auto"/>
                <w:w w:val="91"/>
              </w:rPr>
              <w:t>(State or other jurisdiction of</w:t>
            </w:r>
          </w:p>
        </w:tc>
        <w:tc>
          <w:tcPr>
            <w:tcW w:w="254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4"/>
              </w:rPr>
              <w:t>(IRS Employer</w:t>
            </w:r>
          </w:p>
        </w:tc>
      </w:tr>
      <w:tr>
        <w:trPr>
          <w:trHeight w:val="183"/>
        </w:trPr>
        <w:tc>
          <w:tcPr>
            <w:tcW w:w="6340" w:type="dxa"/>
            <w:vAlign w:val="bottom"/>
            <w:gridSpan w:val="5"/>
          </w:tcPr>
          <w:p>
            <w:pPr>
              <w:jc w:val="center"/>
              <w:ind w:right="2463"/>
              <w:spacing w:after="0"/>
              <w:rPr>
                <w:sz w:val="20"/>
                <w:szCs w:val="20"/>
                <w:color w:val="auto"/>
              </w:rPr>
            </w:pPr>
            <w:r>
              <w:rPr>
                <w:rFonts w:ascii="Arial" w:cs="Arial" w:eastAsia="Arial" w:hAnsi="Arial"/>
                <w:sz w:val="14"/>
                <w:szCs w:val="14"/>
                <w:b w:val="1"/>
                <w:bCs w:val="1"/>
                <w:color w:val="auto"/>
                <w:w w:val="92"/>
              </w:rPr>
              <w:t>incorporation or organization)</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Identification No.)</w:t>
            </w:r>
          </w:p>
        </w:tc>
      </w:tr>
      <w:tr>
        <w:trPr>
          <w:trHeight w:val="234"/>
        </w:trPr>
        <w:tc>
          <w:tcPr>
            <w:tcW w:w="6340" w:type="dxa"/>
            <w:vAlign w:val="bottom"/>
            <w:gridSpan w:val="5"/>
          </w:tcPr>
          <w:p>
            <w:pPr>
              <w:jc w:val="center"/>
              <w:ind w:right="2463"/>
              <w:spacing w:after="0"/>
              <w:rPr>
                <w:sz w:val="20"/>
                <w:szCs w:val="20"/>
                <w:color w:val="auto"/>
              </w:rPr>
            </w:pPr>
            <w:r>
              <w:rPr>
                <w:rFonts w:ascii="Arial" w:cs="Arial" w:eastAsia="Arial" w:hAnsi="Arial"/>
                <w:sz w:val="16"/>
                <w:szCs w:val="16"/>
                <w:b w:val="1"/>
                <w:bCs w:val="1"/>
                <w:color w:val="auto"/>
                <w:w w:val="90"/>
              </w:rPr>
              <w:t>307 North Defiance Street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5"/>
        </w:trPr>
        <w:tc>
          <w:tcPr>
            <w:tcW w:w="6340" w:type="dxa"/>
            <w:vAlign w:val="bottom"/>
            <w:gridSpan w:val="5"/>
          </w:tcPr>
          <w:p>
            <w:pPr>
              <w:jc w:val="center"/>
              <w:ind w:right="2463"/>
              <w:spacing w:after="0"/>
              <w:rPr>
                <w:sz w:val="20"/>
                <w:szCs w:val="20"/>
                <w:color w:val="auto"/>
              </w:rPr>
            </w:pPr>
            <w:r>
              <w:rPr>
                <w:rFonts w:ascii="Arial" w:cs="Arial" w:eastAsia="Arial" w:hAnsi="Arial"/>
                <w:sz w:val="16"/>
                <w:szCs w:val="16"/>
                <w:b w:val="1"/>
                <w:bCs w:val="1"/>
                <w:color w:val="auto"/>
                <w:w w:val="89"/>
              </w:rPr>
              <w:t>Archbold, Ohio</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Pr>
          <w:p>
            <w:pPr>
              <w:jc w:val="right"/>
              <w:ind w:right="667"/>
              <w:spacing w:after="0"/>
              <w:rPr>
                <w:sz w:val="20"/>
                <w:szCs w:val="20"/>
                <w:color w:val="auto"/>
              </w:rPr>
            </w:pPr>
            <w:r>
              <w:rPr>
                <w:rFonts w:ascii="Arial" w:cs="Arial" w:eastAsia="Arial" w:hAnsi="Arial"/>
                <w:sz w:val="16"/>
                <w:szCs w:val="16"/>
                <w:b w:val="1"/>
                <w:bCs w:val="1"/>
                <w:color w:val="auto"/>
              </w:rPr>
              <w:t>43502</w:t>
            </w:r>
          </w:p>
        </w:tc>
        <w:tc>
          <w:tcPr>
            <w:tcW w:w="920" w:type="dxa"/>
            <w:vAlign w:val="bottom"/>
          </w:tcPr>
          <w:p>
            <w:pPr>
              <w:spacing w:after="0"/>
              <w:rPr>
                <w:sz w:val="17"/>
                <w:szCs w:val="17"/>
                <w:color w:val="auto"/>
              </w:rPr>
            </w:pPr>
          </w:p>
        </w:tc>
      </w:tr>
      <w:tr>
        <w:trPr>
          <w:trHeight w:val="122"/>
        </w:trPr>
        <w:tc>
          <w:tcPr>
            <w:tcW w:w="3800" w:type="dxa"/>
            <w:vAlign w:val="bottom"/>
            <w:tcBorders>
              <w:top w:val="single" w:sz="8" w:color="auto"/>
            </w:tcBorders>
            <w:gridSpan w:val="3"/>
          </w:tcPr>
          <w:p>
            <w:pPr>
              <w:jc w:val="center"/>
              <w:spacing w:after="0" w:line="123" w:lineRule="exact"/>
              <w:rPr>
                <w:sz w:val="20"/>
                <w:szCs w:val="20"/>
                <w:color w:val="auto"/>
              </w:rPr>
            </w:pPr>
            <w:r>
              <w:rPr>
                <w:rFonts w:ascii="Arial" w:cs="Arial" w:eastAsia="Arial" w:hAnsi="Arial"/>
                <w:sz w:val="14"/>
                <w:szCs w:val="14"/>
                <w:b w:val="1"/>
                <w:bCs w:val="1"/>
                <w:color w:val="auto"/>
                <w:w w:val="91"/>
              </w:rPr>
              <w:t>(Address of principal</w:t>
            </w:r>
          </w:p>
        </w:tc>
        <w:tc>
          <w:tcPr>
            <w:tcW w:w="254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gridSpan w:val="2"/>
          </w:tcPr>
          <w:p>
            <w:pPr>
              <w:jc w:val="center"/>
              <w:ind w:right="220"/>
              <w:spacing w:after="0" w:line="123" w:lineRule="exact"/>
              <w:rPr>
                <w:sz w:val="20"/>
                <w:szCs w:val="20"/>
                <w:color w:val="auto"/>
              </w:rPr>
            </w:pPr>
            <w:r>
              <w:rPr>
                <w:rFonts w:ascii="Arial" w:cs="Arial" w:eastAsia="Arial" w:hAnsi="Arial"/>
                <w:sz w:val="14"/>
                <w:szCs w:val="14"/>
                <w:b w:val="1"/>
                <w:bCs w:val="1"/>
                <w:color w:val="auto"/>
                <w:w w:val="95"/>
              </w:rPr>
              <w:t>(Zip Code)</w:t>
            </w:r>
          </w:p>
        </w:tc>
      </w:tr>
      <w:tr>
        <w:trPr>
          <w:trHeight w:val="183"/>
        </w:trPr>
        <w:tc>
          <w:tcPr>
            <w:tcW w:w="6340" w:type="dxa"/>
            <w:vAlign w:val="bottom"/>
            <w:gridSpan w:val="5"/>
          </w:tcPr>
          <w:p>
            <w:pPr>
              <w:jc w:val="center"/>
              <w:ind w:right="2463"/>
              <w:spacing w:after="0"/>
              <w:rPr>
                <w:sz w:val="20"/>
                <w:szCs w:val="20"/>
                <w:color w:val="auto"/>
              </w:rPr>
            </w:pPr>
            <w:r>
              <w:rPr>
                <w:rFonts w:ascii="Arial" w:cs="Arial" w:eastAsia="Arial" w:hAnsi="Arial"/>
                <w:sz w:val="14"/>
                <w:szCs w:val="14"/>
                <w:b w:val="1"/>
                <w:bCs w:val="1"/>
                <w:color w:val="auto"/>
                <w:w w:val="87"/>
              </w:rPr>
              <w:t>Executive offices)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1"/>
        </w:trPr>
        <w:tc>
          <w:tcPr>
            <w:tcW w:w="1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420" w:type="dxa"/>
            <w:vAlign w:val="bottom"/>
            <w:gridSpan w:val="13"/>
          </w:tcPr>
          <w:p>
            <w:pPr>
              <w:jc w:val="center"/>
              <w:ind w:right="3000"/>
              <w:spacing w:after="0"/>
              <w:rPr>
                <w:sz w:val="20"/>
                <w:szCs w:val="20"/>
                <w:color w:val="auto"/>
              </w:rPr>
            </w:pPr>
            <w:r>
              <w:rPr>
                <w:rFonts w:ascii="Arial" w:cs="Arial" w:eastAsia="Arial" w:hAnsi="Arial"/>
                <w:sz w:val="16"/>
                <w:szCs w:val="16"/>
                <w:b w:val="1"/>
                <w:bCs w:val="1"/>
                <w:color w:val="auto"/>
                <w:w w:val="88"/>
              </w:rPr>
              <w:t>Registrant’s telephone number, including area code (419) 446-2501</w:t>
            </w:r>
          </w:p>
        </w:tc>
      </w:tr>
      <w:tr>
        <w:trPr>
          <w:trHeight w:val="250"/>
        </w:trPr>
        <w:tc>
          <w:tcPr>
            <w:tcW w:w="1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900" w:type="dxa"/>
            <w:vAlign w:val="bottom"/>
            <w:gridSpan w:val="11"/>
          </w:tcPr>
          <w:p>
            <w:pPr>
              <w:jc w:val="center"/>
              <w:ind w:left="441"/>
              <w:spacing w:after="0"/>
              <w:rPr>
                <w:sz w:val="20"/>
                <w:szCs w:val="20"/>
                <w:color w:val="auto"/>
              </w:rPr>
            </w:pPr>
            <w:r>
              <w:rPr>
                <w:rFonts w:ascii="Arial" w:cs="Arial" w:eastAsia="Arial" w:hAnsi="Arial"/>
                <w:sz w:val="16"/>
                <w:szCs w:val="16"/>
                <w:b w:val="1"/>
                <w:bCs w:val="1"/>
                <w:color w:val="auto"/>
                <w:w w:val="87"/>
              </w:rPr>
              <w:t>Securities registered pursuant to Section 12(b) of the Act:</w:t>
            </w:r>
          </w:p>
        </w:tc>
        <w:tc>
          <w:tcPr>
            <w:tcW w:w="26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1"/>
        </w:trPr>
        <w:tc>
          <w:tcPr>
            <w:tcW w:w="6340" w:type="dxa"/>
            <w:vAlign w:val="bottom"/>
            <w:gridSpan w:val="5"/>
          </w:tcPr>
          <w:p>
            <w:pPr>
              <w:jc w:val="center"/>
              <w:ind w:right="1443"/>
              <w:spacing w:after="0"/>
              <w:rPr>
                <w:sz w:val="20"/>
                <w:szCs w:val="20"/>
                <w:color w:val="auto"/>
              </w:rPr>
            </w:pPr>
            <w:r>
              <w:rPr>
                <w:rFonts w:ascii="Arial" w:cs="Arial" w:eastAsia="Arial" w:hAnsi="Arial"/>
                <w:sz w:val="16"/>
                <w:szCs w:val="16"/>
                <w:b w:val="1"/>
                <w:bCs w:val="1"/>
                <w:color w:val="auto"/>
                <w:w w:val="85"/>
              </w:rPr>
              <w:t>Title of each class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80" w:type="dxa"/>
            <w:vAlign w:val="bottom"/>
            <w:gridSpan w:val="5"/>
          </w:tcPr>
          <w:p>
            <w:pPr>
              <w:jc w:val="center"/>
              <w:ind w:right="700"/>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180"/>
        </w:trPr>
        <w:tc>
          <w:tcPr>
            <w:tcW w:w="1820" w:type="dxa"/>
            <w:vAlign w:val="bottom"/>
          </w:tcPr>
          <w:p>
            <w:pPr>
              <w:spacing w:after="0"/>
              <w:rPr>
                <w:sz w:val="15"/>
                <w:szCs w:val="15"/>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None</w:t>
            </w:r>
          </w:p>
        </w:tc>
        <w:tc>
          <w:tcPr>
            <w:tcW w:w="3340" w:type="dxa"/>
            <w:vAlign w:val="bottom"/>
            <w:gridSpan w:val="3"/>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tcPr>
          <w:p>
            <w:pPr>
              <w:jc w:val="center"/>
              <w:ind w:right="267"/>
              <w:spacing w:after="0"/>
              <w:rPr>
                <w:sz w:val="20"/>
                <w:szCs w:val="20"/>
                <w:color w:val="auto"/>
              </w:rPr>
            </w:pPr>
            <w:r>
              <w:rPr>
                <w:rFonts w:ascii="Arial" w:cs="Arial" w:eastAsia="Arial" w:hAnsi="Arial"/>
                <w:sz w:val="14"/>
                <w:szCs w:val="14"/>
                <w:b w:val="1"/>
                <w:bCs w:val="1"/>
                <w:color w:val="auto"/>
                <w:w w:val="85"/>
              </w:rPr>
              <w:t>None</w:t>
            </w:r>
          </w:p>
        </w:tc>
        <w:tc>
          <w:tcPr>
            <w:tcW w:w="920" w:type="dxa"/>
            <w:vAlign w:val="bottom"/>
          </w:tcPr>
          <w:p>
            <w:pPr>
              <w:spacing w:after="0"/>
              <w:rPr>
                <w:sz w:val="15"/>
                <w:szCs w:val="15"/>
                <w:color w:val="auto"/>
              </w:rPr>
            </w:pPr>
          </w:p>
        </w:tc>
      </w:tr>
      <w:tr>
        <w:trPr>
          <w:trHeight w:val="241"/>
        </w:trPr>
        <w:tc>
          <w:tcPr>
            <w:tcW w:w="1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900" w:type="dxa"/>
            <w:vAlign w:val="bottom"/>
            <w:gridSpan w:val="11"/>
          </w:tcPr>
          <w:p>
            <w:pPr>
              <w:jc w:val="center"/>
              <w:ind w:left="441"/>
              <w:spacing w:after="0"/>
              <w:rPr>
                <w:sz w:val="20"/>
                <w:szCs w:val="20"/>
                <w:color w:val="auto"/>
              </w:rPr>
            </w:pPr>
            <w:r>
              <w:rPr>
                <w:rFonts w:ascii="Arial" w:cs="Arial" w:eastAsia="Arial" w:hAnsi="Arial"/>
                <w:sz w:val="16"/>
                <w:szCs w:val="16"/>
                <w:b w:val="1"/>
                <w:bCs w:val="1"/>
                <w:color w:val="auto"/>
                <w:w w:val="87"/>
              </w:rPr>
              <w:t>Securities registered pursuant to Section 12(g) of the Act:</w:t>
            </w:r>
          </w:p>
        </w:tc>
        <w:tc>
          <w:tcPr>
            <w:tcW w:w="2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4"/>
        </w:trPr>
        <w:tc>
          <w:tcPr>
            <w:tcW w:w="1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4"/>
          </w:tcPr>
          <w:p>
            <w:pPr>
              <w:jc w:val="center"/>
              <w:ind w:left="203"/>
              <w:spacing w:after="0"/>
              <w:rPr>
                <w:sz w:val="20"/>
                <w:szCs w:val="20"/>
                <w:color w:val="auto"/>
              </w:rPr>
            </w:pPr>
            <w:r>
              <w:rPr>
                <w:rFonts w:ascii="Arial" w:cs="Arial" w:eastAsia="Arial" w:hAnsi="Arial"/>
                <w:sz w:val="16"/>
                <w:szCs w:val="16"/>
                <w:b w:val="1"/>
                <w:bCs w:val="1"/>
                <w:color w:val="auto"/>
                <w:w w:val="88"/>
              </w:rPr>
              <w:t>Common shares without par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83"/>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tcPr>
          <w:p>
            <w:pPr>
              <w:jc w:val="center"/>
              <w:ind w:left="943"/>
              <w:spacing w:after="0"/>
              <w:rPr>
                <w:sz w:val="20"/>
                <w:szCs w:val="20"/>
                <w:color w:val="auto"/>
              </w:rPr>
            </w:pPr>
            <w:r>
              <w:rPr>
                <w:rFonts w:ascii="Arial" w:cs="Arial" w:eastAsia="Arial" w:hAnsi="Arial"/>
                <w:sz w:val="14"/>
                <w:szCs w:val="14"/>
                <w:b w:val="1"/>
                <w:bCs w:val="1"/>
                <w:color w:val="auto"/>
                <w:w w:val="89"/>
              </w:rPr>
              <w:t>(Title of class)</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0"/>
        </w:trPr>
        <w:tc>
          <w:tcPr>
            <w:tcW w:w="1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gridSpan w:val="2"/>
          </w:tcPr>
          <w:p>
            <w:pPr>
              <w:spacing w:after="0"/>
              <w:rPr>
                <w:sz w:val="4"/>
                <w:szCs w:val="4"/>
                <w:color w:val="auto"/>
              </w:rPr>
            </w:pPr>
          </w:p>
        </w:tc>
        <w:tc>
          <w:tcPr>
            <w:tcW w:w="25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gridSpan w:val="2"/>
          </w:tcPr>
          <w:p>
            <w:pPr>
              <w:spacing w:after="0"/>
              <w:rPr>
                <w:sz w:val="4"/>
                <w:szCs w:val="4"/>
                <w:color w:val="auto"/>
              </w:rPr>
            </w:pPr>
          </w:p>
        </w:tc>
        <w:tc>
          <w:tcPr>
            <w:tcW w:w="26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1"/>
        </w:trPr>
        <w:tc>
          <w:tcPr>
            <w:tcW w:w="7080" w:type="dxa"/>
            <w:vAlign w:val="bottom"/>
            <w:gridSpan w:val="8"/>
          </w:tcPr>
          <w:p>
            <w:pPr>
              <w:spacing w:after="0"/>
              <w:rPr>
                <w:sz w:val="20"/>
                <w:szCs w:val="20"/>
                <w:color w:val="auto"/>
              </w:rPr>
            </w:pPr>
            <w:r>
              <w:rPr>
                <w:rFonts w:ascii="Arial" w:cs="Arial" w:eastAsia="Arial" w:hAnsi="Arial"/>
                <w:sz w:val="15"/>
                <w:szCs w:val="15"/>
                <w:color w:val="auto"/>
                <w:w w:val="91"/>
              </w:rPr>
              <w:t>Indicate by check mark if the registrant is a well-known seasoned issuer, as defined in Rule 405 of the Securities Act.</w:t>
            </w:r>
          </w:p>
        </w:tc>
        <w:tc>
          <w:tcPr>
            <w:tcW w:w="820" w:type="dxa"/>
            <w:vAlign w:val="bottom"/>
            <w:gridSpan w:val="5"/>
          </w:tcPr>
          <w:p>
            <w:pPr>
              <w:ind w:left="8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tc>
        <w:tc>
          <w:tcPr>
            <w:tcW w:w="3520" w:type="dxa"/>
            <w:vAlign w:val="bottom"/>
            <w:gridSpan w:val="2"/>
          </w:tcPr>
          <w:p>
            <w:pPr>
              <w:ind w:left="80"/>
              <w:spacing w:after="0" w:line="151" w:lineRule="exact"/>
              <w:rPr>
                <w:sz w:val="20"/>
                <w:szCs w:val="20"/>
                <w:color w:val="auto"/>
              </w:rPr>
            </w:pPr>
            <w:r>
              <w:rPr>
                <w:rFonts w:ascii="MS PGothic" w:cs="MS PGothic" w:eastAsia="MS PGothic" w:hAnsi="MS PGothic"/>
                <w:sz w:val="15"/>
                <w:szCs w:val="15"/>
                <w:color w:val="auto"/>
              </w:rPr>
              <w:t>☒</w:t>
            </w:r>
          </w:p>
        </w:tc>
      </w:tr>
      <w:tr>
        <w:trPr>
          <w:trHeight w:val="237"/>
        </w:trPr>
        <w:tc>
          <w:tcPr>
            <w:tcW w:w="7900" w:type="dxa"/>
            <w:vAlign w:val="bottom"/>
            <w:gridSpan w:val="13"/>
          </w:tcPr>
          <w:p>
            <w:pPr>
              <w:spacing w:after="0"/>
              <w:rPr>
                <w:sz w:val="20"/>
                <w:szCs w:val="20"/>
                <w:color w:val="auto"/>
              </w:rPr>
            </w:pPr>
            <w:r>
              <w:rPr>
                <w:rFonts w:ascii="Arial" w:cs="Arial" w:eastAsia="Arial" w:hAnsi="Arial"/>
                <w:sz w:val="15"/>
                <w:szCs w:val="15"/>
                <w:color w:val="auto"/>
                <w:w w:val="92"/>
              </w:rPr>
              <w:t>Indicate by check mark if the registrant is not required to file reports pursuant to Section 13 or Section 15(d) of the Exchange Act.</w:t>
            </w:r>
          </w:p>
        </w:tc>
        <w:tc>
          <w:tcPr>
            <w:tcW w:w="3520" w:type="dxa"/>
            <w:vAlign w:val="bottom"/>
            <w:gridSpan w:val="2"/>
          </w:tcPr>
          <w:p>
            <w:pPr>
              <w:ind w:left="20"/>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tc>
      </w:tr>
    </w:tbl>
    <w:p>
      <w:pPr>
        <w:spacing w:after="0" w:line="19" w:lineRule="exact"/>
        <w:rPr>
          <w:sz w:val="24"/>
          <w:szCs w:val="24"/>
          <w:color w:val="auto"/>
        </w:rPr>
      </w:pPr>
    </w:p>
    <w:p>
      <w:pPr>
        <w:jc w:val="both"/>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188"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898" w:right="239" w:bottom="1440" w:gutter="0" w:footer="0" w:header="0"/>
        </w:sectPr>
      </w:pPr>
    </w:p>
    <w:p>
      <w:pPr>
        <w:spacing w:after="0" w:line="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83" w:lineRule="exact"/>
        <w:rPr>
          <w:sz w:val="24"/>
          <w:szCs w:val="24"/>
          <w:color w:val="auto"/>
        </w:rPr>
      </w:pPr>
    </w:p>
    <w:p>
      <w:pPr>
        <w:sectPr>
          <w:pgSz w:w="11900" w:h="16838" w:orient="portrait"/>
          <w:cols w:equalWidth="0" w:num="2">
            <w:col w:w="7340" w:space="720"/>
            <w:col w:w="3360"/>
          </w:cols>
          <w:pgMar w:left="240" w:top="898"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5" w:lineRule="exact"/>
        <w:rPr>
          <w:sz w:val="24"/>
          <w:szCs w:val="24"/>
          <w:color w:val="auto"/>
        </w:rPr>
      </w:pPr>
    </w:p>
    <w:p>
      <w:pPr>
        <w:sectPr>
          <w:pgSz w:w="11900" w:h="16838" w:orient="portrait"/>
          <w:cols w:equalWidth="0" w:num="2">
            <w:col w:w="7340" w:space="720"/>
            <w:col w:w="3360"/>
          </w:cols>
          <w:pgMar w:left="240" w:top="898" w:right="2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420"/>
          </w:cols>
          <w:pgMar w:left="240" w:top="898" w:right="239" w:bottom="1440" w:gutter="0" w:footer="0" w:header="0"/>
          <w:type w:val="continuous"/>
        </w:sectPr>
      </w:pPr>
    </w:p>
    <w:p>
      <w:pPr>
        <w:spacing w:after="0" w:line="54" w:lineRule="exact"/>
        <w:rPr>
          <w:sz w:val="24"/>
          <w:szCs w:val="24"/>
          <w:color w:val="auto"/>
        </w:rPr>
      </w:pPr>
    </w:p>
    <w:p>
      <w:pPr>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6" w:lineRule="exact"/>
        <w:rPr>
          <w:sz w:val="24"/>
          <w:szCs w:val="24"/>
          <w:color w:val="auto"/>
        </w:rPr>
      </w:pPr>
    </w:p>
    <w:p>
      <w:pPr>
        <w:spacing w:after="0" w:line="173" w:lineRule="exact"/>
        <w:tabs>
          <w:tab w:leader="none" w:pos="7020" w:val="left"/>
          <w:tab w:leader="none" w:pos="7600" w:val="left"/>
        </w:tabs>
        <w:rPr>
          <w:sz w:val="20"/>
          <w:szCs w:val="20"/>
          <w:color w:val="auto"/>
        </w:rPr>
      </w:pPr>
      <w:r>
        <w:rPr>
          <w:rFonts w:ascii="Arial" w:cs="Arial" w:eastAsia="Arial" w:hAnsi="Arial"/>
          <w:sz w:val="14"/>
          <w:szCs w:val="14"/>
          <w:color w:val="auto"/>
        </w:rPr>
        <w:t>Indicated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5"/>
          <w:szCs w:val="15"/>
          <w:color w:val="auto"/>
        </w:rPr>
        <w:t>As of June 30, 2018, the aggregate market value of the registrant’s common stock held by non-affiliates of the registrant was $373,858,083.</w:t>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As of February 22, 2019, the Registrant had 12,230,000 shares of common stock issued of which 11,107,063 shares are outstanding.</w:t>
      </w:r>
    </w:p>
    <w:p>
      <w:pPr>
        <w:spacing w:after="0" w:line="34" w:lineRule="exact"/>
        <w:rPr>
          <w:sz w:val="24"/>
          <w:szCs w:val="24"/>
          <w:color w:val="auto"/>
        </w:rPr>
      </w:pPr>
    </w:p>
    <w:p>
      <w:pPr>
        <w:ind w:left="4000"/>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42" w:lineRule="exact"/>
        <w:rPr>
          <w:sz w:val="24"/>
          <w:szCs w:val="24"/>
          <w:color w:val="auto"/>
        </w:rPr>
      </w:pPr>
    </w:p>
    <w:p>
      <w:pPr>
        <w:spacing w:after="0"/>
        <w:rPr>
          <w:sz w:val="20"/>
          <w:szCs w:val="20"/>
          <w:color w:val="auto"/>
        </w:rPr>
      </w:pPr>
      <w:r>
        <w:rPr>
          <w:rFonts w:ascii="Arial" w:cs="Arial" w:eastAsia="Arial" w:hAnsi="Arial"/>
          <w:sz w:val="15"/>
          <w:szCs w:val="15"/>
          <w:color w:val="auto"/>
        </w:rPr>
        <w:t>Part III of Form 10-K – Portions of the definitive Proxy Statement for the 2019 Annual Meeting of Shareholders of Farmers &amp; Merchants Bancorp,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321310</wp:posOffset>
            </wp:positionV>
            <wp:extent cx="729234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898"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80" w:type="dxa"/>
            <w:vAlign w:val="bottom"/>
            <w:gridSpan w:val="11"/>
          </w:tcPr>
          <w:p>
            <w:pPr>
              <w:jc w:val="center"/>
              <w:ind w:right="1480"/>
              <w:spacing w:after="0"/>
              <w:rPr>
                <w:sz w:val="20"/>
                <w:szCs w:val="20"/>
                <w:color w:val="auto"/>
              </w:rPr>
            </w:pPr>
            <w:r>
              <w:rPr>
                <w:rFonts w:ascii="Arial" w:cs="Arial" w:eastAsia="Arial" w:hAnsi="Arial"/>
                <w:sz w:val="18"/>
                <w:szCs w:val="18"/>
                <w:color w:val="auto"/>
                <w:w w:val="93"/>
              </w:rPr>
              <w:t>FARMERS &amp; MERCHANTS BANCORP, INC.</w:t>
            </w:r>
          </w:p>
        </w:tc>
        <w:tc>
          <w:tcPr>
            <w:tcW w:w="232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80" w:type="dxa"/>
            <w:vAlign w:val="bottom"/>
            <w:gridSpan w:val="10"/>
          </w:tcPr>
          <w:p>
            <w:pPr>
              <w:jc w:val="center"/>
              <w:ind w:right="2300"/>
              <w:spacing w:after="0"/>
              <w:rPr>
                <w:sz w:val="20"/>
                <w:szCs w:val="20"/>
                <w:color w:val="auto"/>
              </w:rPr>
            </w:pPr>
            <w:r>
              <w:rPr>
                <w:rFonts w:ascii="Arial" w:cs="Arial" w:eastAsia="Arial" w:hAnsi="Arial"/>
                <w:sz w:val="18"/>
                <w:szCs w:val="18"/>
                <w:color w:val="auto"/>
                <w:w w:val="93"/>
              </w:rPr>
              <w:t>TABLE OF CONTENTS</w:t>
            </w:r>
          </w:p>
        </w:tc>
        <w:tc>
          <w:tcPr>
            <w:tcW w:w="2320" w:type="dxa"/>
            <w:vAlign w:val="bottom"/>
          </w:tcPr>
          <w:p>
            <w:pPr>
              <w:spacing w:after="0"/>
              <w:rPr>
                <w:sz w:val="19"/>
                <w:szCs w:val="19"/>
                <w:color w:val="auto"/>
              </w:rPr>
            </w:pPr>
          </w:p>
        </w:tc>
      </w:tr>
      <w:tr>
        <w:trPr>
          <w:trHeight w:val="422"/>
        </w:trPr>
        <w:tc>
          <w:tcPr>
            <w:tcW w:w="18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K Items</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PAGE</w:t>
            </w:r>
          </w:p>
        </w:tc>
      </w:tr>
      <w:tr>
        <w:trPr>
          <w:trHeight w:val="283"/>
        </w:trPr>
        <w:tc>
          <w:tcPr>
            <w:tcW w:w="18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72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728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Unresolved Staff Comments</w:t>
              </w:r>
            </w:hyperlink>
          </w:p>
        </w:tc>
        <w:tc>
          <w:tcPr>
            <w:tcW w:w="5280" w:type="dxa"/>
            <w:vAlign w:val="bottom"/>
            <w:gridSpan w:val="11"/>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Properties</w:t>
              </w:r>
            </w:hyperlink>
          </w:p>
        </w:tc>
        <w:tc>
          <w:tcPr>
            <w:tcW w:w="6560" w:type="dxa"/>
            <w:vAlign w:val="bottom"/>
            <w:gridSpan w:val="19"/>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7280" w:type="dxa"/>
            <w:vAlign w:val="bottom"/>
            <w:gridSpan w:val="2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Mine Safety Disclosures</w:t>
              </w:r>
            </w:hyperlink>
          </w:p>
        </w:tc>
        <w:tc>
          <w:tcPr>
            <w:tcW w:w="5540" w:type="dxa"/>
            <w:vAlign w:val="bottom"/>
            <w:gridSpan w:val="1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520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Market for Registrant’s Common Equity and Related Stockholder Matters</w:t>
              </w:r>
            </w:hyperlink>
          </w:p>
        </w:tc>
        <w:tc>
          <w:tcPr>
            <w:tcW w:w="2080" w:type="dxa"/>
            <w:vAlign w:val="bottom"/>
            <w:gridSpan w:val="2"/>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17-18</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728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728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 Discussion and Analysis of Financial Condition and Results of Operations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19-40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Quantitative and Qualitative Disclosures About Market Risk</w:t>
              </w:r>
            </w:hyperlink>
          </w:p>
        </w:tc>
        <w:tc>
          <w:tcPr>
            <w:tcW w:w="1920" w:type="dxa"/>
            <w:vAlign w:val="bottom"/>
            <w:tcBorders>
              <w:top w:val="single" w:sz="8" w:color="0000EE"/>
            </w:tcBorders>
            <w:gridSpan w:val="4"/>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7280" w:type="dxa"/>
            <w:vAlign w:val="bottom"/>
            <w:gridSpan w:val="21"/>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Financial Statements and Supplementary Data</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41-92</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50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Changes In and Disagreements on Accounting and Financial Disclosure</w:t>
              </w:r>
            </w:hyperlink>
          </w:p>
        </w:tc>
        <w:tc>
          <w:tcPr>
            <w:tcW w:w="222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Item9a.</w:t>
            </w:r>
          </w:p>
        </w:tc>
        <w:tc>
          <w:tcPr>
            <w:tcW w:w="7280" w:type="dxa"/>
            <w:vAlign w:val="bottom"/>
            <w:gridSpan w:val="21"/>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Controls and Procedures</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Other Information</w:t>
              </w:r>
            </w:hyperlink>
          </w:p>
        </w:tc>
        <w:tc>
          <w:tcPr>
            <w:tcW w:w="5560" w:type="dxa"/>
            <w:vAlign w:val="bottom"/>
            <w:gridSpan w:val="1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7280" w:type="dxa"/>
            <w:vAlign w:val="bottom"/>
            <w:gridSpan w:val="2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Directors and Executive Officers of the Registrant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93-94</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3520" w:type="dxa"/>
            <w:vAlign w:val="bottom"/>
            <w:tcBorders>
              <w:top w:val="single" w:sz="8" w:color="0000EE"/>
            </w:tcBorders>
            <w:gridSpan w:val="14"/>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Executive Compensation</w:t>
              </w:r>
            </w:hyperlink>
          </w:p>
        </w:tc>
        <w:tc>
          <w:tcPr>
            <w:tcW w:w="3760" w:type="dxa"/>
            <w:vAlign w:val="bottom"/>
            <w:gridSpan w:val="7"/>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0"/>
        </w:trPr>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28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Management</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95">
              <w:r>
                <w:rPr>
                  <w:rFonts w:ascii="Arial" w:cs="Arial" w:eastAsia="Arial" w:hAnsi="Arial"/>
                  <w:sz w:val="18"/>
                  <w:szCs w:val="18"/>
                  <w:color w:val="0000EE"/>
                  <w:w w:val="87"/>
                </w:rPr>
                <w:t>Certain Relationships and Related Transactions</w:t>
              </w:r>
            </w:hyperlink>
          </w:p>
        </w:tc>
        <w:tc>
          <w:tcPr>
            <w:tcW w:w="1420" w:type="dxa"/>
            <w:vAlign w:val="bottom"/>
            <w:tcBorders>
              <w:top w:val="single" w:sz="8" w:color="0000EE"/>
            </w:tcBorders>
            <w:gridSpan w:val="4"/>
          </w:tcPr>
          <w:p>
            <w:pPr>
              <w:spacing w:after="0"/>
              <w:rPr>
                <w:sz w:val="24"/>
                <w:szCs w:val="24"/>
                <w:color w:val="auto"/>
              </w:rPr>
            </w:pPr>
          </w:p>
        </w:tc>
        <w:tc>
          <w:tcPr>
            <w:tcW w:w="2520" w:type="dxa"/>
            <w:vAlign w:val="bottom"/>
            <w:gridSpan w:val="4"/>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28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95">
              <w:r>
                <w:rPr>
                  <w:rFonts w:ascii="Arial" w:cs="Arial" w:eastAsia="Arial" w:hAnsi="Arial"/>
                  <w:sz w:val="18"/>
                  <w:szCs w:val="18"/>
                  <w:color w:val="0000EE"/>
                  <w:w w:val="87"/>
                </w:rPr>
                <w:t>Principal Accountant Fees and Services</w:t>
              </w:r>
            </w:hyperlink>
          </w:p>
        </w:tc>
        <w:tc>
          <w:tcPr>
            <w:tcW w:w="4480" w:type="dxa"/>
            <w:vAlign w:val="bottom"/>
            <w:gridSpan w:val="10"/>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9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Exhibits, Financial Schedules and Reports on Form 8-K</w:t>
              </w:r>
            </w:hyperlink>
          </w:p>
        </w:tc>
        <w:tc>
          <w:tcPr>
            <w:tcW w:w="3340" w:type="dxa"/>
            <w:vAlign w:val="bottom"/>
            <w:gridSpan w:val="6"/>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9"/>
        </w:trPr>
        <w:tc>
          <w:tcPr>
            <w:tcW w:w="18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7280" w:type="dxa"/>
            <w:vAlign w:val="bottom"/>
            <w:gridSpan w:val="21"/>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23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09"/>
        </w:trPr>
        <w:tc>
          <w:tcPr>
            <w:tcW w:w="740" w:type="dxa"/>
            <w:vAlign w:val="bottom"/>
            <w:tcBorders>
              <w:bottom w:val="single" w:sz="8" w:color="0000EE"/>
            </w:tcBorders>
          </w:tcPr>
          <w:p>
            <w:pPr>
              <w:spacing w:after="0"/>
              <w:rPr>
                <w:rFonts w:ascii="Arial" w:cs="Arial" w:eastAsia="Arial" w:hAnsi="Arial"/>
                <w:sz w:val="18"/>
                <w:szCs w:val="18"/>
                <w:color w:val="0000EE"/>
                <w:w w:val="83"/>
              </w:rPr>
            </w:pPr>
            <w:hyperlink w:anchor="page97">
              <w:r>
                <w:rPr>
                  <w:rFonts w:ascii="Arial" w:cs="Arial" w:eastAsia="Arial" w:hAnsi="Arial"/>
                  <w:sz w:val="18"/>
                  <w:szCs w:val="18"/>
                  <w:color w:val="0000EE"/>
                  <w:w w:val="83"/>
                </w:rPr>
                <w:t>Signatures</w:t>
              </w:r>
            </w:hyperlink>
          </w:p>
        </w:tc>
        <w:tc>
          <w:tcPr>
            <w:tcW w:w="10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48"/>
        </w:trPr>
        <w:tc>
          <w:tcPr>
            <w:tcW w:w="1820" w:type="dxa"/>
            <w:vAlign w:val="bottom"/>
            <w:gridSpan w:val="2"/>
          </w:tcPr>
          <w:p>
            <w:pPr>
              <w:spacing w:after="0"/>
              <w:rPr>
                <w:sz w:val="20"/>
                <w:szCs w:val="20"/>
                <w:color w:val="auto"/>
              </w:rPr>
            </w:pPr>
            <w:r>
              <w:rPr>
                <w:rFonts w:ascii="Arial" w:cs="Arial" w:eastAsia="Arial" w:hAnsi="Arial"/>
                <w:sz w:val="18"/>
                <w:szCs w:val="18"/>
                <w:color w:val="auto"/>
              </w:rPr>
              <w:t>Exhibit 21.</w:t>
            </w:r>
          </w:p>
        </w:tc>
        <w:tc>
          <w:tcPr>
            <w:tcW w:w="7280" w:type="dxa"/>
            <w:vAlign w:val="bottom"/>
            <w:gridSpan w:val="21"/>
          </w:tcPr>
          <w:p>
            <w:pPr>
              <w:spacing w:after="0"/>
              <w:rPr>
                <w:sz w:val="20"/>
                <w:szCs w:val="20"/>
                <w:color w:val="auto"/>
              </w:rPr>
            </w:pPr>
            <w:r>
              <w:rPr>
                <w:rFonts w:ascii="Arial" w:cs="Arial" w:eastAsia="Arial" w:hAnsi="Arial"/>
                <w:sz w:val="18"/>
                <w:szCs w:val="18"/>
                <w:color w:val="auto"/>
              </w:rPr>
              <w:t>Subsidiaries of Farmers &amp; Merchants Bancorp, Inc.</w:t>
            </w:r>
          </w:p>
        </w:tc>
        <w:tc>
          <w:tcPr>
            <w:tcW w:w="23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9"/>
        </w:trPr>
        <w:tc>
          <w:tcPr>
            <w:tcW w:w="18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7280" w:type="dxa"/>
            <w:vAlign w:val="bottom"/>
            <w:gridSpan w:val="21"/>
          </w:tcPr>
          <w:p>
            <w:pPr>
              <w:spacing w:after="0"/>
              <w:rPr>
                <w:sz w:val="20"/>
                <w:szCs w:val="20"/>
                <w:color w:val="auto"/>
              </w:rPr>
            </w:pPr>
            <w:r>
              <w:rPr>
                <w:rFonts w:ascii="Arial" w:cs="Arial" w:eastAsia="Arial" w:hAnsi="Arial"/>
                <w:sz w:val="18"/>
                <w:szCs w:val="18"/>
                <w:color w:val="auto"/>
              </w:rPr>
              <w:t>Certifications Under Section 302</w:t>
            </w:r>
          </w:p>
        </w:tc>
        <w:tc>
          <w:tcPr>
            <w:tcW w:w="2320" w:type="dxa"/>
            <w:vAlign w:val="bottom"/>
          </w:tcPr>
          <w:p>
            <w:pPr>
              <w:jc w:val="right"/>
              <w:spacing w:after="0"/>
              <w:rPr>
                <w:sz w:val="20"/>
                <w:szCs w:val="20"/>
                <w:color w:val="auto"/>
              </w:rPr>
            </w:pPr>
            <w:r>
              <w:rPr>
                <w:rFonts w:ascii="Arial" w:cs="Arial" w:eastAsia="Arial" w:hAnsi="Arial"/>
                <w:sz w:val="18"/>
                <w:szCs w:val="18"/>
                <w:color w:val="auto"/>
              </w:rPr>
              <w:t>99-100</w:t>
            </w:r>
          </w:p>
        </w:tc>
      </w:tr>
      <w:tr>
        <w:trPr>
          <w:trHeight w:val="329"/>
        </w:trPr>
        <w:tc>
          <w:tcPr>
            <w:tcW w:w="18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7280" w:type="dxa"/>
            <w:vAlign w:val="bottom"/>
            <w:gridSpan w:val="21"/>
          </w:tcPr>
          <w:p>
            <w:pPr>
              <w:spacing w:after="0"/>
              <w:rPr>
                <w:sz w:val="20"/>
                <w:szCs w:val="20"/>
                <w:color w:val="auto"/>
              </w:rPr>
            </w:pPr>
            <w:r>
              <w:rPr>
                <w:rFonts w:ascii="Arial" w:cs="Arial" w:eastAsia="Arial" w:hAnsi="Arial"/>
                <w:sz w:val="18"/>
                <w:szCs w:val="18"/>
                <w:color w:val="auto"/>
              </w:rPr>
              <w:t>Certifications Under Section 906</w:t>
            </w:r>
          </w:p>
        </w:tc>
        <w:tc>
          <w:tcPr>
            <w:tcW w:w="2320" w:type="dxa"/>
            <w:vAlign w:val="bottom"/>
          </w:tcPr>
          <w:p>
            <w:pPr>
              <w:jc w:val="right"/>
              <w:spacing w:after="0"/>
              <w:rPr>
                <w:sz w:val="20"/>
                <w:szCs w:val="20"/>
                <w:color w:val="auto"/>
              </w:rPr>
            </w:pPr>
            <w:r>
              <w:rPr>
                <w:rFonts w:ascii="Arial" w:cs="Arial" w:eastAsia="Arial" w:hAnsi="Arial"/>
                <w:sz w:val="18"/>
                <w:szCs w:val="18"/>
                <w:color w:val="auto"/>
              </w:rPr>
              <w:t>101-102</w:t>
            </w:r>
          </w:p>
        </w:tc>
      </w:tr>
      <w:tr>
        <w:trPr>
          <w:trHeight w:val="318"/>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101.INS</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Instance Document (1)</w:t>
            </w:r>
          </w:p>
        </w:tc>
        <w:tc>
          <w:tcPr>
            <w:tcW w:w="2320" w:type="dxa"/>
            <w:vAlign w:val="bottom"/>
          </w:tcPr>
          <w:p>
            <w:pPr>
              <w:spacing w:after="0"/>
              <w:rPr>
                <w:sz w:val="24"/>
                <w:szCs w:val="24"/>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101.SCH</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101.CAL</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101.DEF</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2320" w:type="dxa"/>
            <w:vAlign w:val="bottom"/>
          </w:tcPr>
          <w:p>
            <w:pPr>
              <w:spacing w:after="0"/>
              <w:rPr>
                <w:sz w:val="18"/>
                <w:szCs w:val="18"/>
                <w:color w:val="auto"/>
              </w:rPr>
            </w:pPr>
          </w:p>
        </w:tc>
      </w:tr>
      <w:tr>
        <w:trPr>
          <w:trHeight w:val="211"/>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101.LAB</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 Document (1)</w:t>
            </w:r>
          </w:p>
        </w:tc>
        <w:tc>
          <w:tcPr>
            <w:tcW w:w="2320" w:type="dxa"/>
            <w:vAlign w:val="bottom"/>
          </w:tcPr>
          <w:p>
            <w:pPr>
              <w:spacing w:after="0"/>
              <w:rPr>
                <w:sz w:val="18"/>
                <w:szCs w:val="18"/>
                <w:color w:val="auto"/>
              </w:rPr>
            </w:pPr>
          </w:p>
        </w:tc>
      </w:tr>
      <w:tr>
        <w:trPr>
          <w:trHeight w:val="222"/>
        </w:trPr>
        <w:tc>
          <w:tcPr>
            <w:tcW w:w="1820" w:type="dxa"/>
            <w:vAlign w:val="bottom"/>
            <w:gridSpan w:val="2"/>
          </w:tcPr>
          <w:p>
            <w:pPr>
              <w:spacing w:after="0"/>
              <w:rPr>
                <w:sz w:val="20"/>
                <w:szCs w:val="20"/>
                <w:color w:val="auto"/>
              </w:rPr>
            </w:pPr>
            <w:r>
              <w:rPr>
                <w:rFonts w:ascii="Arial" w:cs="Arial" w:eastAsia="Arial" w:hAnsi="Arial"/>
                <w:sz w:val="18"/>
                <w:szCs w:val="18"/>
                <w:color w:val="auto"/>
              </w:rPr>
              <w:t>Exhibit 101.PRE</w:t>
            </w:r>
          </w:p>
        </w:tc>
        <w:tc>
          <w:tcPr>
            <w:tcW w:w="728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2320" w:type="dxa"/>
            <w:vAlign w:val="bottom"/>
          </w:tcPr>
          <w:p>
            <w:pPr>
              <w:spacing w:after="0"/>
              <w:rPr>
                <w:sz w:val="19"/>
                <w:szCs w:val="19"/>
                <w:color w:val="auto"/>
              </w:rPr>
            </w:pPr>
          </w:p>
        </w:tc>
      </w:tr>
    </w:tbl>
    <w:p>
      <w:pPr>
        <w:spacing w:after="0" w:line="10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following materials from Farmers &amp; Merchants Bancorp, Inc. on Form 10-K for the year ended December 31, 2018, formatted in XBRL (Extensible Business Reporting Language): (i) the Consolidated Balance Sheets; (ii) the Consolidated Statements of Income and Comprehensive Income; (iii) the Consolidated Statements of Cash Flows and (iv) Notes to Consolidated Financial Statements, tagged as blocks of text.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Total Pages:</w:t>
            </w:r>
          </w:p>
        </w:tc>
        <w:tc>
          <w:tcPr>
            <w:tcW w:w="542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Forward Looking Statements</w:t>
      </w:r>
    </w:p>
    <w:p>
      <w:pPr>
        <w:spacing w:after="0" w:line="1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404040"/>
        </w:rPr>
        <w:t>PART 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community bank operating in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540" w:type="dxa"/>
            <w:vAlign w:val="bottom"/>
          </w:tcPr>
          <w:p>
            <w:pPr>
              <w:spacing w:after="0"/>
              <w:rPr>
                <w:sz w:val="20"/>
                <w:szCs w:val="20"/>
                <w:color w:val="auto"/>
              </w:rPr>
            </w:pPr>
            <w:r>
              <w:rPr>
                <w:rFonts w:ascii="Arial" w:cs="Arial" w:eastAsia="Arial" w:hAnsi="Arial"/>
                <w:sz w:val="18"/>
                <w:szCs w:val="18"/>
                <w:color w:val="auto"/>
                <w:w w:val="92"/>
              </w:rPr>
              <w:t>Our executive offices are located at 307 North Defiance Street, Archbold, Ohio 43502, and our telephone number is</w:t>
            </w:r>
          </w:p>
        </w:tc>
        <w:tc>
          <w:tcPr>
            <w:tcW w:w="1540" w:type="dxa"/>
            <w:vAlign w:val="bottom"/>
          </w:tcPr>
          <w:p>
            <w:pPr>
              <w:jc w:val="right"/>
              <w:spacing w:after="0"/>
              <w:rPr>
                <w:sz w:val="20"/>
                <w:szCs w:val="20"/>
                <w:color w:val="auto"/>
              </w:rPr>
            </w:pPr>
            <w:r>
              <w:rPr>
                <w:rFonts w:ascii="Arial" w:cs="Arial" w:eastAsia="Arial" w:hAnsi="Arial"/>
                <w:sz w:val="18"/>
                <w:szCs w:val="18"/>
                <w:color w:val="auto"/>
              </w:rPr>
              <w:t>(419) 446-2501.</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a discussion of the general development of the Company’s business throughout 2018, please see the portion of Management’s Discussion and Analysis of Financial Condition and Results of Operations captioned “2018 in Review.”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Activities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Farmers &amp; Merchants State Bank engages in general commercial banking business. Its activities include commercial, agricultural and residential mortgage as well as consumer and credit card lending activities. Because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operation lines of credit and machinery purchases.</w:t>
      </w:r>
    </w:p>
    <w:p>
      <w:pPr>
        <w:spacing w:after="0" w:line="197"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Upgrades to our digital products and services continue to occur in both retail and business lines.</w:t>
      </w:r>
    </w:p>
    <w:p>
      <w:pPr>
        <w:spacing w:after="0" w:line="1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 w:name="page4"/>
    <w:bookmarkEnd w:id="3"/>
    <w:p>
      <w:pPr>
        <w:jc w:val="both"/>
        <w:spacing w:after="0" w:line="253" w:lineRule="auto"/>
        <w:rPr>
          <w:sz w:val="20"/>
          <w:szCs w:val="20"/>
          <w:color w:val="auto"/>
        </w:rPr>
      </w:pPr>
      <w:r>
        <w:rPr>
          <w:rFonts w:ascii="Arial" w:cs="Arial" w:eastAsia="Arial" w:hAnsi="Arial"/>
          <w:sz w:val="18"/>
          <w:szCs w:val="18"/>
          <w:color w:val="auto"/>
        </w:rPr>
        <w:t>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4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Consumer Loans:</w:t>
      </w:r>
    </w:p>
    <w:p>
      <w:pPr>
        <w:spacing w:after="0" w:line="15" w:lineRule="exact"/>
        <w:rPr>
          <w:sz w:val="20"/>
          <w:szCs w:val="20"/>
          <w:color w:val="auto"/>
        </w:rPr>
      </w:pPr>
    </w:p>
    <w:p>
      <w:pPr>
        <w:ind w:left="580" w:hanging="28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Maximum loan to value (LTV) for cars, trucks and light trucks vary from 90% to 110% depending on whether direct or indirect.</w:t>
      </w:r>
    </w:p>
    <w:p>
      <w:pPr>
        <w:spacing w:after="0" w:line="3" w:lineRule="exact"/>
        <w:rPr>
          <w:rFonts w:ascii="Arial" w:cs="Arial" w:eastAsia="Arial" w:hAnsi="Arial"/>
          <w:sz w:val="18"/>
          <w:szCs w:val="18"/>
          <w:color w:val="auto"/>
        </w:rPr>
      </w:pPr>
    </w:p>
    <w:p>
      <w:pPr>
        <w:ind w:left="580" w:hanging="28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Loans above 100% are generally the result of additional charges for extended warranties and/or insurance coverage for wage or death.</w:t>
      </w:r>
    </w:p>
    <w:p>
      <w:pPr>
        <w:spacing w:after="0" w:line="3" w:lineRule="exact"/>
        <w:rPr>
          <w:rFonts w:ascii="Arial" w:cs="Arial" w:eastAsia="Arial" w:hAnsi="Arial"/>
          <w:sz w:val="18"/>
          <w:szCs w:val="18"/>
          <w:color w:val="auto"/>
        </w:rPr>
      </w:pPr>
    </w:p>
    <w:p>
      <w:pPr>
        <w:ind w:left="580" w:hanging="28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3" w:lineRule="exact"/>
        <w:rPr>
          <w:rFonts w:ascii="Arial" w:cs="Arial" w:eastAsia="Arial" w:hAnsi="Arial"/>
          <w:sz w:val="18"/>
          <w:szCs w:val="18"/>
          <w:color w:val="auto"/>
        </w:rPr>
      </w:pPr>
    </w:p>
    <w:p>
      <w:pPr>
        <w:ind w:left="580" w:hanging="285"/>
        <w:spacing w:after="0" w:line="24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580" w:hanging="28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Commercial/Agriculture/Real Estate:</w:t>
      </w:r>
    </w:p>
    <w:p>
      <w:pPr>
        <w:spacing w:after="0" w:line="15" w:lineRule="exact"/>
        <w:rPr>
          <w:sz w:val="20"/>
          <w:szCs w:val="20"/>
          <w:color w:val="auto"/>
        </w:rPr>
      </w:pPr>
    </w:p>
    <w:p>
      <w:pPr>
        <w:ind w:left="700" w:hanging="405"/>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3" w:lineRule="exact"/>
        <w:rPr>
          <w:rFonts w:ascii="Arial" w:cs="Arial" w:eastAsia="Arial" w:hAnsi="Arial"/>
          <w:sz w:val="18"/>
          <w:szCs w:val="18"/>
          <w:color w:val="auto"/>
        </w:rPr>
      </w:pPr>
    </w:p>
    <w:p>
      <w:pPr>
        <w:ind w:left="700" w:hanging="405"/>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Inventory:</w:t>
      </w:r>
    </w:p>
    <w:p>
      <w:pPr>
        <w:spacing w:after="0" w:line="15" w:lineRule="exact"/>
        <w:rPr>
          <w:sz w:val="20"/>
          <w:szCs w:val="20"/>
          <w:color w:val="auto"/>
        </w:rPr>
      </w:pPr>
    </w:p>
    <w:p>
      <w:pPr>
        <w:ind w:left="800" w:hanging="505"/>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03" w:lineRule="exact"/>
        <w:rPr>
          <w:sz w:val="20"/>
          <w:szCs w:val="20"/>
          <w:color w:val="auto"/>
        </w:rPr>
      </w:pPr>
    </w:p>
    <w:p>
      <w:pPr>
        <w:ind w:left="800" w:hanging="50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14" w:lineRule="exact"/>
        <w:rPr>
          <w:sz w:val="20"/>
          <w:szCs w:val="20"/>
          <w:color w:val="auto"/>
        </w:rPr>
      </w:pPr>
    </w:p>
    <w:p>
      <w:pPr>
        <w:ind w:left="800" w:hanging="505"/>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Floor plan:</w:t>
      </w:r>
    </w:p>
    <w:p>
      <w:pPr>
        <w:spacing w:after="0" w:line="3" w:lineRule="exact"/>
        <w:rPr>
          <w:sz w:val="20"/>
          <w:szCs w:val="20"/>
          <w:color w:val="auto"/>
        </w:rPr>
      </w:pPr>
    </w:p>
    <w:p>
      <w:pPr>
        <w:ind w:left="1400" w:hanging="288"/>
        <w:spacing w:after="0"/>
        <w:tabs>
          <w:tab w:leader="none" w:pos="140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420" w:hanging="1308"/>
        <w:spacing w:after="0" w:line="226" w:lineRule="auto"/>
        <w:tabs>
          <w:tab w:leader="none" w:pos="242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800" w:hanging="50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3" w:lineRule="exact"/>
        <w:rPr>
          <w:rFonts w:ascii="Arial" w:cs="Arial" w:eastAsia="Arial" w:hAnsi="Arial"/>
          <w:sz w:val="18"/>
          <w:szCs w:val="18"/>
          <w:color w:val="auto"/>
        </w:rPr>
      </w:pPr>
    </w:p>
    <w:p>
      <w:pPr>
        <w:ind w:left="800" w:hanging="50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3" w:lineRule="exact"/>
        <w:rPr>
          <w:rFonts w:ascii="Arial" w:cs="Arial" w:eastAsia="Arial" w:hAnsi="Arial"/>
          <w:sz w:val="18"/>
          <w:szCs w:val="18"/>
          <w:color w:val="auto"/>
        </w:rPr>
      </w:pPr>
    </w:p>
    <w:p>
      <w:pPr>
        <w:ind w:left="800" w:hanging="505"/>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9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Bank’s primary market includes communities located in the Ohio counties of Defiance, Fulton, Hancock, Henry, Lucas, Williams, Wood and in the Indiana counties of Adams, Allen, DeKalb, Jay and Steuben. The commercial banking business in this market is highly competitive, with approximately 45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Wells Fargo Bank, NA, KeyBank NA and JPMorgan Chase Bank, NA. Based on deposit data as of June 30, 2018 from the FDIC and using zip codes in our markets, the Bank ranked 4th with a 12.8% market share in markets served. The primary factors in competing for loans and deposits are the rates charged as well as location and quality of the services provided.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 w:name="page5"/>
    <w:bookmarkEnd w:id="4"/>
    <w:p>
      <w:pPr>
        <w:jc w:val="both"/>
        <w:spacing w:after="0" w:line="262" w:lineRule="auto"/>
        <w:rPr>
          <w:sz w:val="20"/>
          <w:szCs w:val="20"/>
          <w:color w:val="auto"/>
        </w:rPr>
      </w:pPr>
      <w:r>
        <w:rPr>
          <w:rFonts w:ascii="Arial" w:cs="Arial" w:eastAsia="Arial" w:hAnsi="Arial"/>
          <w:sz w:val="18"/>
          <w:szCs w:val="18"/>
          <w:color w:val="auto"/>
        </w:rPr>
        <w:t>At December 31, 2018, we had 288 full time equivalent employees. The employees are not represented by a collective bargaining unit. We provide our employees with a comprehensive benefit program, some of which is contributory. We consider our employee relations to be good.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Supervision and Regulation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0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Several of the more significant regulatory provisions applicable to banks and bank holding companies to which the Company and its subsidiaries are subject to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Agencies</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Captive is an insurance company incorporated in Nevada and regulated by the State of Nevada, Division of Insurance.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Holding Company Activities</w:t>
      </w:r>
    </w:p>
    <w:p>
      <w:pPr>
        <w:spacing w:after="0" w:line="109"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quarterly basis information pursuant to the Act. The Federal Reserve Board may conduct examinations or inspections of the Company and its subsidiaries.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November 12, 1999, the Gramm-Leach-Bliley Act (the "GLB Act") was enacted into law. The GLB Act made sweeping changes with respect to the permissible financial services which various types of financial institutions may now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Affiliate Transactions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 to its non-bank affiliates be secured, and Section 23B of the Federal Reserve Act generally requires that an insured depository institution's transactions with its non-bank affiliates be on arms-length terms.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Interstate Banking and Branching</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Acquisitions</w:t>
      </w:r>
    </w:p>
    <w:p>
      <w:pPr>
        <w:spacing w:after="0" w:line="109"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Liability for Banking Subsidiaries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Capital Requirements</w:t>
      </w:r>
    </w:p>
    <w:p>
      <w:pPr>
        <w:spacing w:after="0" w:line="109" w:lineRule="exact"/>
        <w:rPr>
          <w:sz w:val="20"/>
          <w:szCs w:val="20"/>
          <w:color w:val="auto"/>
        </w:rPr>
      </w:pPr>
    </w:p>
    <w:p>
      <w:pPr>
        <w:jc w:val="both"/>
        <w:spacing w:after="0" w:line="213" w:lineRule="exact"/>
        <w:rPr>
          <w:sz w:val="20"/>
          <w:szCs w:val="20"/>
          <w:color w:val="auto"/>
        </w:rPr>
      </w:pPr>
      <w:r>
        <w:rPr>
          <w:rFonts w:ascii="Arial" w:cs="Arial" w:eastAsia="Arial" w:hAnsi="Arial"/>
          <w:sz w:val="16"/>
          <w:szCs w:val="16"/>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6"/>
          <w:szCs w:val="16"/>
          <w:color w:val="auto"/>
        </w:rPr>
        <w:t>‑</w:t>
      </w:r>
      <w:r>
        <w:rPr>
          <w:rFonts w:ascii="Arial" w:cs="Arial" w:eastAsia="Arial" w:hAnsi="Arial"/>
          <w:sz w:val="16"/>
          <w:szCs w:val="16"/>
          <w:color w:val="auto"/>
        </w:rPr>
        <w:t>bank businesses. The required capital levels in addition to the Bank’s and Company's capital position at December 31, 2018 and 2017 are summarized in the table included in Note 15 to the consolidated financial statements. Beginning in 2018, the consolidated amounts and ratios for the Company are no longer required.</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will be overseen by the Federal Reserve, the FDIC and the OCC. Reporting under the new rules began with the March 2015 quarterly regulatory filings.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FDICIA</w:t>
      </w:r>
    </w:p>
    <w:p>
      <w:pPr>
        <w:spacing w:after="0" w:line="1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2018, the Bank was well capitalized pursuant to these prompt corrective action guidelines.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Arial" w:cs="Arial" w:eastAsia="Arial" w:hAnsi="Arial"/>
          <w:sz w:val="16"/>
          <w:szCs w:val="16"/>
          <w:b w:val="1"/>
          <w:bCs w:val="1"/>
          <w:color w:val="auto"/>
        </w:rPr>
        <w:t>y</w:t>
      </w:r>
      <w:r>
        <w:rPr>
          <w:rFonts w:ascii="Arial" w:cs="Arial" w:eastAsia="Arial" w:hAnsi="Arial"/>
          <w:sz w:val="16"/>
          <w:szCs w:val="16"/>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Deposit Insurance Assessments</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account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Dodd-Frank Wall Street Reform and Consumer Protection Act of 2010 (“Dodd-Frank Act”) revised the statutory authorities governing the FDIC’s management of the DIF. A key requirement from the Dodd-Frank Act resulted in the FDIC’s adoption 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 The rules became effective April 1, 2011 implementing the revised assessment rate schedule for the quarter beginning April 1, 2011. The revised assessment rate schedule was used to calculate the June 30, 2011 assessments which were due September 30, 2011 and subsequent quarterly assessments thereafter.</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Due to the changes to the assessment base and assessment rates, as well as the DIF restoration time frame, the impact on the Company’s future deposit insurance assessments has been and should continue to be favorable.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Dodd-Frank Act permanently raised the standard maximum deposit insurance coverage amount to $250,000.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FDIC deposit insurance coverage limit applies per depositor, per insured depository institution for each account ownership category.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Depositor Preference Statute</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Monetary Policy</w:t>
      </w:r>
    </w:p>
    <w:p>
      <w:pPr>
        <w:spacing w:after="0" w:line="1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Regulation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Dodd-Frank Act created an independent regulatory body, the Bureau of Consumer Financial Protection (“Bureau”), with authority and responsibility to set rules and regulations for most consumer protection laws applicable to all banks – large and small - adds another regulator to scrutinize and police financial activities. Transfer to the Bureau of all consumer financial protection functions for designated laws by the other federal agencies was completed in July 2011.</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Bureau was given responsibility for mortgage reform and enforcement, as well as broad new powers over consumer financial activities, including consumer financial products and services and how they are provided.</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 higher-priced mortgage loans, and providing appraisals. These new mortgage rules, effective in January 2014, addressed problems consumers faced in the three major steps in buying a home – shopping for a mortgage, closing on a mortgage, and paying off a mortgage.</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Due to the complexities of the TRID rules, remaining attentive to these matters will ensure practices and procedures remain compliant and not subject the Bank to unnecessary liability.</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Processes and procedural changes along with the implementation of new forms and notifications resulted. Fines and penalties for compliance with flood insurance requirements promote a continued focus on adherence to the new flood rules and existing requirements.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Department of Defense (DOD) new rules amending its regulation that implements the Military Lending Act (MLA) became effective in October 2016. The MLA enacted as part of the John Warner National Defense Act of 2007, significantly expanded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8" w:name="page9"/>
    <w:bookmarkEnd w:id="8"/>
    <w:p>
      <w:pPr>
        <w:jc w:val="both"/>
        <w:spacing w:after="0" w:line="287" w:lineRule="auto"/>
        <w:rPr>
          <w:sz w:val="20"/>
          <w:szCs w:val="20"/>
          <w:color w:val="auto"/>
        </w:rPr>
      </w:pPr>
      <w:r>
        <w:rPr>
          <w:rFonts w:ascii="Arial" w:cs="Arial" w:eastAsia="Arial" w:hAnsi="Arial"/>
          <w:sz w:val="16"/>
          <w:szCs w:val="16"/>
          <w:color w:val="auto"/>
        </w:rPr>
        <w:t>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Implementation of these new rules involved understanding the impact on the covered consumer credit products offered, collaboration with Loan Origination System vendors for assistance with calculations and required disclosures, and an efficient and effective process for identifying covered borrowers.</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as it did not extend more than 50% of its total first-lien covered transactions in rural or underserved areas in calendar year 2018.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Revised Regulation C rules which implement the Home Mortgage Disclosure Act (HMDA) published by the Bureau become effective on January 1, 2018 for reportable loan applications. The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or borrower age, credit score, automated underwriting system information, property value, application channel, points and fees, borrower-paid origination charges, discount points, lender credits, loan 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For 2018, a thorough review and validation of data fields to be reported for each application was conducted throughout the year. Year-end submission of 2018 data to be reported will be completed using the web-based tool developed by the Bureau.</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An interim final rule was jointly issued by the OCC, FRB, and FDIC allowing an extended examination cycle for qualifying insured depository institutions with less than $3 billion in total assets. Effective September 21, 2018, consumers could freeze their credit information and place one-year fraud alerts for free. Additionally, parents can freeze the credit information of their children under age 16 for free. In many instances, regulators still need to issue proposals, provide guidance, and publish final rules. Provisions, including but not limited to the following, still require regulations to become effective; Residential Mortgage Loans; Mortgage Appraisals; HMDA; Escrow Relief; TRID Revisions; Highly Capitalized Banks; Identity Fraud; and Improving Access to Capital. Though beneficial, there are new requirements mixed in with deregulation. Thus, compliance changes must be monitored and effectively implemented.</w:t>
      </w:r>
    </w:p>
    <w:p>
      <w:pPr>
        <w:spacing w:after="0" w:line="17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last few years to address acts or practices that are deemed harmful, deceptive, or misleading to consumers. The authority of the Federal Trade Commission (FTC) to issue credit practice rules under Section 5 of the Federal Trade Commission Act for financial institutions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practices previously addressed in the former credit practices rules. Remaining attentive to the UDAP standards, in relation to the offering and marketing of Bank products and services is extremely important.</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a number of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Legislation</w:t>
      </w:r>
    </w:p>
    <w:p>
      <w:pPr>
        <w:spacing w:after="0" w:line="10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 Various provisions and regulations authorized or required by the Dodd-Frank Act have not yet been proposed or implemented by federal regulators. Uncertainty also exists with respect to the Dodd-Frank Act regulations authorized or required that have not yet been proposed or finalized.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Company maintains an Internet web site at the following internet address: www.fm.bank. The Company files reports with the Securities and Exchange Commission (SEC). Because the Company makes its filing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reasonable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Competition from an Array of Financial Service Providers</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portfolio has a large concentration of real estate loans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Real estate loans, which constitute a large portion of our loan portfolio, include home equity, commercial, construction and residential loans, and such loans are concentrated in the Bank’s primary markets in northwest Ohio and Northeast Indiana.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6"/>
          <w:szCs w:val="16"/>
          <w:color w:val="auto"/>
        </w:rPr>
        <w:t>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6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 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loans make up a significant portion of our loan portfolio</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16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Susceptibility to Changes in Regulation</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2016 through 2018 directly correlated to the improvement of the Bank’s loan to asset ratio.</w:t>
      </w:r>
    </w:p>
    <w:p>
      <w:pPr>
        <w:spacing w:after="0" w:line="1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and Retention of Key Personnel</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Non-officers receive incentive pay in December of the same year based on the year-to-date base compensation through the last pay received in November.</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Officers, other than executive officers, receive incentive pay based on additional criterion. The officers are rewarded based on overall ROA of the Bank along with individual pre-established goals. Officers, therefore, have incentive pay at risk for individual performance. The individualized goals are recommended by each officer’s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2" w:name="page13"/>
    <w:bookmarkEnd w:id="12"/>
    <w:p>
      <w:pPr>
        <w:jc w:val="both"/>
        <w:spacing w:after="0" w:line="287" w:lineRule="auto"/>
        <w:rPr>
          <w:sz w:val="20"/>
          <w:szCs w:val="20"/>
          <w:color w:val="auto"/>
        </w:rPr>
      </w:pPr>
      <w:r>
        <w:rPr>
          <w:rFonts w:ascii="Arial" w:cs="Arial" w:eastAsia="Arial" w:hAnsi="Arial"/>
          <w:sz w:val="16"/>
          <w:szCs w:val="16"/>
          <w:color w:val="auto"/>
        </w:rPr>
        <w:t>specific targets and another is tied to a specific level of past dues and charge-offs. The second goal limits the ability to be rewarded for growth at all costs along with the specific target levels within the growth goal itself. Officers in a support department may be given goals which create efficiencies, ensure compliance with procedures, or generate new fee or product opportunities. On average, three to four goals were given to each officer in 2018. Officers are paid cash incentives based on the year-end ROA of the Bank and receive it within the first quarter of the following year. Should the ROA be forecasted to be positive but below the base target set by the Board, the officers are paid an incentive under the same basis and timing as non-officers disclosed above.</w:t>
      </w:r>
    </w:p>
    <w:p>
      <w:pPr>
        <w:spacing w:after="0" w:line="164"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Payout Restrictions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Change</w:t>
      </w:r>
    </w:p>
    <w:p>
      <w:pPr>
        <w:spacing w:after="0" w:line="11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addition, our operations are dependent on our ability to process financial transactions in a secure manner. Failure in or breach of our operational or security systems or infrastructure, or those of our third party vendors and other service providers could disrupt our businesses or the businesses of our customers, result in the disclosure or misuse of confidential or proprietary information, damage our reputation, increase our costs and cause losses. We must ensure that information is properly protected from a variety of threats such as cyber-attacks, error, fraud, sabotage, terrorism, industrial espionage, privacy violation, service interruption, and natural disaster. The Company, with the assistance of third-party service providers, intends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 Any activity that jeopardizes our network and the security of the information stored on our network may result in significant cost to the Company and have a significant negative effect on our reputation.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Inadequacy of our allowance for loan losses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Like all financial institutions, we maintain an allowance for loan losses to provide for loan defaults and non-performance. Our allowance for loan losses is based on our historical loss experience as well as an evaluation of the risks associated with our loan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3" w:name="page14"/>
    <w:bookmarkEnd w:id="13"/>
    <w:p>
      <w:pPr>
        <w:jc w:val="both"/>
        <w:spacing w:after="0" w:line="282" w:lineRule="auto"/>
        <w:rPr>
          <w:sz w:val="20"/>
          <w:szCs w:val="20"/>
          <w:color w:val="auto"/>
        </w:rPr>
      </w:pPr>
      <w:r>
        <w:rPr>
          <w:rFonts w:ascii="Arial" w:cs="Arial" w:eastAsia="Arial" w:hAnsi="Arial"/>
          <w:sz w:val="16"/>
          <w:szCs w:val="16"/>
          <w:color w:val="auto"/>
        </w:rPr>
        <w:t>portfolio, including the size and composition of the loan portfolio, current economic conditions and concentrations within the portfolio. The determination of the appropriate level of the allowance for loan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In addition, if charge-offs in future periods exceed expectations, we will need additional provisions to increase the allowance for loan losses. Any increases in the allowance for loan losses may result in a decrease in net income and capital, and may have a material adverse effect on our financial condition and results of operations.</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which replaces the current "incurred loss" model for recognizing credit losses with an "expected loss" model referred to as the Current Expected Credit Loss model, or “CECL.” Under the CECL model, we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required under current GAAP, which delays recognition until it is probable a loss has been incurred. Accordingly, we expect that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increase our level of allowance for loan losses for any reason, such increase could adversely affect our business, financial condition and results of operations.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new CECL standard will become effective for us for fiscal years beginning after December 15, 2019 and for interim periods during 2020. We are currently evaluating the impact the CECL model will have on our accounting, but we expect to recognize a one-time cumulative-effect adjustment to our allowance for loan losses as of the beginning of the first reporting period in which the new standard is effective.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Attraction of Deposits and other Short-term Funding</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Relationship Risk</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rely on third-party vendors to provide key components of our business operations such as data processing, recording and monitoring transactions, online and mobile banking interfaces and services, internet connections and network access. While we have performed due diligence procedures in selecting vendors, we do not control their actions. In the event that one or more of our vendors suffers a bankruptcy or otherwise becomes unable to continue to provide products or services, or fails to protect non-public personal information of our customers or employees, we may suffer operational impairments, reputational damage and financial losses. Replacing these third-party vendors could create significant delay and expense. Accordingly, use of such third parties creates an inherent risk to our business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Trading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its shares of stock listed and traded on the NASDAQ Capital Market. The Company’s trading symbol is “FMAO.”</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in Archbold, Ohio.</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9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Bank occupies an Operations Center at 620 S. Clyde’s Way in Archbold, Ohio to accommodate our growth over the years. The bank owns a parking lot in downtown Montpelier which is provided for community use.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Bank owns all of its office locations, with the exception of Angola, Indiana and Bowling Green, Ohio. Both of these office locations are leased.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80" w:type="dxa"/>
            <w:vAlign w:val="bottom"/>
            <w:gridSpan w:val="3"/>
          </w:tcPr>
          <w:p>
            <w:pPr>
              <w:spacing w:after="0"/>
              <w:rPr>
                <w:sz w:val="20"/>
                <w:szCs w:val="20"/>
                <w:color w:val="auto"/>
              </w:rPr>
            </w:pPr>
            <w:r>
              <w:rPr>
                <w:rFonts w:ascii="Arial" w:cs="Arial" w:eastAsia="Arial" w:hAnsi="Arial"/>
                <w:sz w:val="18"/>
                <w:szCs w:val="18"/>
                <w:color w:val="auto"/>
                <w:w w:val="93"/>
              </w:rPr>
              <w:t>The Bank currently maintains retail banking offices at the following locations: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83"/>
        </w:trPr>
        <w:tc>
          <w:tcPr>
            <w:tcW w:w="178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Office</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Location</w:t>
            </w:r>
          </w:p>
        </w:tc>
      </w:tr>
      <w:tr>
        <w:trPr>
          <w:trHeight w:val="20"/>
        </w:trPr>
        <w:tc>
          <w:tcPr>
            <w:tcW w:w="17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8"/>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Archbold,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1313</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S Defiance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Wauseon,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1130 N Shoop Avenue</w:t>
            </w:r>
          </w:p>
        </w:tc>
      </w:tr>
      <w:tr>
        <w:trPr>
          <w:trHeight w:val="211"/>
        </w:trPr>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119 N Fulton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Stryker, Ohio</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300</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S Defiance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West Unity, Ohio</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200</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W Jackson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Bryan, Ohio</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929</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E High Street</w:t>
            </w:r>
          </w:p>
        </w:tc>
      </w:tr>
      <w:tr>
        <w:trPr>
          <w:trHeight w:val="211"/>
        </w:trPr>
        <w:tc>
          <w:tcPr>
            <w:tcW w:w="1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1000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S Main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Delta, Ohio</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101</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Main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Montpelier,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1150 E Main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Napoleon,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2255</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Scott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Swanton,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7 Turtle Creek Circle</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Defiance,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1175 Hotel Drive</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Perrysburg,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7001</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Lighthouse Way</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Butler, Indiana</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200</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S Broadway</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Auburn, Indiana</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403</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Erie Pass</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Angola, Indiana</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2310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N Wayne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Hicksville, Ohio</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w w:val="86"/>
              </w:rPr>
              <w:t>100</w:t>
            </w:r>
          </w:p>
        </w:tc>
        <w:tc>
          <w:tcPr>
            <w:tcW w:w="1880" w:type="dxa"/>
            <w:vAlign w:val="bottom"/>
            <w:gridSpan w:val="3"/>
          </w:tcPr>
          <w:p>
            <w:pPr>
              <w:ind w:left="20"/>
              <w:spacing w:after="0"/>
              <w:rPr>
                <w:sz w:val="20"/>
                <w:szCs w:val="20"/>
                <w:color w:val="auto"/>
              </w:rPr>
            </w:pPr>
            <w:r>
              <w:rPr>
                <w:rFonts w:ascii="Arial" w:cs="Arial" w:eastAsia="Arial" w:hAnsi="Arial"/>
                <w:sz w:val="18"/>
                <w:szCs w:val="18"/>
                <w:color w:val="auto"/>
              </w:rPr>
              <w:t>N Main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Waterville,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8720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w w:val="85"/>
              </w:rPr>
              <w:t>Waterville-Swanton Road</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Custar,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22973 Defiance Pike</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Sylvania,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5830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Monroe Street</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Fort Wayne, Indiana</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12106 Lima Road</w:t>
            </w:r>
          </w:p>
        </w:tc>
      </w:tr>
      <w:tr>
        <w:trPr>
          <w:trHeight w:val="211"/>
        </w:trPr>
        <w:tc>
          <w:tcPr>
            <w:tcW w:w="17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Bowling Green, Ohio</w:t>
            </w:r>
          </w:p>
        </w:tc>
        <w:tc>
          <w:tcPr>
            <w:tcW w:w="2320" w:type="dxa"/>
            <w:vAlign w:val="bottom"/>
            <w:gridSpan w:val="5"/>
          </w:tcPr>
          <w:p>
            <w:pPr>
              <w:ind w:left="160"/>
              <w:spacing w:after="0"/>
              <w:rPr>
                <w:sz w:val="20"/>
                <w:szCs w:val="20"/>
                <w:color w:val="auto"/>
              </w:rPr>
            </w:pPr>
            <w:r>
              <w:rPr>
                <w:rFonts w:ascii="Arial" w:cs="Arial" w:eastAsia="Arial" w:hAnsi="Arial"/>
                <w:sz w:val="18"/>
                <w:szCs w:val="18"/>
                <w:color w:val="auto"/>
              </w:rPr>
              <w:t>1072 N. Main Street</w:t>
            </w:r>
          </w:p>
        </w:tc>
      </w:tr>
      <w:tr>
        <w:trPr>
          <w:trHeight w:val="222"/>
        </w:trPr>
        <w:tc>
          <w:tcPr>
            <w:tcW w:w="17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Findlay, Ohio</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w w:val="89"/>
              </w:rPr>
              <w:t>1660</w:t>
            </w:r>
          </w:p>
        </w:tc>
        <w:tc>
          <w:tcPr>
            <w:tcW w:w="1780" w:type="dxa"/>
            <w:vAlign w:val="bottom"/>
            <w:gridSpan w:val="2"/>
          </w:tcPr>
          <w:p>
            <w:pPr>
              <w:ind w:left="20"/>
              <w:spacing w:after="0"/>
              <w:rPr>
                <w:sz w:val="20"/>
                <w:szCs w:val="20"/>
                <w:color w:val="auto"/>
              </w:rPr>
            </w:pPr>
            <w:r>
              <w:rPr>
                <w:rFonts w:ascii="Arial" w:cs="Arial" w:eastAsia="Arial" w:hAnsi="Arial"/>
                <w:sz w:val="18"/>
                <w:szCs w:val="18"/>
                <w:color w:val="auto"/>
              </w:rPr>
              <w:t>Tiffin Avenue</w:t>
            </w:r>
          </w:p>
        </w:tc>
      </w:tr>
    </w:tbl>
    <w:p>
      <w:pPr>
        <w:spacing w:after="0" w:line="173" w:lineRule="exact"/>
        <w:rPr>
          <w:sz w:val="20"/>
          <w:szCs w:val="20"/>
          <w:color w:val="auto"/>
        </w:rPr>
      </w:pPr>
    </w:p>
    <w:p>
      <w:pPr>
        <w:ind w:right="20"/>
        <w:spacing w:after="0" w:line="220" w:lineRule="auto"/>
        <w:rPr>
          <w:sz w:val="20"/>
          <w:szCs w:val="20"/>
          <w:color w:val="auto"/>
        </w:rPr>
      </w:pPr>
      <w:r>
        <w:rPr>
          <w:rFonts w:ascii="Arial" w:cs="Arial" w:eastAsia="Arial" w:hAnsi="Arial"/>
          <w:sz w:val="18"/>
          <w:szCs w:val="18"/>
          <w:color w:val="auto"/>
        </w:rPr>
        <w:t>All but one of the above locations has drive-up service facilities and an ATM. The Captive operates from leased office space at 101 Convention Center Dr., Suite 850, Las Vegas, NV 89109.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2019, the Company acquired Limberlost Bancshares, Inc. and its subsidiary, Bank of Geneva. Six offices located in Indiana, were merged into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Bank as listed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Office</w:t>
            </w:r>
          </w:p>
        </w:tc>
        <w:tc>
          <w:tcPr>
            <w:tcW w:w="7060" w:type="dxa"/>
            <w:vAlign w:val="bottom"/>
            <w:gridSpan w:val="5"/>
          </w:tcPr>
          <w:p>
            <w:pPr>
              <w:ind w:left="1560"/>
              <w:spacing w:after="0"/>
              <w:rPr>
                <w:sz w:val="20"/>
                <w:szCs w:val="20"/>
                <w:color w:val="auto"/>
              </w:rPr>
            </w:pPr>
            <w:r>
              <w:rPr>
                <w:rFonts w:ascii="Arial" w:cs="Arial" w:eastAsia="Arial" w:hAnsi="Arial"/>
                <w:sz w:val="18"/>
                <w:szCs w:val="18"/>
                <w:color w:val="auto"/>
              </w:rPr>
              <w:t>Location</w:t>
            </w:r>
          </w:p>
        </w:tc>
      </w:tr>
      <w:tr>
        <w:trPr>
          <w:trHeight w:val="20"/>
        </w:trPr>
        <w:tc>
          <w:tcPr>
            <w:tcW w:w="1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218"/>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Geneva, Indiana</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w w:val="86"/>
              </w:rPr>
              <w:t>215</w:t>
            </w:r>
          </w:p>
        </w:tc>
        <w:tc>
          <w:tcPr>
            <w:tcW w:w="5220" w:type="dxa"/>
            <w:vAlign w:val="bottom"/>
            <w:gridSpan w:val="3"/>
          </w:tcPr>
          <w:p>
            <w:pPr>
              <w:ind w:left="20"/>
              <w:spacing w:after="0"/>
              <w:rPr>
                <w:sz w:val="20"/>
                <w:szCs w:val="20"/>
                <w:color w:val="auto"/>
              </w:rPr>
            </w:pPr>
            <w:r>
              <w:rPr>
                <w:rFonts w:ascii="Arial" w:cs="Arial" w:eastAsia="Arial" w:hAnsi="Arial"/>
                <w:sz w:val="18"/>
                <w:szCs w:val="18"/>
                <w:color w:val="auto"/>
              </w:rPr>
              <w:t>East Line Street</w:t>
            </w:r>
          </w:p>
        </w:tc>
      </w:tr>
      <w:tr>
        <w:trPr>
          <w:trHeight w:val="211"/>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Monroe, Indiana</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w w:val="86"/>
              </w:rPr>
              <w:t>150</w:t>
            </w:r>
          </w:p>
        </w:tc>
        <w:tc>
          <w:tcPr>
            <w:tcW w:w="5220" w:type="dxa"/>
            <w:vAlign w:val="bottom"/>
            <w:gridSpan w:val="3"/>
          </w:tcPr>
          <w:p>
            <w:pPr>
              <w:ind w:left="20"/>
              <w:spacing w:after="0"/>
              <w:rPr>
                <w:sz w:val="20"/>
                <w:szCs w:val="20"/>
                <w:color w:val="auto"/>
              </w:rPr>
            </w:pPr>
            <w:r>
              <w:rPr>
                <w:rFonts w:ascii="Arial" w:cs="Arial" w:eastAsia="Arial" w:hAnsi="Arial"/>
                <w:sz w:val="18"/>
                <w:szCs w:val="18"/>
                <w:color w:val="auto"/>
              </w:rPr>
              <w:t>W. Washington Street</w:t>
            </w:r>
          </w:p>
        </w:tc>
      </w:tr>
      <w:tr>
        <w:trPr>
          <w:trHeight w:val="211"/>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Berne, Indiana</w:t>
            </w:r>
          </w:p>
        </w:tc>
        <w:tc>
          <w:tcPr>
            <w:tcW w:w="7060" w:type="dxa"/>
            <w:vAlign w:val="bottom"/>
            <w:gridSpan w:val="5"/>
          </w:tcPr>
          <w:p>
            <w:pPr>
              <w:ind w:left="1560"/>
              <w:spacing w:after="0"/>
              <w:rPr>
                <w:sz w:val="20"/>
                <w:szCs w:val="20"/>
                <w:color w:val="auto"/>
              </w:rPr>
            </w:pPr>
            <w:r>
              <w:rPr>
                <w:rFonts w:ascii="Arial" w:cs="Arial" w:eastAsia="Arial" w:hAnsi="Arial"/>
                <w:sz w:val="18"/>
                <w:szCs w:val="18"/>
                <w:color w:val="auto"/>
              </w:rPr>
              <w:t>718 US Highway 27 N</w:t>
            </w:r>
          </w:p>
        </w:tc>
      </w:tr>
      <w:tr>
        <w:trPr>
          <w:trHeight w:val="211"/>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Monroeville, Indiana</w:t>
            </w:r>
          </w:p>
        </w:tc>
        <w:tc>
          <w:tcPr>
            <w:tcW w:w="1840" w:type="dxa"/>
            <w:vAlign w:val="bottom"/>
            <w:gridSpan w:val="2"/>
          </w:tcPr>
          <w:p>
            <w:pPr>
              <w:ind w:left="1560"/>
              <w:spacing w:after="0"/>
              <w:rPr>
                <w:sz w:val="20"/>
                <w:szCs w:val="20"/>
                <w:color w:val="auto"/>
              </w:rPr>
            </w:pPr>
            <w:r>
              <w:rPr>
                <w:rFonts w:ascii="Arial" w:cs="Arial" w:eastAsia="Arial" w:hAnsi="Arial"/>
                <w:sz w:val="18"/>
                <w:szCs w:val="18"/>
                <w:color w:val="auto"/>
                <w:w w:val="86"/>
              </w:rPr>
              <w:t>103</w:t>
            </w:r>
          </w:p>
        </w:tc>
        <w:tc>
          <w:tcPr>
            <w:tcW w:w="5220" w:type="dxa"/>
            <w:vAlign w:val="bottom"/>
            <w:gridSpan w:val="3"/>
          </w:tcPr>
          <w:p>
            <w:pPr>
              <w:ind w:left="20"/>
              <w:spacing w:after="0"/>
              <w:rPr>
                <w:sz w:val="20"/>
                <w:szCs w:val="20"/>
                <w:color w:val="auto"/>
              </w:rPr>
            </w:pPr>
            <w:r>
              <w:rPr>
                <w:rFonts w:ascii="Arial" w:cs="Arial" w:eastAsia="Arial" w:hAnsi="Arial"/>
                <w:sz w:val="18"/>
                <w:szCs w:val="18"/>
                <w:color w:val="auto"/>
              </w:rPr>
              <w:t>Main Street</w:t>
            </w:r>
          </w:p>
        </w:tc>
      </w:tr>
      <w:tr>
        <w:trPr>
          <w:trHeight w:val="210"/>
        </w:trPr>
        <w:tc>
          <w:tcPr>
            <w:tcW w:w="1700" w:type="dxa"/>
            <w:vAlign w:val="bottom"/>
          </w:tcPr>
          <w:p>
            <w:pPr>
              <w:spacing w:after="0"/>
              <w:rPr>
                <w:sz w:val="18"/>
                <w:szCs w:val="18"/>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Portland, Indiana</w:t>
            </w:r>
          </w:p>
        </w:tc>
        <w:tc>
          <w:tcPr>
            <w:tcW w:w="1940" w:type="dxa"/>
            <w:vAlign w:val="bottom"/>
            <w:gridSpan w:val="3"/>
          </w:tcPr>
          <w:p>
            <w:pPr>
              <w:ind w:left="1560"/>
              <w:spacing w:after="0"/>
              <w:rPr>
                <w:sz w:val="20"/>
                <w:szCs w:val="20"/>
                <w:color w:val="auto"/>
              </w:rPr>
            </w:pPr>
            <w:r>
              <w:rPr>
                <w:rFonts w:ascii="Arial" w:cs="Arial" w:eastAsia="Arial" w:hAnsi="Arial"/>
                <w:sz w:val="18"/>
                <w:szCs w:val="18"/>
                <w:color w:val="auto"/>
                <w:w w:val="89"/>
              </w:rPr>
              <w:t>1451</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N Meridian Street</w:t>
            </w:r>
          </w:p>
        </w:tc>
      </w:tr>
      <w:tr>
        <w:trPr>
          <w:trHeight w:val="223"/>
        </w:trPr>
        <w:tc>
          <w:tcPr>
            <w:tcW w:w="170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Decatur, Indiana</w:t>
            </w:r>
          </w:p>
        </w:tc>
        <w:tc>
          <w:tcPr>
            <w:tcW w:w="1940" w:type="dxa"/>
            <w:vAlign w:val="bottom"/>
            <w:gridSpan w:val="3"/>
          </w:tcPr>
          <w:p>
            <w:pPr>
              <w:ind w:left="1560"/>
              <w:spacing w:after="0"/>
              <w:rPr>
                <w:sz w:val="20"/>
                <w:szCs w:val="20"/>
                <w:color w:val="auto"/>
              </w:rPr>
            </w:pPr>
            <w:r>
              <w:rPr>
                <w:rFonts w:ascii="Arial" w:cs="Arial" w:eastAsia="Arial" w:hAnsi="Arial"/>
                <w:sz w:val="18"/>
                <w:szCs w:val="18"/>
                <w:color w:val="auto"/>
                <w:w w:val="89"/>
              </w:rPr>
              <w:t>1061</w:t>
            </w:r>
          </w:p>
        </w:tc>
        <w:tc>
          <w:tcPr>
            <w:tcW w:w="5120" w:type="dxa"/>
            <w:vAlign w:val="bottom"/>
            <w:gridSpan w:val="2"/>
          </w:tcPr>
          <w:p>
            <w:pPr>
              <w:ind w:left="20"/>
              <w:spacing w:after="0"/>
              <w:rPr>
                <w:sz w:val="20"/>
                <w:szCs w:val="20"/>
                <w:color w:val="auto"/>
              </w:rPr>
            </w:pPr>
            <w:r>
              <w:rPr>
                <w:rFonts w:ascii="Arial" w:cs="Arial" w:eastAsia="Arial" w:hAnsi="Arial"/>
                <w:sz w:val="18"/>
                <w:szCs w:val="18"/>
                <w:color w:val="auto"/>
              </w:rPr>
              <w:t>S 13</w:t>
            </w:r>
            <w:r>
              <w:rPr>
                <w:rFonts w:ascii="Arial" w:cs="Arial" w:eastAsia="Arial" w:hAnsi="Arial"/>
                <w:sz w:val="14"/>
                <w:szCs w:val="14"/>
                <w:color w:val="auto"/>
              </w:rPr>
              <w:t>th</w:t>
            </w:r>
            <w:r>
              <w:rPr>
                <w:rFonts w:ascii="Arial" w:cs="Arial" w:eastAsia="Arial" w:hAnsi="Arial"/>
                <w:sz w:val="18"/>
                <w:szCs w:val="18"/>
                <w:color w:val="auto"/>
              </w:rPr>
              <w:t xml:space="preserve"> Street</w:t>
            </w:r>
          </w:p>
        </w:tc>
      </w:tr>
      <w:tr>
        <w:trPr>
          <w:trHeight w:val="632"/>
        </w:trPr>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6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12"/>
        </w:trPr>
        <w:tc>
          <w:tcPr>
            <w:tcW w:w="17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AND RELATED STOCKHOLDER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common stock is listed on the NASDAQ Stock Market LLC under the trading symbol “FMAO.”</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August 18, 2017, the Company’s Board of Directors authorized a two-for-one stock split payable on September 20, 2017, for shareholders of record on September 5,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Computershare as its transfer agent.</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2018, there were 1,776 record holders of our common stock of which 39.46% of the outstanding shares are being held in brokerage accounts or “street name” and only considered as one record holder.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the following page is a line-graph presentation comparing the cumulative total shareholder returns for the Corporation, an index for NASDAQ Stock Market (U.S. Companies) comprised of all domestic common shares traded on the NASDAQ National Market System and the NASDAQ Bank Index for the five-year period ended December 31, 2018. The chart compares the value of $100 invested in the Corporation and each of the indices and assumes investment on December 31, 2013 with all dividends reinvested.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Board of Directors recognizes that the market price of stock is influenced by many factors, only one of which is performance. The stock price performance shown on the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122555</wp:posOffset>
            </wp:positionV>
            <wp:extent cx="5610860" cy="1856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10860" cy="185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2013</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2014</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19"/>
                <w:szCs w:val="19"/>
                <w:color w:val="auto"/>
              </w:rPr>
            </w:pPr>
          </w:p>
        </w:tc>
      </w:tr>
      <w:tr>
        <w:trPr>
          <w:trHeight w:val="217"/>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FMAO</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125.02</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129.69</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170.53</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386.31</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370.44</w:t>
            </w:r>
          </w:p>
        </w:tc>
        <w:tc>
          <w:tcPr>
            <w:tcW w:w="120" w:type="dxa"/>
            <w:vAlign w:val="bottom"/>
            <w:shd w:val="clear" w:color="auto" w:fill="CFF0FC"/>
          </w:tcPr>
          <w:p>
            <w:pPr>
              <w:spacing w:after="0"/>
              <w:rPr>
                <w:sz w:val="18"/>
                <w:szCs w:val="18"/>
                <w:color w:val="auto"/>
              </w:rPr>
            </w:pPr>
          </w:p>
        </w:tc>
      </w:tr>
      <w:tr>
        <w:trPr>
          <w:trHeight w:val="224"/>
        </w:trPr>
        <w:tc>
          <w:tcPr>
            <w:tcW w:w="4760" w:type="dxa"/>
            <w:vAlign w:val="bottom"/>
          </w:tcPr>
          <w:p>
            <w:pPr>
              <w:spacing w:after="0"/>
              <w:rPr>
                <w:sz w:val="20"/>
                <w:szCs w:val="20"/>
                <w:color w:val="auto"/>
              </w:rPr>
            </w:pPr>
            <w:r>
              <w:rPr>
                <w:rFonts w:ascii="Arial" w:cs="Arial" w:eastAsia="Arial" w:hAnsi="Arial"/>
                <w:sz w:val="18"/>
                <w:szCs w:val="18"/>
                <w:color w:val="auto"/>
              </w:rPr>
              <w:t>NASDAQ - COMPOSITE</w:t>
            </w:r>
          </w:p>
        </w:tc>
        <w:tc>
          <w:tcPr>
            <w:tcW w:w="90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122.74</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133.34</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171.46</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167.00</w:t>
            </w:r>
          </w:p>
        </w:tc>
        <w:tc>
          <w:tcPr>
            <w:tcW w:w="120" w:type="dxa"/>
            <w:vAlign w:val="bottom"/>
          </w:tcPr>
          <w:p>
            <w:pPr>
              <w:spacing w:after="0"/>
              <w:rPr>
                <w:sz w:val="19"/>
                <w:szCs w:val="19"/>
                <w:color w:val="auto"/>
              </w:rPr>
            </w:pPr>
          </w:p>
        </w:tc>
      </w:tr>
      <w:tr>
        <w:trPr>
          <w:trHeight w:val="224"/>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NASDAQ - BANK INDEX</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162.54</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138.37</w:t>
            </w:r>
          </w:p>
        </w:tc>
        <w:tc>
          <w:tcPr>
            <w:tcW w:w="12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Dividends are declared and paid quarterly. Per share dividends declared for the years ended 2018 and 2017 adjusted for a 2-for-1 stock split on September 20, 2017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1st Quarter</w:t>
            </w: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3"/>
              </w:rPr>
              <w:t>2nd Quarter</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6"/>
              </w:rPr>
              <w:t>3rd Quarter</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7"/>
              </w:rPr>
              <w:t>4th Quarter</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5300" w:type="dxa"/>
            <w:vAlign w:val="bottom"/>
            <w:shd w:val="clear" w:color="auto" w:fill="CFF0FC"/>
          </w:tcPr>
          <w:p>
            <w:pPr>
              <w:jc w:val="right"/>
              <w:ind w:right="4852"/>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600" w:type="dxa"/>
            <w:vAlign w:val="bottom"/>
            <w:gridSpan w:val="2"/>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FF0FC"/>
          </w:tcPr>
          <w:p>
            <w:pPr>
              <w:spacing w:after="0"/>
              <w:rPr>
                <w:sz w:val="18"/>
                <w:szCs w:val="18"/>
                <w:color w:val="auto"/>
              </w:rPr>
            </w:pPr>
          </w:p>
        </w:tc>
      </w:tr>
      <w:tr>
        <w:trPr>
          <w:trHeight w:val="223"/>
        </w:trPr>
        <w:tc>
          <w:tcPr>
            <w:tcW w:w="5300" w:type="dxa"/>
            <w:vAlign w:val="bottom"/>
          </w:tcPr>
          <w:p>
            <w:pPr>
              <w:jc w:val="right"/>
              <w:ind w:right="4852"/>
              <w:spacing w:after="0"/>
              <w:rPr>
                <w:sz w:val="20"/>
                <w:szCs w:val="20"/>
                <w:color w:val="auto"/>
              </w:rPr>
            </w:pPr>
            <w:r>
              <w:rPr>
                <w:rFonts w:ascii="Arial" w:cs="Arial" w:eastAsia="Arial" w:hAnsi="Arial"/>
                <w:sz w:val="18"/>
                <w:szCs w:val="18"/>
                <w:color w:val="auto"/>
                <w:w w:val="84"/>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c>
          <w:tcPr>
            <w:tcW w:w="600" w:type="dxa"/>
            <w:vAlign w:val="bottom"/>
            <w:gridSpan w:val="2"/>
          </w:tcPr>
          <w:p>
            <w:pPr>
              <w:jc w:val="right"/>
              <w:ind w:right="2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ability of the Company to pay dividends is impacted by the dividend that the Company receives from the Bank. The Bank may pay as dividends to the Company its retained earnings during the current year and its prior two years. Various U.S. federal statutory provisions also limit the amount of dividends the Company’s banking subsidiary can pay to the Company without regulatory approval. In 2009, The Board of Governors of the Federal Reserve Division of Banking Supervision and Regulation issued SR09-4 regarding the safe and sound payment of dividends by bank holding companies. Currently, such limitation on the payment of dividends from the Bank to the Company does not materially restrict the Company’s ability to pay dividends to its shareholders. See Note 16 to the consolidated financial statements for additional information on applicable dividend restrictions.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8"/>
          <w:szCs w:val="18"/>
          <w:color w:val="auto"/>
        </w:rPr>
        <w:t>Dividends declared during 2018 were $0.56 per share totaling $5.14 million, 12% higher than 2017 declared dividends of $0.50 per share. During 2018, the Company awarded 33,000 shares to 80 employees and 2,620 shares were forfeited under its long term incentive plan. At year end, 2018, the Company held 1,114,739 shares in Treasury stock and 93,940 in unearned stock awards.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Dividends declared during 2017 were $0.50 per share totaling $4.58 million, 8.7% higher than 2016 declared dividends of $0.46 per share. During 2017, the Company awarded 32,000 restricted shares to 74 employees and 1,080 shares were forfeited under its long term incentive plan. At yearend 2017, the Company held 1,134,120 shares in Treasury stock and 92,350 in unearned stock awards.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gridSpan w:val="2"/>
          </w:tcPr>
          <w:p>
            <w:pPr>
              <w:spacing w:after="0"/>
              <w:rPr>
                <w:sz w:val="20"/>
                <w:szCs w:val="20"/>
                <w:color w:val="auto"/>
              </w:rPr>
            </w:pPr>
            <w:r>
              <w:rPr>
                <w:rFonts w:ascii="Arial" w:cs="Arial" w:eastAsia="Arial" w:hAnsi="Arial"/>
                <w:sz w:val="18"/>
                <w:szCs w:val="18"/>
                <w:color w:val="auto"/>
              </w:rPr>
              <w:t>The Company continues to have a strong capital base.</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5"/>
        </w:trPr>
        <w:tc>
          <w:tcPr>
            <w:tcW w:w="1740" w:type="dxa"/>
            <w:vAlign w:val="bottom"/>
          </w:tcPr>
          <w:p>
            <w:pPr>
              <w:spacing w:after="0"/>
              <w:rPr>
                <w:sz w:val="24"/>
                <w:szCs w:val="24"/>
                <w:color w:val="auto"/>
              </w:rPr>
            </w:pPr>
          </w:p>
        </w:tc>
        <w:tc>
          <w:tcPr>
            <w:tcW w:w="5320" w:type="dxa"/>
            <w:vAlign w:val="bottom"/>
            <w:tcBorders>
              <w:bottom w:val="single" w:sz="8" w:color="CFF0FC"/>
            </w:tcBorders>
          </w:tcPr>
          <w:p>
            <w:pPr>
              <w:spacing w:after="0"/>
              <w:rPr>
                <w:sz w:val="24"/>
                <w:szCs w:val="24"/>
                <w:color w:val="auto"/>
              </w:rPr>
            </w:pPr>
          </w:p>
        </w:tc>
        <w:tc>
          <w:tcPr>
            <w:tcW w:w="10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24"/>
                <w:szCs w:val="24"/>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CFF0FC"/>
            </w:tcBorders>
          </w:tcPr>
          <w:p>
            <w:pPr>
              <w:spacing w:after="0"/>
              <w:rPr>
                <w:sz w:val="24"/>
                <w:szCs w:val="24"/>
                <w:color w:val="auto"/>
              </w:rPr>
            </w:pPr>
          </w:p>
        </w:tc>
      </w:tr>
      <w:tr>
        <w:trPr>
          <w:trHeight w:val="217"/>
        </w:trPr>
        <w:tc>
          <w:tcPr>
            <w:tcW w:w="174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Tier I Leverage Ratio</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12.02%</w:t>
            </w:r>
          </w:p>
        </w:tc>
      </w:tr>
      <w:tr>
        <w:trPr>
          <w:trHeight w:val="224"/>
        </w:trPr>
        <w:tc>
          <w:tcPr>
            <w:tcW w:w="7060" w:type="dxa"/>
            <w:vAlign w:val="bottom"/>
            <w:gridSpan w:val="2"/>
          </w:tcPr>
          <w:p>
            <w:pPr>
              <w:ind w:left="1720"/>
              <w:spacing w:after="0"/>
              <w:rPr>
                <w:sz w:val="20"/>
                <w:szCs w:val="20"/>
                <w:color w:val="auto"/>
              </w:rPr>
            </w:pPr>
            <w:r>
              <w:rPr>
                <w:rFonts w:ascii="Arial" w:cs="Arial" w:eastAsia="Arial" w:hAnsi="Arial"/>
                <w:sz w:val="18"/>
                <w:szCs w:val="18"/>
                <w:color w:val="auto"/>
              </w:rPr>
              <w:t>Risk Based Capital Tier I</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15.44%</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14.73%</w:t>
            </w:r>
          </w:p>
        </w:tc>
      </w:tr>
      <w:tr>
        <w:trPr>
          <w:trHeight w:val="224"/>
        </w:trPr>
        <w:tc>
          <w:tcPr>
            <w:tcW w:w="17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Risk Based Capital</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16.21%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15.52%</w:t>
            </w:r>
          </w:p>
        </w:tc>
      </w:tr>
      <w:tr>
        <w:trPr>
          <w:trHeight w:val="224"/>
        </w:trPr>
        <w:tc>
          <w:tcPr>
            <w:tcW w:w="7060" w:type="dxa"/>
            <w:vAlign w:val="bottom"/>
            <w:gridSpan w:val="2"/>
          </w:tcPr>
          <w:p>
            <w:pPr>
              <w:ind w:left="1720"/>
              <w:spacing w:after="0"/>
              <w:rPr>
                <w:sz w:val="20"/>
                <w:szCs w:val="20"/>
                <w:color w:val="auto"/>
              </w:rPr>
            </w:pPr>
            <w:r>
              <w:rPr>
                <w:rFonts w:ascii="Arial" w:cs="Arial" w:eastAsia="Arial" w:hAnsi="Arial"/>
                <w:sz w:val="18"/>
                <w:szCs w:val="18"/>
                <w:color w:val="auto"/>
              </w:rPr>
              <w:t>Stockholders' Equity/Total Assets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12.84%</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12.12%</w:t>
            </w:r>
          </w:p>
        </w:tc>
      </w:tr>
      <w:tr>
        <w:trPr>
          <w:trHeight w:val="224"/>
        </w:trPr>
        <w:tc>
          <w:tcPr>
            <w:tcW w:w="174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Capital Conservation Buffer</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8.21%</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7.52%</w:t>
            </w:r>
          </w:p>
        </w:tc>
      </w:tr>
    </w:tbl>
    <w:p>
      <w:pPr>
        <w:spacing w:after="0" w:line="198"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On January 18, 2019, the Company announced the authorization by its Board of Directors for the Company’s repurchase, either on the open market, or in privately negotiated transactions, of up to 500,000 shares of its outstanding common stock commencing January 18, 2019 and ending December 31, 2019.</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660" w:type="dxa"/>
            <w:vAlign w:val="bottom"/>
            <w:gridSpan w:val="6"/>
          </w:tcPr>
          <w:p>
            <w:pPr>
              <w:ind w:left="320"/>
              <w:spacing w:after="0"/>
              <w:rPr>
                <w:sz w:val="20"/>
                <w:szCs w:val="20"/>
                <w:color w:val="auto"/>
              </w:rPr>
            </w:pPr>
            <w:r>
              <w:rPr>
                <w:rFonts w:ascii="Arial" w:cs="Arial" w:eastAsia="Arial" w:hAnsi="Arial"/>
                <w:sz w:val="18"/>
                <w:szCs w:val="18"/>
                <w:b w:val="1"/>
                <w:bCs w:val="1"/>
                <w:color w:val="auto"/>
              </w:rPr>
              <w:t>ISSUER PURCHASES OF EQUITY SECURITIES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3"/>
        </w:trPr>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Total Number of Shares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Remaining Share</w:t>
            </w:r>
          </w:p>
        </w:tc>
      </w:tr>
      <w:tr>
        <w:trPr>
          <w:trHeight w:val="211"/>
        </w:trPr>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Total Number of</w:t>
            </w:r>
          </w:p>
        </w:tc>
        <w:tc>
          <w:tcPr>
            <w:tcW w:w="1160" w:type="dxa"/>
            <w:vAlign w:val="bottom"/>
          </w:tcPr>
          <w:p>
            <w:pPr>
              <w:ind w:left="140"/>
              <w:spacing w:after="0"/>
              <w:rPr>
                <w:sz w:val="20"/>
                <w:szCs w:val="20"/>
                <w:color w:val="auto"/>
              </w:rPr>
            </w:pPr>
            <w:r>
              <w:rPr>
                <w:rFonts w:ascii="Arial" w:cs="Arial" w:eastAsia="Arial" w:hAnsi="Arial"/>
                <w:sz w:val="18"/>
                <w:szCs w:val="18"/>
                <w:color w:val="auto"/>
                <w:w w:val="88"/>
              </w:rPr>
              <w:t>Average Price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Purchased as Part of Publicly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Repurchases</w:t>
            </w:r>
          </w:p>
        </w:tc>
      </w:tr>
      <w:tr>
        <w:trPr>
          <w:trHeight w:val="184"/>
        </w:trPr>
        <w:tc>
          <w:tcPr>
            <w:tcW w:w="2880" w:type="dxa"/>
            <w:vAlign w:val="bottom"/>
            <w:gridSpan w:val="2"/>
          </w:tcPr>
          <w:p>
            <w:pPr>
              <w:spacing w:after="0" w:line="183" w:lineRule="exact"/>
              <w:rPr>
                <w:sz w:val="20"/>
                <w:szCs w:val="20"/>
                <w:color w:val="auto"/>
              </w:rPr>
            </w:pPr>
            <w:r>
              <w:rPr>
                <w:rFonts w:ascii="Arial" w:cs="Arial" w:eastAsia="Arial" w:hAnsi="Arial"/>
                <w:sz w:val="18"/>
                <w:szCs w:val="18"/>
                <w:color w:val="auto"/>
              </w:rPr>
              <w:t>Period</w:t>
            </w:r>
          </w:p>
        </w:tc>
        <w:tc>
          <w:tcPr>
            <w:tcW w:w="1740" w:type="dxa"/>
            <w:vAlign w:val="bottom"/>
            <w:gridSpan w:val="2"/>
          </w:tcPr>
          <w:p>
            <w:pPr>
              <w:jc w:val="center"/>
              <w:ind w:right="500"/>
              <w:spacing w:after="0" w:line="183" w:lineRule="exact"/>
              <w:rPr>
                <w:sz w:val="20"/>
                <w:szCs w:val="20"/>
                <w:color w:val="auto"/>
              </w:rPr>
            </w:pPr>
            <w:r>
              <w:rPr>
                <w:rFonts w:ascii="Arial" w:cs="Arial" w:eastAsia="Arial" w:hAnsi="Arial"/>
                <w:sz w:val="18"/>
                <w:szCs w:val="18"/>
                <w:color w:val="auto"/>
                <w:w w:val="83"/>
              </w:rPr>
              <w:t>Shares Purchased</w:t>
            </w:r>
          </w:p>
        </w:tc>
        <w:tc>
          <w:tcPr>
            <w:tcW w:w="1160" w:type="dxa"/>
            <w:vAlign w:val="bottom"/>
          </w:tcPr>
          <w:p>
            <w:pPr>
              <w:ind w:left="120"/>
              <w:spacing w:after="0" w:line="183" w:lineRule="exact"/>
              <w:rPr>
                <w:sz w:val="20"/>
                <w:szCs w:val="20"/>
                <w:color w:val="auto"/>
              </w:rPr>
            </w:pPr>
            <w:r>
              <w:rPr>
                <w:rFonts w:ascii="Arial" w:cs="Arial" w:eastAsia="Arial" w:hAnsi="Arial"/>
                <w:sz w:val="18"/>
                <w:szCs w:val="18"/>
                <w:color w:val="auto"/>
                <w:w w:val="84"/>
              </w:rPr>
              <w:t>Paid per Share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160" w:type="dxa"/>
            <w:vAlign w:val="bottom"/>
          </w:tcPr>
          <w:p>
            <w:pPr>
              <w:jc w:val="center"/>
              <w:spacing w:after="0" w:line="183" w:lineRule="exact"/>
              <w:rPr>
                <w:sz w:val="20"/>
                <w:szCs w:val="20"/>
                <w:color w:val="auto"/>
              </w:rPr>
            </w:pPr>
            <w:r>
              <w:rPr>
                <w:rFonts w:ascii="Arial" w:cs="Arial" w:eastAsia="Arial" w:hAnsi="Arial"/>
                <w:sz w:val="18"/>
                <w:szCs w:val="18"/>
                <w:color w:val="auto"/>
                <w:w w:val="87"/>
              </w:rPr>
              <w:t>Announced Plan or Programs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140"/>
              <w:spacing w:after="0" w:line="183" w:lineRule="exact"/>
              <w:rPr>
                <w:sz w:val="20"/>
                <w:szCs w:val="20"/>
                <w:color w:val="auto"/>
              </w:rPr>
            </w:pPr>
            <w:r>
              <w:rPr>
                <w:rFonts w:ascii="Arial" w:cs="Arial" w:eastAsia="Arial" w:hAnsi="Arial"/>
                <w:sz w:val="18"/>
                <w:szCs w:val="18"/>
                <w:color w:val="auto"/>
                <w:w w:val="93"/>
              </w:rPr>
              <w:t>Authorization</w:t>
            </w:r>
          </w:p>
        </w:tc>
      </w:tr>
      <w:tr>
        <w:trPr>
          <w:trHeight w:val="20"/>
        </w:trPr>
        <w:tc>
          <w:tcPr>
            <w:tcW w:w="460" w:type="dxa"/>
            <w:vAlign w:val="bottom"/>
            <w:tcBorders>
              <w:top w:val="single" w:sz="8" w:color="auto"/>
              <w:bottom w:val="single" w:sz="8" w:color="CFF0FC"/>
            </w:tcBorders>
          </w:tcPr>
          <w:p>
            <w:pPr>
              <w:spacing w:after="0" w:line="20" w:lineRule="exact"/>
              <w:rPr>
                <w:sz w:val="1"/>
                <w:szCs w:val="1"/>
                <w:color w:val="auto"/>
              </w:rPr>
            </w:pPr>
          </w:p>
        </w:tc>
        <w:tc>
          <w:tcPr>
            <w:tcW w:w="2420" w:type="dxa"/>
            <w:vAlign w:val="bottom"/>
            <w:tcBorders>
              <w:bottom w:val="single" w:sz="8" w:color="CFF0FC"/>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FF0FC"/>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r>
      <w:tr>
        <w:trPr>
          <w:trHeight w:val="217"/>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10/1/2018</w:t>
            </w:r>
          </w:p>
        </w:tc>
        <w:tc>
          <w:tcPr>
            <w:tcW w:w="1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r>
      <w:tr>
        <w:trPr>
          <w:trHeight w:val="224"/>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10/31/2018</w:t>
            </w: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11/1/2018</w:t>
            </w: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r>
      <w:tr>
        <w:trPr>
          <w:trHeight w:val="224"/>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11/30/2018</w:t>
            </w: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4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12/1/2018</w:t>
            </w:r>
          </w:p>
        </w:tc>
        <w:tc>
          <w:tcPr>
            <w:tcW w:w="1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2880" w:type="dxa"/>
            <w:vAlign w:val="bottom"/>
            <w:gridSpan w:val="2"/>
          </w:tcPr>
          <w:p>
            <w:pPr>
              <w:spacing w:after="0"/>
              <w:rPr>
                <w:sz w:val="20"/>
                <w:szCs w:val="20"/>
                <w:color w:val="auto"/>
              </w:rPr>
            </w:pPr>
            <w:r>
              <w:rPr>
                <w:rFonts w:ascii="Arial" w:cs="Arial" w:eastAsia="Arial" w:hAnsi="Arial"/>
                <w:sz w:val="18"/>
                <w:szCs w:val="18"/>
                <w:color w:val="auto"/>
              </w:rPr>
              <w:t>to</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r>
      <w:tr>
        <w:trPr>
          <w:trHeight w:val="224"/>
        </w:trPr>
        <w:tc>
          <w:tcPr>
            <w:tcW w:w="2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12/31/2018</w:t>
            </w:r>
          </w:p>
        </w:tc>
        <w:tc>
          <w:tcPr>
            <w:tcW w:w="1260" w:type="dxa"/>
            <w:vAlign w:val="bottom"/>
            <w:tcBorders>
              <w:bottom w:val="single" w:sz="8" w:color="auto"/>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7"/>
        </w:trPr>
        <w:tc>
          <w:tcPr>
            <w:tcW w:w="2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540" w:hanging="535"/>
        <w:spacing w:after="0" w:line="324"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6"/>
          <w:szCs w:val="16"/>
          <w:color w:val="auto"/>
        </w:rPr>
        <w:t>From time to time, the Company purchases shares in the market pursuant to a stock repurchase program publicly announced on January 18, 2018. On that date, the Board of Directors authorized the repurchase of 400,000 common shares between January 18, 2018 and December 31,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2017 and 2016 consolidated financial statements have been reclassified to conform with the 2018 presentation.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SUMMARY OF SELECTED CONSOLIDATED FINANCIAL DATA</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6"/>
              </w:rPr>
              <w:t>Summary of Consolidated Statement of Income - UNAUDITED</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8"/>
                <w:szCs w:val="18"/>
                <w:color w:val="auto"/>
                <w:w w:val="93"/>
              </w:rPr>
              <w:t>(In Thousands, except share data)</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12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Interest income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46,429</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41,248</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37,727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33,650</w:t>
            </w:r>
          </w:p>
        </w:tc>
        <w:tc>
          <w:tcPr>
            <w:tcW w:w="1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Net Interest Income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33,504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loan losses</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60" w:type="dxa"/>
            <w:vAlign w:val="bottom"/>
            <w:gridSpan w:val="2"/>
          </w:tcPr>
          <w:p>
            <w:pPr>
              <w:spacing w:after="0"/>
              <w:rPr>
                <w:sz w:val="20"/>
                <w:szCs w:val="20"/>
                <w:color w:val="auto"/>
              </w:rPr>
            </w:pPr>
            <w:r>
              <w:rPr>
                <w:rFonts w:ascii="Arial" w:cs="Arial" w:eastAsia="Arial" w:hAnsi="Arial"/>
                <w:sz w:val="18"/>
                <w:szCs w:val="18"/>
                <w:color w:val="auto"/>
              </w:rPr>
              <w:t>Net interest income after provision for loan losses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35,899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(21,357)</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(17,996)</w:t>
            </w: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(16,063)</w:t>
            </w: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(15,279)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(15,029)</w:t>
            </w:r>
          </w:p>
        </w:tc>
        <w:tc>
          <w:tcPr>
            <w:tcW w:w="0" w:type="dxa"/>
            <w:vAlign w:val="bottom"/>
          </w:tcPr>
          <w:p>
            <w:pPr>
              <w:spacing w:after="0"/>
              <w:rPr>
                <w:sz w:val="1"/>
                <w:szCs w:val="1"/>
                <w:color w:val="auto"/>
              </w:rPr>
            </w:pPr>
          </w:p>
        </w:tc>
      </w:tr>
      <w:tr>
        <w:trPr>
          <w:trHeight w:val="217"/>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 before income taxes</w:t>
            </w:r>
          </w:p>
        </w:tc>
        <w:tc>
          <w:tcPr>
            <w:tcW w:w="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18,176</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17,903</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taxes</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60" w:type="dxa"/>
            <w:vAlign w:val="bottom"/>
            <w:gridSpan w:val="2"/>
          </w:tcPr>
          <w:p>
            <w:pPr>
              <w:ind w:left="480"/>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14,949</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12,720</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11,664</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10,340</w:t>
            </w:r>
          </w:p>
        </w:tc>
        <w:tc>
          <w:tcPr>
            <w:tcW w:w="140" w:type="dxa"/>
            <w:vAlign w:val="bottom"/>
          </w:tcPr>
          <w:p>
            <w:pPr>
              <w:spacing w:after="0"/>
              <w:rPr>
                <w:sz w:val="22"/>
                <w:szCs w:val="2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9,646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56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Per Share of Common Stock:</w:t>
            </w:r>
          </w:p>
        </w:tc>
        <w:tc>
          <w:tcPr>
            <w:tcW w:w="5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660" w:type="dxa"/>
            <w:vAlign w:val="bottom"/>
            <w:gridSpan w:val="2"/>
          </w:tcPr>
          <w:p>
            <w:pPr>
              <w:ind w:left="240"/>
              <w:spacing w:after="0"/>
              <w:rPr>
                <w:sz w:val="20"/>
                <w:szCs w:val="20"/>
                <w:color w:val="auto"/>
              </w:rPr>
            </w:pPr>
            <w:r>
              <w:rPr>
                <w:rFonts w:ascii="Arial" w:cs="Arial" w:eastAsia="Arial" w:hAnsi="Arial"/>
                <w:sz w:val="18"/>
                <w:szCs w:val="18"/>
                <w:color w:val="auto"/>
              </w:rPr>
              <w:t>Earnings per common share outstanding *</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Net income</w:t>
            </w:r>
            <w:r>
              <w:rPr>
                <w:rFonts w:ascii="Arial" w:cs="Arial" w:eastAsia="Arial" w:hAnsi="Arial"/>
                <w:sz w:val="14"/>
                <w:szCs w:val="14"/>
                <w:color w:val="auto"/>
              </w:rPr>
              <w:t>(1)</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480"/>
              <w:spacing w:after="0"/>
              <w:rPr>
                <w:sz w:val="20"/>
                <w:szCs w:val="20"/>
                <w:color w:val="auto"/>
              </w:rPr>
            </w:pPr>
            <w:r>
              <w:rPr>
                <w:rFonts w:ascii="Arial" w:cs="Arial" w:eastAsia="Arial" w:hAnsi="Arial"/>
                <w:sz w:val="18"/>
                <w:szCs w:val="18"/>
                <w:color w:val="auto"/>
              </w:rPr>
              <w:t>Dividends</w:t>
            </w:r>
            <w:r>
              <w:rPr>
                <w:rFonts w:ascii="Arial" w:cs="Arial" w:eastAsia="Arial" w:hAnsi="Arial"/>
                <w:sz w:val="14"/>
                <w:szCs w:val="14"/>
                <w:color w:val="auto"/>
              </w:rPr>
              <w:t>(1)</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gridSpan w:val="2"/>
            <w:vMerge w:val="continue"/>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660" w:type="dxa"/>
            <w:vAlign w:val="bottom"/>
            <w:tcBorders>
              <w:top w:val="single" w:sz="8" w:color="CFF0FC"/>
            </w:tcBorders>
            <w:gridSpan w:val="2"/>
            <w:shd w:val="clear" w:color="auto" w:fill="CFF0FC"/>
          </w:tcPr>
          <w:p>
            <w:pPr>
              <w:ind w:left="480"/>
              <w:spacing w:after="0" w:line="205" w:lineRule="exact"/>
              <w:rPr>
                <w:sz w:val="20"/>
                <w:szCs w:val="20"/>
                <w:color w:val="auto"/>
              </w:rPr>
            </w:pPr>
            <w:r>
              <w:rPr>
                <w:rFonts w:ascii="Arial" w:cs="Arial" w:eastAsia="Arial" w:hAnsi="Arial"/>
                <w:sz w:val="18"/>
                <w:szCs w:val="18"/>
                <w:color w:val="auto"/>
              </w:rPr>
              <w:t>Weighted average number of shares</w:t>
            </w:r>
          </w:p>
        </w:tc>
        <w:tc>
          <w:tcPr>
            <w:tcW w:w="5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outstanding, including participating</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6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securities</w:t>
            </w:r>
            <w:r>
              <w:rPr>
                <w:rFonts w:ascii="Arial" w:cs="Arial" w:eastAsia="Arial" w:hAnsi="Arial"/>
                <w:sz w:val="14"/>
                <w:szCs w:val="14"/>
                <w:color w:val="auto"/>
              </w:rPr>
              <w:t>(1)</w:t>
            </w:r>
          </w:p>
        </w:tc>
        <w:tc>
          <w:tcPr>
            <w:tcW w:w="5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9,272,964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9,250,825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9,224,230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9,234,116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9,256,356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40" w:hanging="535"/>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weighted average number of shares outstanding</w:t>
      </w:r>
    </w:p>
    <w:p>
      <w:pPr>
        <w:spacing w:after="0" w:line="15" w:lineRule="exact"/>
        <w:rPr>
          <w:sz w:val="20"/>
          <w:szCs w:val="20"/>
          <w:color w:val="auto"/>
        </w:rPr>
      </w:pPr>
    </w:p>
    <w:p>
      <w:pPr>
        <w:ind w:left="540" w:hanging="535"/>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Share data has been adjusted to reflect a 2-for-1 stock split on September 20,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w w:val="95"/>
              </w:rPr>
              <w:t>(In Thousands)</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720" w:type="dxa"/>
            <w:vAlign w:val="bottom"/>
            <w:tcBorders>
              <w:bottom w:val="single" w:sz="8" w:color="CFF0FC"/>
            </w:tcBorders>
          </w:tcPr>
          <w:p>
            <w:pPr>
              <w:spacing w:after="0"/>
              <w:rPr>
                <w:sz w:val="18"/>
                <w:szCs w:val="18"/>
                <w:color w:val="auto"/>
              </w:rPr>
            </w:pPr>
          </w:p>
        </w:tc>
        <w:tc>
          <w:tcPr>
            <w:tcW w:w="230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FF0FC"/>
            </w:tcBorders>
          </w:tcPr>
          <w:p>
            <w:pPr>
              <w:spacing w:after="0"/>
              <w:rPr>
                <w:sz w:val="18"/>
                <w:szCs w:val="18"/>
                <w:color w:val="auto"/>
              </w:rPr>
            </w:pPr>
          </w:p>
        </w:tc>
      </w:tr>
      <w:tr>
        <w:trPr>
          <w:trHeight w:val="217"/>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3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$ 1,116,163</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$ 1,107,009</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$ 1,055,895</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$ 989,068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$ 941,213</w:t>
            </w:r>
          </w:p>
        </w:tc>
        <w:tc>
          <w:tcPr>
            <w:tcW w:w="160" w:type="dxa"/>
            <w:vAlign w:val="bottom"/>
            <w:shd w:val="clear" w:color="auto" w:fill="CFF0FC"/>
          </w:tcPr>
          <w:p>
            <w:pPr>
              <w:spacing w:after="0"/>
              <w:rPr>
                <w:sz w:val="18"/>
                <w:szCs w:val="18"/>
                <w:color w:val="auto"/>
              </w:rPr>
            </w:pP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Loans, net</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839,599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816,156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751,310</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678,573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615,562</w:t>
            </w:r>
          </w:p>
        </w:tc>
        <w:tc>
          <w:tcPr>
            <w:tcW w:w="160" w:type="dxa"/>
            <w:vAlign w:val="bottom"/>
          </w:tcPr>
          <w:p>
            <w:pPr>
              <w:spacing w:after="0"/>
              <w:rPr>
                <w:sz w:val="19"/>
                <w:szCs w:val="19"/>
                <w:color w:val="auto"/>
              </w:rPr>
            </w:pPr>
          </w:p>
        </w:tc>
      </w:tr>
      <w:tr>
        <w:trPr>
          <w:trHeight w:val="224"/>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Total deposits</w:t>
            </w:r>
          </w:p>
        </w:tc>
        <w:tc>
          <w:tcPr>
            <w:tcW w:w="3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928,790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919,340</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842,203</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771,339</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762,560</w:t>
            </w:r>
          </w:p>
        </w:tc>
        <w:tc>
          <w:tcPr>
            <w:tcW w:w="160" w:type="dxa"/>
            <w:vAlign w:val="bottom"/>
            <w:shd w:val="clear" w:color="auto" w:fill="CFF0FC"/>
          </w:tcPr>
          <w:p>
            <w:pPr>
              <w:spacing w:after="0"/>
              <w:rPr>
                <w:sz w:val="19"/>
                <w:szCs w:val="19"/>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Stockholders' equity</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143,287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134,137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125,577</w:t>
            </w: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120,097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114,493</w:t>
            </w:r>
          </w:p>
        </w:tc>
        <w:tc>
          <w:tcPr>
            <w:tcW w:w="160" w:type="dxa"/>
            <w:vAlign w:val="bottom"/>
          </w:tcPr>
          <w:p>
            <w:pPr>
              <w:spacing w:after="0"/>
              <w:rPr>
                <w:sz w:val="19"/>
                <w:szCs w:val="19"/>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Key Ratios</w:t>
            </w:r>
          </w:p>
        </w:tc>
        <w:tc>
          <w:tcPr>
            <w:tcW w:w="30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rPr>
              <w:t>Return on average equity</w:t>
            </w:r>
          </w:p>
        </w:tc>
        <w:tc>
          <w:tcPr>
            <w:tcW w:w="3040" w:type="dxa"/>
            <w:vAlign w:val="bottom"/>
          </w:tcPr>
          <w:p>
            <w:pPr>
              <w:jc w:val="right"/>
              <w:ind w:right="192"/>
              <w:spacing w:after="0"/>
              <w:rPr>
                <w:sz w:val="20"/>
                <w:szCs w:val="20"/>
                <w:color w:val="auto"/>
              </w:rPr>
            </w:pPr>
            <w:r>
              <w:rPr>
                <w:rFonts w:ascii="Arial" w:cs="Arial" w:eastAsia="Arial" w:hAnsi="Arial"/>
                <w:sz w:val="18"/>
                <w:szCs w:val="18"/>
                <w:color w:val="auto"/>
              </w:rPr>
              <w:t>10.86%</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9.75%</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9.38%</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8.80%</w:t>
            </w:r>
          </w:p>
        </w:tc>
        <w:tc>
          <w:tcPr>
            <w:tcW w:w="840" w:type="dxa"/>
            <w:vAlign w:val="bottom"/>
          </w:tcPr>
          <w:p>
            <w:pPr>
              <w:jc w:val="right"/>
              <w:spacing w:after="0"/>
              <w:rPr>
                <w:sz w:val="20"/>
                <w:szCs w:val="20"/>
                <w:color w:val="auto"/>
              </w:rPr>
            </w:pPr>
            <w:r>
              <w:rPr>
                <w:rFonts w:ascii="Arial" w:cs="Arial" w:eastAsia="Arial" w:hAnsi="Arial"/>
                <w:sz w:val="18"/>
                <w:szCs w:val="18"/>
                <w:color w:val="auto"/>
              </w:rPr>
              <w:t>8.72%</w:t>
            </w:r>
          </w:p>
        </w:tc>
      </w:tr>
      <w:tr>
        <w:trPr>
          <w:trHeight w:val="224"/>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Return on average assets</w:t>
            </w:r>
          </w:p>
        </w:tc>
        <w:tc>
          <w:tcPr>
            <w:tcW w:w="30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1.34%</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1.18%</w:t>
            </w:r>
          </w:p>
        </w:tc>
        <w:tc>
          <w:tcPr>
            <w:tcW w:w="110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1.14%</w:t>
            </w:r>
          </w:p>
        </w:tc>
        <w:tc>
          <w:tcPr>
            <w:tcW w:w="108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1.08%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r>
      <w:tr>
        <w:trPr>
          <w:trHeight w:val="224"/>
        </w:trPr>
        <w:tc>
          <w:tcPr>
            <w:tcW w:w="4220" w:type="dxa"/>
            <w:vAlign w:val="bottom"/>
          </w:tcPr>
          <w:p>
            <w:pPr>
              <w:ind w:left="240"/>
              <w:spacing w:after="0"/>
              <w:rPr>
                <w:sz w:val="20"/>
                <w:szCs w:val="20"/>
                <w:color w:val="auto"/>
              </w:rPr>
            </w:pPr>
            <w:r>
              <w:rPr>
                <w:rFonts w:ascii="Arial" w:cs="Arial" w:eastAsia="Arial" w:hAnsi="Arial"/>
                <w:sz w:val="18"/>
                <w:szCs w:val="18"/>
                <w:color w:val="auto"/>
              </w:rPr>
              <w:t>Loans to deposits</w:t>
            </w:r>
          </w:p>
        </w:tc>
        <w:tc>
          <w:tcPr>
            <w:tcW w:w="3040" w:type="dxa"/>
            <w:vAlign w:val="bottom"/>
          </w:tcPr>
          <w:p>
            <w:pPr>
              <w:jc w:val="right"/>
              <w:ind w:right="192"/>
              <w:spacing w:after="0"/>
              <w:rPr>
                <w:sz w:val="20"/>
                <w:szCs w:val="20"/>
                <w:color w:val="auto"/>
              </w:rPr>
            </w:pPr>
            <w:r>
              <w:rPr>
                <w:rFonts w:ascii="Arial" w:cs="Arial" w:eastAsia="Arial" w:hAnsi="Arial"/>
                <w:sz w:val="18"/>
                <w:szCs w:val="18"/>
                <w:color w:val="auto"/>
              </w:rPr>
              <w:t>90.40%</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88.78%</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89.45%</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88.14%</w:t>
            </w:r>
          </w:p>
        </w:tc>
        <w:tc>
          <w:tcPr>
            <w:tcW w:w="840" w:type="dxa"/>
            <w:vAlign w:val="bottom"/>
          </w:tcPr>
          <w:p>
            <w:pPr>
              <w:jc w:val="right"/>
              <w:spacing w:after="0"/>
              <w:rPr>
                <w:sz w:val="20"/>
                <w:szCs w:val="20"/>
                <w:color w:val="auto"/>
              </w:rPr>
            </w:pPr>
            <w:r>
              <w:rPr>
                <w:rFonts w:ascii="Arial" w:cs="Arial" w:eastAsia="Arial" w:hAnsi="Arial"/>
                <w:sz w:val="18"/>
                <w:szCs w:val="18"/>
                <w:color w:val="auto"/>
              </w:rPr>
              <w:t>80.78%</w:t>
            </w:r>
          </w:p>
        </w:tc>
      </w:tr>
      <w:tr>
        <w:trPr>
          <w:trHeight w:val="224"/>
        </w:trPr>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 to assets</w:t>
            </w:r>
          </w:p>
        </w:tc>
        <w:tc>
          <w:tcPr>
            <w:tcW w:w="3040" w:type="dxa"/>
            <w:vAlign w:val="bottom"/>
            <w:shd w:val="clear" w:color="auto" w:fill="CFF0FC"/>
          </w:tcPr>
          <w:p>
            <w:pPr>
              <w:jc w:val="right"/>
              <w:ind w:right="192"/>
              <w:spacing w:after="0"/>
              <w:rPr>
                <w:sz w:val="20"/>
                <w:szCs w:val="20"/>
                <w:color w:val="auto"/>
              </w:rPr>
            </w:pPr>
            <w:r>
              <w:rPr>
                <w:rFonts w:ascii="Arial" w:cs="Arial" w:eastAsia="Arial" w:hAnsi="Arial"/>
                <w:sz w:val="18"/>
                <w:szCs w:val="18"/>
                <w:color w:val="auto"/>
              </w:rPr>
              <w:t>12.84%</w:t>
            </w:r>
          </w:p>
        </w:tc>
        <w:tc>
          <w:tcPr>
            <w:tcW w:w="114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rPr>
              <w:t>12.12%</w:t>
            </w:r>
          </w:p>
        </w:tc>
        <w:tc>
          <w:tcPr>
            <w:tcW w:w="110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11.89%</w:t>
            </w:r>
          </w:p>
        </w:tc>
        <w:tc>
          <w:tcPr>
            <w:tcW w:w="1080" w:type="dxa"/>
            <w:vAlign w:val="bottom"/>
            <w:shd w:val="clear" w:color="auto" w:fill="CFF0FC"/>
          </w:tcPr>
          <w:p>
            <w:pPr>
              <w:jc w:val="right"/>
              <w:ind w:right="172"/>
              <w:spacing w:after="0"/>
              <w:rPr>
                <w:sz w:val="20"/>
                <w:szCs w:val="20"/>
                <w:color w:val="auto"/>
              </w:rPr>
            </w:pPr>
            <w:r>
              <w:rPr>
                <w:rFonts w:ascii="Arial" w:cs="Arial" w:eastAsia="Arial" w:hAnsi="Arial"/>
                <w:sz w:val="18"/>
                <w:szCs w:val="18"/>
                <w:color w:val="auto"/>
              </w:rPr>
              <w:t>12.14%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w:t>
            </w: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Dividend payout</w:t>
            </w:r>
          </w:p>
        </w:tc>
        <w:tc>
          <w:tcPr>
            <w:tcW w:w="3040" w:type="dxa"/>
            <w:vAlign w:val="bottom"/>
          </w:tcPr>
          <w:p>
            <w:pPr>
              <w:jc w:val="right"/>
              <w:ind w:right="192"/>
              <w:spacing w:after="0"/>
              <w:rPr>
                <w:sz w:val="20"/>
                <w:szCs w:val="20"/>
                <w:color w:val="auto"/>
              </w:rPr>
            </w:pPr>
            <w:r>
              <w:rPr>
                <w:rFonts w:ascii="Arial" w:cs="Arial" w:eastAsia="Arial" w:hAnsi="Arial"/>
                <w:sz w:val="18"/>
                <w:szCs w:val="18"/>
                <w:color w:val="auto"/>
              </w:rPr>
              <w:t>34.40%</w:t>
            </w:r>
          </w:p>
        </w:tc>
        <w:tc>
          <w:tcPr>
            <w:tcW w:w="1140" w:type="dxa"/>
            <w:vAlign w:val="bottom"/>
          </w:tcPr>
          <w:p>
            <w:pPr>
              <w:jc w:val="right"/>
              <w:ind w:right="212"/>
              <w:spacing w:after="0"/>
              <w:rPr>
                <w:sz w:val="20"/>
                <w:szCs w:val="20"/>
                <w:color w:val="auto"/>
              </w:rPr>
            </w:pPr>
            <w:r>
              <w:rPr>
                <w:rFonts w:ascii="Arial" w:cs="Arial" w:eastAsia="Arial" w:hAnsi="Arial"/>
                <w:sz w:val="18"/>
                <w:szCs w:val="18"/>
                <w:color w:val="auto"/>
              </w:rPr>
              <w:t>36.02%</w:t>
            </w: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35.67%</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38.54%</w:t>
            </w:r>
          </w:p>
        </w:tc>
        <w:tc>
          <w:tcPr>
            <w:tcW w:w="840" w:type="dxa"/>
            <w:vAlign w:val="bottom"/>
          </w:tcPr>
          <w:p>
            <w:pPr>
              <w:jc w:val="right"/>
              <w:spacing w:after="0"/>
              <w:rPr>
                <w:sz w:val="20"/>
                <w:szCs w:val="20"/>
                <w:color w:val="auto"/>
              </w:rPr>
            </w:pPr>
            <w:r>
              <w:rPr>
                <w:rFonts w:ascii="Arial" w:cs="Arial" w:eastAsia="Arial" w:hAnsi="Arial"/>
                <w:sz w:val="18"/>
                <w:szCs w:val="18"/>
                <w:color w:val="auto"/>
              </w:rPr>
              <w:t>40.04%</w:t>
            </w:r>
          </w:p>
        </w:tc>
      </w:tr>
    </w:tbl>
    <w:p>
      <w:pPr>
        <w:spacing w:after="0" w:line="338" w:lineRule="exact"/>
        <w:rPr>
          <w:sz w:val="20"/>
          <w:szCs w:val="20"/>
          <w:color w:val="auto"/>
        </w:rPr>
      </w:pPr>
    </w:p>
    <w:p>
      <w:pPr>
        <w:ind w:right="1720"/>
        <w:spacing w:after="0" w:line="369" w:lineRule="auto"/>
        <w:rPr>
          <w:sz w:val="20"/>
          <w:szCs w:val="20"/>
          <w:color w:val="auto"/>
        </w:rPr>
      </w:pPr>
      <w:r>
        <w:rPr>
          <w:rFonts w:ascii="Arial" w:cs="Arial" w:eastAsia="Arial" w:hAnsi="Arial"/>
          <w:sz w:val="18"/>
          <w:szCs w:val="18"/>
          <w:b w:val="1"/>
          <w:bCs w:val="1"/>
          <w:u w:val="single" w:color="auto"/>
          <w:color w:val="auto"/>
        </w:rPr>
        <w:t xml:space="preserve">ITEM 7. MANAGEMENTS DISCUSSION AND ANALYSIS OF FINANCIAL CONDITION AND RESULTS OF OPERATIONS </w:t>
      </w:r>
      <w:r>
        <w:rPr>
          <w:rFonts w:ascii="Arial" w:cs="Arial" w:eastAsia="Arial" w:hAnsi="Arial"/>
          <w:sz w:val="18"/>
          <w:szCs w:val="18"/>
          <w:b w:val="1"/>
          <w:bCs w:val="1"/>
          <w:color w:val="auto"/>
        </w:rPr>
        <w:t>Critical Accounting Policies and Estimates</w:t>
      </w:r>
    </w:p>
    <w:p>
      <w:pPr>
        <w:spacing w:after="0" w:line="2"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19" w:name="page20"/>
    <w:bookmarkEnd w:id="19"/>
    <w:p>
      <w:pPr>
        <w:jc w:val="both"/>
        <w:spacing w:after="0" w:line="283" w:lineRule="auto"/>
        <w:rPr>
          <w:sz w:val="20"/>
          <w:szCs w:val="20"/>
          <w:color w:val="auto"/>
        </w:rPr>
      </w:pPr>
      <w:r>
        <w:rPr>
          <w:rFonts w:ascii="Arial" w:cs="Arial" w:eastAsia="Arial" w:hAnsi="Arial"/>
          <w:sz w:val="16"/>
          <w:szCs w:val="16"/>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as the accounting areas that requires the most subjective or complex judgments, and as such could be the most subject to revision as new information becomes available.</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5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fair value,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The Company’s mortgage servicing rights relating to loans serviced for others represent an asset of the Company.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 back to the fact that management has not been required to record a valuation allowance through its income statement based upon the valuation of each stratum of serving rights.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2018 in Review</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Federal Reserve rate hikes in 2018 facilitated both a flattening of the yield curve and an opportunity to widen the net interest margin through asset yield improvement. In the second half of the year, the widening of the net interest margin was pressured by the competition for deposits. The cost of funds rose more quickly in the second half of the year, specifically the fourth quarter. This pressure is expected to continue for 2019 with the added concern of an inverted yield curve throughout the first quarter.</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again reports record earnings in total and in earnings per share. This was achieved even with the acquisition costs associated with the merger deal completed January 1, 2019. Earnings per share, with acquisition costs excluded, would have been higher than $1.61 as reported in Note 12. The improvement is credited to a widening of the net interest margin and the change in the effective income tax rate, offset by increases in noninterest expense, primarily attributable to salaries, wages and employee benefits.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Unemployment levels remain low and the economies in the Company’s market area are strong. The continuation of reasonable gasoline prices has been a contributor. Strong asset quality enabled loan provision to remain low throughout 2018 and is expected to continue in the foreseeable future as the Bank prepares for the CECL implementation in 2020. Strong asset quality is evidenced by low nonaccruals, watch list and impaired loans along with low net charge-offs. Loan payoffs and paydowns were higher than expected during 2018 and hampered overall loan growth. The Company’s asset size grew a modest $9.2 million with net loans accounting for $23.4 million. The difference coming from a decrease in securities and modest growth of $9.5 million in deposits.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During the first quarter of 2018 we opened an office in Findlay, Ohio. This office was our first to utilize ITM equipment, offering traditional service with a self-service option. An ITM completes teller transactions using a debit card for recognition - the self-service option. The traditional service completes the transaction by the customer requesting teller assistance and talking to a remote customer assistance representative on-line. Personal Relationship Bankers (PRBs) welcome our customers to the office and provide exceptional customer service as they can complete a teller transaction, open a new deposit account and complete a consumer loan. Two more existing offices were physically transformed during 2018 with ITMs. Our other offices have begun the personnel transformations with PRBs at each office and Community Relationship Bankers (CRBs) covering specific market areas. CRBs focus on the community and especially small business customers. F&amp;M will serve our customers where they want, and how they want. The Bank will continue the physical transformation with our newest office in 2019 in Decatur, Indiana.</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mentioned previously, the Company acquired Limberlost Bancshares, Inc. on January 1, 2019 and the two subsidiary banks were merged. During 2018, $742.1 thousand of additional expenses attributed to the acquisition were incurred. The acquisition becomes accretive to earnings in 2019 and the foot print of the Company is expanded. Additional products and services are made available to the customers as a strong relationship focused community bank presence is maintained. The Company continues to remain focused on a strategy of expansion as the best use of capital to enhance profitability for our shareholders.</w:t>
      </w:r>
      <w:r>
        <w:rPr>
          <w:sz w:val="1"/>
          <w:szCs w:val="1"/>
          <w:color w:val="auto"/>
        </w:rPr>
        <w:drawing>
          <wp:inline distT="0" distB="0" distL="0" distR="0">
            <wp:extent cx="41910" cy="12573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910" cy="125730"/>
                    </a:xfrm>
                    <a:prstGeom prst="rect">
                      <a:avLst/>
                    </a:prstGeom>
                    <a:noFill/>
                    <a:ln>
                      <a:noFill/>
                    </a:ln>
                  </pic:spPr>
                </pic:pic>
              </a:graphicData>
            </a:graphic>
          </wp:inline>
        </w:drawing>
      </w:r>
      <w:r>
        <w:rPr>
          <w:rFonts w:ascii="Arial" w:cs="Arial" w:eastAsia="Arial" w:hAnsi="Arial"/>
          <w:sz w:val="16"/>
          <w:szCs w:val="16"/>
          <w:color w:val="auto"/>
        </w:rPr>
        <w:t>For additional information on the projections related to the acquisition, please see the proforma statements shown in Note 20 as it relates to subsequent events.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trend of increasing improvement in net income continued from 2016 through 2018. 2018 increased 17.5% over 2017 and 2017 was 9.1% higher than 2016. Dividends declared also increased over the corresponding years. 2018’s declared dividends at $0.56 a share was 12.0% higher than 2017’s $0.50 per share and 2017 was 8.7% than 2016’s $0.46 per share. The Company remains strong, stable and well capitalized and has the capacity to continue to cover the increased costs of doing business. The Company continues to look for new opportunities to generate and protect revenue while providing additional channels through which to serve our customer and maintain our high level of customer satisfaction. The Company plans to continue our strategy of expansion into new markets, whether by acquisition or the establishment of new branch office locations.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Income</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1" w:name="page22"/>
    <w:bookmarkEnd w:id="21"/>
    <w:p>
      <w:pPr>
        <w:jc w:val="both"/>
        <w:spacing w:after="0" w:line="262" w:lineRule="auto"/>
        <w:rPr>
          <w:sz w:val="20"/>
          <w:szCs w:val="20"/>
          <w:color w:val="auto"/>
        </w:rPr>
      </w:pPr>
      <w:r>
        <w:rPr>
          <w:rFonts w:ascii="Arial" w:cs="Arial" w:eastAsia="Arial" w:hAnsi="Arial"/>
          <w:sz w:val="18"/>
          <w:szCs w:val="18"/>
          <w:color w:val="auto"/>
        </w:rPr>
        <w:t>the cost as a percentage of earning assets. Because noninterest bearing sources of funds such as demand deposits and stockholders’ equity also support earning assets, the net interest margin exceeds the net interest spread.</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mentioned previously, the largest factor of the record earnings for 2018 was the $3.7 million improvement in net interest income as compared to 2017. In 2017, net interest income increased $2.6 million as compared to 2016. Interest and fee income from loans were responsible for the improvement. Interest income from loans, including fees, increased $5.1 million in 2018 as compared to 2017. This was preceded by an increase in 2017 of $3.5 million as compared to 2016. The underlying factors for the reason of the increase differed between the two time periods; however, both years were aided by prime rate increases which drove the effective interest rates on the Bank’s variable loans over their floor rates. 2018’s improvement was almost equally impacted by the increased volume and the increased rates. As a comparison to 2017, the volume of loan growth was the largest contributing factor to the improved profitability over 2016. Given that securities were sold or matured and proceeds used to fund the loan growth, interest income from that balance sheet component has declined each of the last three years. Overall, total interest income was $5.2 million higher for 2018 than 2017 and was $3.5 million higher for 2017 than 2016.</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Interest expense increased from all interest bearing funding sources with the exception of other borrowed money over the time periods shown of 2016 through 2018. This reversed a previous trend of declining interest expense that occurred in 2014 and 2015.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During 2018, interest expense from deposits increased by $1.5 million over 2017 and 2017 increased $866 thousand over 2016. The majority, approximately 94.3%, of the increased expense of 2018 was influenced by increased rates rather than due to additional cost associated with deposit growth.</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interest expense (which includes deposit, federal funds purchased, securities sold under agreement to repurchase, and borrowed funds) totaled $6.6, $5.1 and $4.2 million for 2018, 2017 and 2016 respectively. The increased expense is almost entirely attributable to the rising interest rate environment in 2018 as compared to 2017 as well as the 2017 to 2016 comparison. Borrowed fund balances increased in December of 2015, which impacted 2016, 2017 and 2018. All of 2015’s borrowings have since matured in December of 2017 and December of 2018.</w:t>
      </w:r>
    </w:p>
    <w:p>
      <w:pPr>
        <w:spacing w:after="0" w:line="16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dollar amount of improvement has been shown. Now the discussion moves on to the percentages and the change in the net interest margin and spread.</w:t>
      </w:r>
    </w:p>
    <w:p>
      <w:pPr>
        <w:spacing w:after="0" w:line="23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Overall, we have seen increased improvement in the net interest margin and spread since 2016. Looking at the components behind the change in net interest margin for 2018 as compared to 2017, increased average balances in loans of $48.5 million stands out. The additional revenue of almost $5.1 million that those balances were responsible for was the largest contributor to the improved net yield on loans of 33 basis points. Beginning in 2017, loan revenue was positively impacted by the change in the interest rate. The majority of variable loans with floor rates attained the point where rate increases caused the rate to go above the floor. The Bank had expected 100 basis points of change was needed for this to occur which was reached with the June 2017 Fed Funds rate hike. The next hike did not occur until December of 2017, too late to largely impact 2017 though it benefitted 2018. 2018 saw four additional rate hikes of 25 basis points. The large revenue gain in loan interest was offset by the decrease earnings in securities which were used to fund the loan growth. However, the overall asset yield in 2018 still improved by 30 basis points over 2017, as loans earn at a higher rate than the securities.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Increased interest expense correlated to the higher rate environment in which the deposits needed to be garnered. The Bank experienced pressure to offer higher rates to public funds in Ohio due to competition. In the area where the strategic plan was to gather core deposits, the average balance in savings grew by $32.2 million during 2018 as compared to 2017’s average balance. The other average balance increase for core deposits would be the change in non-interest bearing demand deposits. 2018’s average balance in this portfolio was $14.4 million higher than 2017’s average balance. Overall, cost of funds increased 18 basis points for 2018 over 2017. The reason behind the increase was due to rate increases not the volume increases.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interest margin for 2018 was 3.83% compared to 2017 which was 3.65%. The 0.18% increase for 2018 was an important factor in the improved profitability for 2018. Net interest spread was 3.60% for 2018 compared to 2017’s 3.48%, creating an 12 basis point difference in the spread. Variable and new loans will reprice higher if the Federal Reserve continues with their stated monetary policy and the challenge will be to control the rate of increase on the deposits. The goal is, as always, to improve the net interest margin and spread and thereby improve profitability.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22" w:name="page23"/>
    <w:bookmarkEnd w:id="22"/>
    <w:p>
      <w:pPr>
        <w:jc w:val="both"/>
        <w:spacing w:after="0" w:line="253" w:lineRule="auto"/>
        <w:rPr>
          <w:sz w:val="20"/>
          <w:szCs w:val="20"/>
          <w:color w:val="auto"/>
        </w:rPr>
      </w:pPr>
      <w:r>
        <w:rPr>
          <w:rFonts w:ascii="Arial" w:cs="Arial" w:eastAsia="Arial" w:hAnsi="Arial"/>
          <w:sz w:val="18"/>
          <w:szCs w:val="18"/>
          <w:color w:val="auto"/>
        </w:rPr>
        <w:t>In comparing 2017 to 2016, loan volume was primarily responsible for the improvement in interest income as the yield on the overall loan portfolio increased 9 basis points during 2017. The only category of asset yield to decrease was the investment securities which were used to fund growth. Overall, asset yield increased 18 basis points in 2017 as compared to 2016.</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net interest margin also climbed up in 2017, ending 10 basis points over 2016. Asset yield raised 18 basis points and the cost of funds increased only 9 basis points. The yields on the individual segments did cause the overall improvement as all increased. The improvement in the asset yield was primarily a result of the change in volume. In addition, loans as a percentage of earning assets increased to 77.8% in 2017 compared to 75.0% in 2016. Loans to assets also increased to 72.8% for 2017 compared to 2016’s 70.7%. Overall yield improves when the balances of the highest yield asset increases, which is loans.</w:t>
      </w:r>
    </w:p>
    <w:p>
      <w:pPr>
        <w:spacing w:after="0" w:line="161"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With respect to the cost of funds, the Bank’s goal is to grow the least expensive category of funding sources. The largest average balance increase for 2017 was $72.6 million in savings deposits over 2016’s average balances. This helped to keep the increase in funding expense to just 9 basis points when comparing 2017 to 2016.</w:t>
      </w:r>
    </w:p>
    <w:p>
      <w:pPr>
        <w:spacing w:after="0" w:line="112"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will always prefer to see improvement in real dollars over percentages. The strategy for increasing core deposits, in order to mitigate the higher interest rates and interest expense and to continue to establish the opportunity for fee dollars from services provided, remains for 2019.</w:t>
      </w:r>
    </w:p>
    <w:p>
      <w:pPr>
        <w:spacing w:after="0" w:line="13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Total assets of the Company increased overall as did the earning assets in both average and year end during 2018 and 2017. This matched the movement in interest dollars and in yields. The percentage of average earning assets to total average assets reflects the best utilization of funds. For 2018, the percentage at 94.23% was slightly higher than 2017 at 93.47%. The addition of offices in 2016, 2017 and 2018 increased the non-earning assets with cash balances held at the new offices and also the investment in the capital assets of their building and furniture. What made 2018 more profitable was the percentage of average loans to total assets. For 2018 the average balance of loans to total average assets was 74.77%, for 2017, 72.76%, for 2016, 70.69%. Loans are the highest yielding asset for the Company.</w:t>
      </w:r>
    </w:p>
    <w:p>
      <w:pPr>
        <w:spacing w:after="0" w:line="150"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The challenge began to change in 2016 as rates increased in December 2015. In a rising rate environment, the challenge is to hold the cost steady while allowing time for the asset portfolio to rise. Floors and ceilings on variable products also impact the level of increase in either scenario. The 25 basis point prime rate increase of 2015 did little to increase the rate on the variable loans because of the floors in place and the spread of rate to prime. The floors provided yield protection in the previous lower rate environment and the rising rates wouldn’t benefit the asset yield until the spread plus prime is higher than the floor. The challenge is to increase the spread during renewals and on new loans. After the December 2015 rate increase, it was another year before the next rate hike in December of 2016. These two rate hikes had little effect on the profitability as the majority of loans were still below the floors. It wasn’t until the third and fourth rate hikes of March and June 2017, that the majority of loans were now either equal to or over the floors. This helped the asset yield in 2017. In December 2017 along with March, June and September of 2018, there were rate hikes which contributed to the increased asset yield for 2018. The most recent rate hike in December of 2018 will help increase the asset yield for 2019.</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terms of interest expense, 2018’s increase as compared to 2017 was due to the increase in rates. 2017’s increase was also due to an increase in rates as compared to 2016.</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impact of the change in the portfolio mix was a factor in the liabilities as it was in the assets. In comparing to 2017, 2018 had movements as average balances decreased in all categories other than savings deposits and non-interest bearing liabilities. Other time deposits continued to run off and $5 million of other borrowed money was paid off in December that had been originally borrowed in December 2015 to fund loan growth. Time deposits and saving deposits increased in interest expense for 2017 as compared to 2016. Fed Funds purchased and securities sold under agreement to repurchase increased for 2017 and was due to increased balance and rate.</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following tables present net interest income, interest spread and net interest margin for the three years 2016 through 2018, comparing average outstanding balances of earning assets and interest bearing liabilities with the associated interest income and expense. The tables show the corresponding average rates of interest earned and paid. The tax-exempt asset yields have been tax adjusted to reflect a marginal corporate tax rate of 34% for 2016 and 2017 and a marginal corporate tax rate of 21% for 2018. Average outstanding loan balances include non-performing loans and mortgage loans held for sale. Average outstanding security balances are computed based on carrying values including unrealized gains and losses on available-for-sale securities. The average cost of funds for 2018 was 0.86%, 18 basis points higher than 2017’s 0.68% for interest bearing liabilities.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3" w:name="page24"/>
    <w:bookmarkEnd w:id="23"/>
    <w:p>
      <w:pPr>
        <w:jc w:val="both"/>
        <w:ind w:right="20"/>
        <w:spacing w:after="0" w:line="250" w:lineRule="auto"/>
        <w:rPr>
          <w:sz w:val="20"/>
          <w:szCs w:val="20"/>
          <w:color w:val="auto"/>
        </w:rPr>
      </w:pPr>
      <w:r>
        <w:rPr>
          <w:rFonts w:ascii="Arial" w:cs="Arial" w:eastAsia="Arial" w:hAnsi="Arial"/>
          <w:sz w:val="18"/>
          <w:szCs w:val="18"/>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34% tax rate for 2016 and 2017 and a 21% tax rate for 2018 and 27 basis points higher than 2016’s 0.59%.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831,614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147,186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1.57%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1,048,077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46,429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1,112,213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551,746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138.00%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766,456</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974,574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137,639</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1,112,213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46,429</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4.46%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0.86%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3.83%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783,140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37,195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154,081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2,815</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52,192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1,045</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other</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1,006,010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41,248</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1,076,334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519,580</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2,302</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32,173</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750,156</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180,129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15,624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945,909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130,425</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1,076,334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41,248</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4.16%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5,127</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0.68%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36,121</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3.65%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9"/>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Average</w:t>
            </w:r>
          </w:p>
        </w:tc>
        <w:tc>
          <w:tcPr>
            <w:tcW w:w="14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Interest/</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color w:val="auto"/>
              </w:rPr>
              <w:t>Balance</w:t>
            </w:r>
          </w:p>
        </w:tc>
        <w:tc>
          <w:tcPr>
            <w:tcW w:w="1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Dividends</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Yield/Rate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26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Interest Earning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724,076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33,703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Taxable investment securities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172,647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2,730</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Tax-exempt investment securities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55,395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3.36%</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 &amp; interest bearing deposits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 Interest Earning Assets</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965,122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37,727</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b w:val="1"/>
                <w:bCs w:val="1"/>
                <w:color w:val="auto"/>
              </w:rPr>
              <w:t>Non-Interest Earning Assets:</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31,848</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1,024,318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tcBorders>
              <w:top w:val="single" w:sz="8" w:color="CFF0FC"/>
              <w:bottom w:val="single" w:sz="8" w:color="CFF0FC"/>
            </w:tcBorders>
            <w:vMerge w:val="restart"/>
          </w:tcPr>
          <w:p>
            <w:pPr>
              <w:ind w:left="68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Bearing Liabilities: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Savings deposits</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446,996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time deposits</w:t>
            </w:r>
          </w:p>
        </w:tc>
        <w:tc>
          <w:tcPr>
            <w:tcW w:w="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Other borrowed money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agreement to repurchase</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64,825</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Interest Bearing Liabilities</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716,574</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4,223</w:t>
            </w:r>
          </w:p>
        </w:tc>
        <w:tc>
          <w:tcPr>
            <w:tcW w:w="22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b w:val="1"/>
                <w:bCs w:val="1"/>
                <w:color w:val="auto"/>
              </w:rPr>
              <w:t>Non-Interest Bearing Liabilities:</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tcPr>
          <w:p>
            <w:pPr>
              <w:ind w:left="240"/>
              <w:spacing w:after="0"/>
              <w:rPr>
                <w:sz w:val="20"/>
                <w:szCs w:val="20"/>
                <w:color w:val="auto"/>
              </w:rPr>
            </w:pPr>
            <w:r>
              <w:rPr>
                <w:rFonts w:ascii="Arial" w:cs="Arial" w:eastAsia="Arial" w:hAnsi="Arial"/>
                <w:sz w:val="18"/>
                <w:szCs w:val="18"/>
                <w:color w:val="auto"/>
              </w:rPr>
              <w:t>Non-interest bearing demand deposits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169,510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13,896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899,980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124,338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14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Shareholders' Equity</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1,024,318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498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Interest/Dividend income/yield</w:t>
            </w:r>
          </w:p>
        </w:tc>
        <w:tc>
          <w:tcPr>
            <w:tcW w:w="3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37,727</w:t>
            </w:r>
          </w:p>
        </w:tc>
        <w:tc>
          <w:tcPr>
            <w:tcW w:w="220" w:type="dxa"/>
            <w:vAlign w:val="bottom"/>
            <w:tcBorders>
              <w:top w:val="single" w:sz="8" w:color="CFF0FC"/>
            </w:tcBorders>
            <w:shd w:val="clear" w:color="auto" w:fill="CFF0FC"/>
          </w:tcPr>
          <w:p>
            <w:pPr>
              <w:spacing w:after="0"/>
              <w:rPr>
                <w:sz w:val="17"/>
                <w:szCs w:val="17"/>
                <w:color w:val="auto"/>
              </w:rPr>
            </w:pPr>
          </w:p>
        </w:tc>
        <w:tc>
          <w:tcPr>
            <w:tcW w:w="1220" w:type="dxa"/>
            <w:vAlign w:val="bottom"/>
            <w:tcBorders>
              <w:top w:val="single" w:sz="8" w:color="CFF0FC"/>
            </w:tcBorders>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3.98%</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140" w:type="dxa"/>
            <w:vAlign w:val="bottom"/>
            <w:gridSpan w:val="2"/>
          </w:tcPr>
          <w:p>
            <w:pPr>
              <w:ind w:left="1160"/>
              <w:spacing w:after="0"/>
              <w:rPr>
                <w:sz w:val="20"/>
                <w:szCs w:val="20"/>
                <w:color w:val="auto"/>
              </w:rPr>
            </w:pPr>
            <w:r>
              <w:rPr>
                <w:rFonts w:ascii="Arial" w:cs="Arial" w:eastAsia="Arial" w:hAnsi="Arial"/>
                <w:sz w:val="18"/>
                <w:szCs w:val="18"/>
                <w:color w:val="auto"/>
              </w:rPr>
              <w:t>Interest Expense/cost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4,223</w:t>
            </w:r>
          </w:p>
        </w:tc>
        <w:tc>
          <w:tcPr>
            <w:tcW w:w="2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4980" w:type="dxa"/>
            <w:vAlign w:val="bottom"/>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33,504</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40" w:type="dxa"/>
            <w:vAlign w:val="bottom"/>
            <w:gridSpan w:val="2"/>
            <w:vMerge w:val="restart"/>
          </w:tcPr>
          <w:p>
            <w:pPr>
              <w:ind w:left="1160"/>
              <w:spacing w:after="0"/>
              <w:rPr>
                <w:sz w:val="20"/>
                <w:szCs w:val="20"/>
                <w:color w:val="auto"/>
              </w:rPr>
            </w:pPr>
            <w:r>
              <w:rPr>
                <w:rFonts w:ascii="Arial" w:cs="Arial" w:eastAsia="Arial" w:hAnsi="Arial"/>
                <w:sz w:val="18"/>
                <w:szCs w:val="18"/>
                <w:color w:val="auto"/>
              </w:rPr>
              <w:t>Net Interest Margin</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3.55%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ind w:left="562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61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4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26" w:name="page27"/>
    <w:bookmarkEnd w:id="26"/>
    <w:p>
      <w:pPr>
        <w:jc w:val="both"/>
        <w:spacing w:after="0" w:line="262" w:lineRule="auto"/>
        <w:rPr>
          <w:sz w:val="20"/>
          <w:szCs w:val="20"/>
          <w:color w:val="auto"/>
        </w:rPr>
      </w:pPr>
      <w:r>
        <w:rPr>
          <w:rFonts w:ascii="Arial" w:cs="Arial" w:eastAsia="Arial" w:hAnsi="Arial"/>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93"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2018 vs 2017</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8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Due to change in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Volume</w:t>
            </w:r>
          </w:p>
        </w:tc>
        <w:tc>
          <w:tcPr>
            <w:tcW w:w="22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2,308</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other</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5,181</w:t>
            </w:r>
          </w:p>
        </w:tc>
        <w:tc>
          <w:tcPr>
            <w:tcW w:w="1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6"/>
              </w:rPr>
              <w:t>2017 vs 2016</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Net</w:t>
            </w:r>
          </w:p>
        </w:tc>
        <w:tc>
          <w:tcPr>
            <w:tcW w:w="8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Due to change in</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Change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Volume</w:t>
            </w:r>
          </w:p>
        </w:tc>
        <w:tc>
          <w:tcPr>
            <w:tcW w:w="220" w:type="dxa"/>
            <w:vAlign w:val="bottom"/>
          </w:tcPr>
          <w:p>
            <w:pPr>
              <w:spacing w:after="0"/>
              <w:rPr>
                <w:sz w:val="19"/>
                <w:szCs w:val="19"/>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Rate</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Earning Assets:</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3,492</w:t>
            </w:r>
          </w:p>
        </w:tc>
        <w:tc>
          <w:tcPr>
            <w:tcW w:w="140" w:type="dxa"/>
            <w:vAlign w:val="bottom"/>
          </w:tcPr>
          <w:p>
            <w:pPr>
              <w:spacing w:after="0"/>
              <w:rPr>
                <w:sz w:val="19"/>
                <w:szCs w:val="19"/>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2,757</w:t>
            </w:r>
          </w:p>
        </w:tc>
        <w:tc>
          <w:tcPr>
            <w:tcW w:w="2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Taxable investment securities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Tax-exempt investment securities</w:t>
            </w:r>
          </w:p>
        </w:tc>
        <w:tc>
          <w:tcPr>
            <w:tcW w:w="18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 funds sold &amp; interest bearing deposits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20" w:type="dxa"/>
            <w:vAlign w:val="bottom"/>
          </w:tcPr>
          <w:p>
            <w:pPr>
              <w:ind w:left="220"/>
              <w:spacing w:after="0"/>
              <w:rPr>
                <w:sz w:val="20"/>
                <w:szCs w:val="20"/>
                <w:color w:val="auto"/>
              </w:rPr>
            </w:pPr>
            <w:r>
              <w:rPr>
                <w:rFonts w:ascii="Arial" w:cs="Arial" w:eastAsia="Arial" w:hAnsi="Arial"/>
                <w:sz w:val="18"/>
                <w:szCs w:val="18"/>
                <w:b w:val="1"/>
                <w:bCs w:val="1"/>
                <w:color w:val="auto"/>
              </w:rPr>
              <w:t>Total Interest Earning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3,521</w:t>
            </w:r>
          </w:p>
        </w:tc>
        <w:tc>
          <w:tcPr>
            <w:tcW w:w="140" w:type="dxa"/>
            <w:vAlign w:val="bottom"/>
          </w:tcPr>
          <w:p>
            <w:pPr>
              <w:spacing w:after="0"/>
              <w:rPr>
                <w:sz w:val="22"/>
                <w:szCs w:val="22"/>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Pr>
          <w:p>
            <w:pPr>
              <w:spacing w:after="0"/>
              <w:rPr>
                <w:sz w:val="22"/>
                <w:szCs w:val="22"/>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Interest Bearing Liabilities: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Other time deposits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 borrowed money</w:t>
            </w: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ind w:left="220"/>
              <w:spacing w:after="0"/>
              <w:rPr>
                <w:sz w:val="20"/>
                <w:szCs w:val="20"/>
                <w:color w:val="auto"/>
              </w:rPr>
            </w:pPr>
            <w:r>
              <w:rPr>
                <w:rFonts w:ascii="Arial" w:cs="Arial" w:eastAsia="Arial" w:hAnsi="Arial"/>
                <w:sz w:val="18"/>
                <w:szCs w:val="18"/>
                <w:color w:val="auto"/>
              </w:rPr>
              <w:t>Federal funds purchased and securities sold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under agreement to repurchase</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Interest Bearing Liabilities</w:t>
            </w: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2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2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discussion now focuses on the non-interest income and expense generated from the Company. Non-interest income increased overall in 2018 as compared to 2017. This followed a year of decrease in 2017 as compared to 2016. 2018 did not reach the level of 2016’s non-interest income, lower by $504 thousand.</w:t>
      </w:r>
    </w:p>
    <w:p>
      <w:pPr>
        <w:spacing w:after="0" w:line="13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Components of non-interest income which improved over 2017 and 2016 were service charge revenue from both the business accounts and consumer accounts. 2018 service charge revenue was $53.1 thousand higher than 2017, mainly due to the increased number of accounts that had service charges attached to them.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a continuation of the Bank’s “earn to free” strategic initiative. It also aided the increase of $292.7 thousand in service charge revenue in 2017 as compared to 2016. Upgrades to our digital products and services continue to occur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8"/>
          <w:szCs w:val="18"/>
          <w:color w:val="auto"/>
        </w:rPr>
        <w:t>in both retail and business lines. Increases in the number of accounts and the number of services being utilized by our customers accounted for the increase in fees over the last two years.</w:t>
      </w:r>
    </w:p>
    <w:p>
      <w:pPr>
        <w:spacing w:after="0" w:line="1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Bank has long promoted the use of debit cards by its customers and continues to build on that philosophy with the introduction of new products. During 2018 the Bank collected interchange revenue, combined with fees collected on foreign ATM fees (noncustomers utilizing our ATMs), of $2.9 million which was $167.5 thousand higher than 2017 and $340.0 thousand higher than 2016. While this revenue stream continues to improve with more depositors using electronic methods for purchasing, the expense attributable to card fraud has offset a portion of the revenue gain. Further discussion can be found in the non-interest section regarding the net effect of debit card activity.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Noninterest income form net gain on sales of loans was the highest in 2016 of the three year periods shown. The change may be related to the increase in rates after the long duration of the flat interest rate environment. The net gain on sale of loans is derived from sales of real estate loans into the secondary market. Of these loan types, the Bank sells 100% of the residential loans and 90% of the agricultural loans. 66.5% of the gains are attributed to the residential loans in 2018, 80% in 2017 and 77% in 2016. In conjunction with these sales, the Bank maintains servicing rights and those income amounts during all three years are included in the customer service fee income line item and accounted for $449 thousand in 2018, $460 thousand in 2017 and $555.3 thousand in revenue for 2016.</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last item in the non-interest income section is the net gain of sale of investments. The Bank has sold securities over the last three years for two main purposes: to provide funds for loan growth and to take advantage of the position of the yield curve when a gain can be recognized on sales without extending the duration of the portfolio longer than wanted. 2018 had limited sales for gain recognition due to the flatness of the yield curve which began to occur in second half 2017. The Bank will not increase short-terms gains at the sacrifice of long-term profitability. The available for sale security portfolio switched from an unrealized gain position into an unrealized loss position in 2017. Sales in 2017 were made early in the first quarter before the additional Federal Reserve rate hike in March and again in May before the June rate hike. These sales recognized much lower gains than in prior years. The Bank recognized gains of $9.8 thousand in 2018, $47 thousand for 2017 and $588 thousand for 2016. This line item was largely responsible for the lower non-interest income of 2017 as compared to 2016. The Company also recognized a loss on sale of securities from the holding company. These proceeds were used to provide cash for the acquisition with the losses totaling $19.2 thousand. The net effect of the consolidated number is what shows on the line item of net loss of $9 thousand for 2018.</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Noninterest expense increased 12.2% in 2018 as compared to 2017 and was preceded by a 4.7% increase in 2017 as compared to 2016. Represented in dollars, 2018 was $3.5 million higher than 2017 and 2017 was $1.3 million higher than 2016. The largest factor behind the increase in both years was the expense of employee salaries and wages. During 2018, an additional $1.1 million was spent over 2017 which correlates to an 9.1% increase. When making the same analysis for 2017 as compared to 2016, 2017’s costs increased $993 thousand or 8.6%. Three main components flow into salaries and wages: base salary, deferred costs, and incentives composed of the expense of restricted stock awards and performance incentives. Base pay has increased with the addition of the four offices of Findlay, Huntertown, Bowling Green and Sylvania, as well as from the operations of the Captive and through normal yearly increases to the remainder of the employees. Base pay was up $768.3 thousand for 2018 over the previous year and 2017 was up $731.2 thousand over 2016. The full time equivalent number of employees at each yearend increased to 288 for 2018, to 275 for 2017 compared to 2016’s 273. The Company had also chosen to invest a portion of the tax savings dollars of 2018 to increase the base pay of our lowest paid employees.</w:t>
      </w:r>
    </w:p>
    <w:p>
      <w:pPr>
        <w:spacing w:after="0" w:line="168"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Incentive pay as it related to performance was up $181.7 thousand in 2018 over 2017 and up $234.2 thousand in 2017 over 2016. Measurements used for award incentive pay had improved in 2018 and 2017 and employees benefited accordingly. The measurements used for 2018 were increased to negate the paying of incentive for the benefit of the lower tax rate. The effect of acquisition costs incurred in 2018 were also removed. The expense for the restricted stock awards has also increased each of the last three years as more shares have been granted to a larger number of employees and the market value of the shares has increased. The market value of the Company’s stock increased significantly with the listing on NASDAQ and being included in the Russell 3000 Index during the second quarter of 2017. 700 more shares were awarded in 2018 and with a higher value as compared to 2017. An equivalent number of restricted shares were awarded as compared to 2016 though the value of these rewards was higher; therefore, the expense for 2018 was higher by $237.7 thousand as compared to 2017 and will likely be higher in 2019 due to the value of the 2018 awards. 2017’s cost for this program was $105.3 thousand higher than 2016.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 w:name="page29"/>
    <w:bookmarkEnd w:id="28"/>
    <w:p>
      <w:pPr>
        <w:jc w:val="both"/>
        <w:spacing w:after="0" w:line="287" w:lineRule="auto"/>
        <w:rPr>
          <w:sz w:val="20"/>
          <w:szCs w:val="20"/>
          <w:color w:val="auto"/>
        </w:rPr>
      </w:pPr>
      <w:r>
        <w:rPr>
          <w:rFonts w:ascii="Arial" w:cs="Arial" w:eastAsia="Arial" w:hAnsi="Arial"/>
          <w:sz w:val="16"/>
          <w:szCs w:val="16"/>
          <w:color w:val="auto"/>
        </w:rPr>
        <w:t>Along with the salary and wage increase was an increase in employee benefits in 2018 as compared to 2017. Employee group insurance accounted for the largest portion of the cost, which was an increase of $293.3 thousand over 2017. This was due to an increase in the cost to provide to a larger number of employees along with a higher level of medical claims. The cost of the 401-K retirement plan also increased $79.7 thousand for 2018 as compared to 2017. Due to the increased profitability achieved in 2018 over 2017, the contribution portion relating to the discretionary profit-sharing percentage was raised from 5.5% to 6% for 2018. Overall, employee benefits increased $480.0 thousand or 13.2% from 2017.</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Along with the salary and wage increase was an increase in employee benefits in 2017 as compared to 2016. Employee group insurance accounted for the largest portion of the cost, which was an increase of $181.9 thousand over 2016. This was due to an increase in the cost to provide to a larger number of employees along with a higher level of medical claims. The cost of the 401-K retirement plan also increased $72.7 thousand for 2017 as compared to 2016. Overall, employee benefits increased $312 thousand or 9.4% from 2016.</w:t>
      </w:r>
    </w:p>
    <w:p>
      <w:pPr>
        <w:spacing w:after="0" w:line="19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occupancy expense typically increases as the Company expands, which is what has occurred for 2018 and 2017. One factor that can offset occupancy expense is the receipt by the Company of building rent as it is netted out of occupancy expense. The greatest contributor to building rent comes from the division of FM Investments within the Bank. This division experienced a weaker 2018; however, the department was short staffed most of 2018 and 2017. For 2018, building rent as generated from FM Investments was lower by $151.2 thousand due to staff turnover. Rent is received in lieu of commissions. This loss of revenue contributed to the increased net occupancy expense of $268 thousand for 2018 as compared to 2017. The improved performance of $85.9 thousand in 2017 assisted in keeping the overall increase to net occupancy to $30 thousand in 2017 as compared to 2016.</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1-4 family mortgage refinancing activity has been slow over the last three years though increasing slightly each year. A correlating expense to that activity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The net income for 2018 was $86 thousand; 2017 had net income of $107 thousand and was preceded by net income of $136 thousand for 2016. Of course, the value (or income) of the mortgage servicing right when sold also impacts the net position. As of December 31, 2018, 3,588 loans are being serviced with corresponding balances of $289.2 million. 2017 had 3,636 loans serviced with corresponding balances of $288.6 million. As of December 2016, 3,599 loans were being serviced with balances of $280.4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mortgage servicing rights to both noninterest income and expense is shown in the following table:</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0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r>
      <w:tr>
        <w:trPr>
          <w:trHeight w:val="21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Beginning Year</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00" w:type="dxa"/>
            <w:vAlign w:val="bottom"/>
            <w:shd w:val="clear" w:color="auto" w:fill="CFF0FC"/>
          </w:tcPr>
          <w:p>
            <w:pPr>
              <w:spacing w:after="0"/>
              <w:rPr>
                <w:sz w:val="18"/>
                <w:szCs w:val="18"/>
                <w:color w:val="auto"/>
              </w:rPr>
            </w:pPr>
          </w:p>
        </w:tc>
      </w:tr>
      <w:tr>
        <w:trPr>
          <w:trHeight w:val="224"/>
        </w:trPr>
        <w:tc>
          <w:tcPr>
            <w:tcW w:w="5080" w:type="dxa"/>
            <w:vAlign w:val="bottom"/>
          </w:tcPr>
          <w:p>
            <w:pPr>
              <w:ind w:left="240"/>
              <w:spacing w:after="0"/>
              <w:rPr>
                <w:sz w:val="20"/>
                <w:szCs w:val="20"/>
                <w:color w:val="auto"/>
              </w:rPr>
            </w:pPr>
            <w:r>
              <w:rPr>
                <w:rFonts w:ascii="Arial" w:cs="Arial" w:eastAsia="Arial" w:hAnsi="Arial"/>
                <w:sz w:val="18"/>
                <w:szCs w:val="18"/>
                <w:color w:val="auto"/>
              </w:rPr>
              <w:t>Capitalized Additions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r>
      <w:tr>
        <w:trPr>
          <w:trHeight w:val="224"/>
        </w:trPr>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(419)</w:t>
            </w:r>
          </w:p>
        </w:tc>
      </w:tr>
      <w:tr>
        <w:trPr>
          <w:trHeight w:val="224"/>
        </w:trPr>
        <w:tc>
          <w:tcPr>
            <w:tcW w:w="50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Valuation Allowance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17"/>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FF0FC"/>
          </w:tcPr>
          <w:p>
            <w:pPr>
              <w:spacing w:after="0"/>
              <w:rPr>
                <w:sz w:val="18"/>
                <w:szCs w:val="18"/>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Furniture and equipment steadily increases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Data processing costs were actually lower in 2017 as compared to 2016 by $196 thousand. Two reasons for the improvement was the negotiation of an extended contract with our core processor and 2016 had the additional cost of upgrading Bank customer debit cards to incorporate EMV chip card technology. Both already better align with our future strategies while controlling costs. Data processing expense increased $105 thousand during 2018 as compared to 2017. As we continue to expand this line item is expected to also increase.</w:t>
      </w:r>
    </w:p>
    <w:p>
      <w:pPr>
        <w:spacing w:after="0" w:line="19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the pricing on many services, however, is based on number of accounts and the Bank fully expects those to increase with the growth from the newer offices and overall Bank growth. Overall, data processing expense for 2019 will be higher than 2018 with the addition of the six Indiana offices.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The FDIC assessment has a decreasing cost trend over the years shown. This line item speaks to the health of the Bank and the financial industry. The assessment for 2018 was down only $4 thousand from 2017 and the assessment for 2017 was down $77 thousand from 2016.</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last line items with significant variation in noninterest expense to discuss is “consulting fees” and “other general and administrative.” Two main events are behind the increase of $865 thousand in 2018 as compared to 2017 in this line item. Both events incurred one-time costs which required the use of outside consultants. First related to the use of an executive recruiter firm to conduct a search for a CEO due to an upcoming retirement. The second related to the costs of researching, analyzing and negotiating possible mergers and acquisition opportunities. The consulting fees were beneficial in both instances as a new CEO was hired and a merger was closed on January 1, 2019. Consulting fees increased by $551.2 thousand in 2018 over 2017. Acquisition costs incurred in 2018 total $742.1 thousand with expenses being recorded in multiple line items. Though 2017 did not increase by as large an amount as 2016 had when compared to 2015, it was still an increase of $207 thousand. The two main reasons behind the increase in 2017 were the costs associated with listing on the NASDAQ stock market and the cost of offering the Insured Cash Sweep product. Both of these costs have been previously explained along with the benefits that have been provided by incurring said costs. Advertising and public relations increased also in 2018 by $129.9 thousand following an increase of $113 thousand in 2017. With the addition of new offices in both years behind the increases, 2019 is also expected to increase due to additional offices being added. The Bank also celebrates the anniversary of office openings with a special event in each community.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w:t>
      </w:r>
    </w:p>
    <w:p>
      <w:pPr>
        <w:spacing w:after="0" w:line="11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Provision expense increased by $102 thousand for 2018 as compared to 2017 to account for the net charge-off activity of 2018. Provision expense decreased by $899 thousand for 2017 due to the consistent strong asset quality of the Bank’s loan portfolio as evidenced by low levels of both net charge-offs and delinquencies. Sustained strong asset quality kept the provision expense lower than the growth alone would have warranted. Provision expense increased by $496 thousand for 2016 in response to the significant growth for the period. Net charge-offs were $417, $138 and $394 thousand for 2018, 2017 and $2016, respectively. The consumer portfolios had the highest levels of charge-off activity in 2018, 2017 and 2016 at $359, $263 and $310 thousand respectively. Net charge offs in the consumer portfolio was $245, $161 and $223 thousand for 2018, 2017 and 2016 respectively.</w:t>
      </w:r>
    </w:p>
    <w:p>
      <w:pPr>
        <w:spacing w:after="0" w:line="16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Company segregates its Allowance for Credit Losses (ACL) into two reserves: The ACL and the Allowance for Unfunded Loan Commitments and Letters of Credit (AULC). When combined, these reserves constitute the total ACL. The AUCL is included in other liabilities on the consolidated balance sheets.</w:t>
      </w:r>
    </w:p>
    <w:p>
      <w:pPr>
        <w:spacing w:after="0" w:line="1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 off amount are referenced as well. A matrix formed by loan type from these indicators is used in making ALLL adjustments.</w:t>
      </w:r>
    </w:p>
    <w:p>
      <w:pPr>
        <w:spacing w:after="0" w:line="16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Watch list loan balances are comprised of loans graded 5-8. At yearend December 31, 2018 these loans totaled $7.9 million and were $13.3 million lower than December 31, 2017. Grade 5 decreased $6.6 million in 2018 as compared to 2017 and Grade 6 decreased by $7.3 million in the same comparison. Much of the decrease is represented by the payoff of two loan relationships in the Bank’s commercial real estate portfolio. During 2018, one commercial real estate loan relationship was upgraded from a risk category of 6 to a risk category of 4 while one new commercial real estate loan relationship was added to the risk category</w:t>
      </w:r>
    </w:p>
    <w:p>
      <w:pPr>
        <w:spacing w:after="0" w:line="2" w:lineRule="exact"/>
        <w:rPr>
          <w:sz w:val="20"/>
          <w:szCs w:val="20"/>
          <w:color w:val="auto"/>
        </w:rPr>
      </w:pPr>
    </w:p>
    <w:p>
      <w:pPr>
        <w:ind w:firstLine="5"/>
        <w:spacing w:after="0" w:line="309" w:lineRule="auto"/>
        <w:tabs>
          <w:tab w:leader="none" w:pos="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Those associated loans are adequately secured by collateral. These loan balances increased $800 thousand as of December 31, 2017 as compared to same date 2016. The largest increases occurring in the risk grade of 6. The loan grades of 5, which have the least likelihood of default decreased for 2017.</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At December 31, 2018, 47.5% of the watch list was classified as special mention, with an additional 41.4% classified as substandard. A small 11.1% or $886 thousand of the $7.9 million watch list was classified as doubtful. At yearend 2017, 49.0% of the watch list was comprised of loans classified as special mention, with an additional 50.1% classified as substandard and the remaining 0.9% classified as doubtful. The large decreases in special mention and substandard were mainly driven by two loan relationships in the Bank’s commercial real estate portfolio.</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Of the aggregate watch list loan balances, as of December 31, 2016, special mention accounted for 59.7% with substandard comprising 39.0% and doubtful accounting for the final 1.3%.</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response to these fluctuations and loan growth during 2016 through 2018, the Bank’s ALLL to outstanding loan coverage percentage changed to 0.80% as of December 31, 2018, 0.83% as of December 31, 2017, and 0.89% as of December 31, 2016.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0" w:name="page31"/>
    <w:bookmarkEnd w:id="30"/>
    <w:p>
      <w:pPr>
        <w:jc w:val="both"/>
        <w:spacing w:after="0" w:line="287" w:lineRule="auto"/>
        <w:rPr>
          <w:sz w:val="20"/>
          <w:szCs w:val="20"/>
          <w:color w:val="auto"/>
        </w:rPr>
      </w:pPr>
      <w:r>
        <w:rPr>
          <w:rFonts w:ascii="Arial" w:cs="Arial" w:eastAsia="Arial" w:hAnsi="Arial"/>
          <w:sz w:val="16"/>
          <w:szCs w:val="16"/>
          <w:color w:val="auto"/>
        </w:rPr>
        <w:t>The above indicators impacting ALLL are reviewed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At the end of each of 2016, 2017 and 2018, improvements were noted in unemployment figures.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aggregate commercial and agricultural credits including real estate loans of $250,000 and over are reviewed annually by both credit committees and internal loan review to look for early signs of deterioration.</w:t>
      </w:r>
    </w:p>
    <w:p>
      <w:pPr>
        <w:spacing w:after="0" w:line="18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ACL decreased $46 thousand during 2018 while increased $94 thousand and $736 thousand during 2017 and 2016 respectively. The large increase in 2016 directly correlates to the large increase in loan balances and related unfunded commitments. With the improved asset quality, the metrics upon which the ACL is calculated did not support a larger increase in 2017 even though loan growth occurred. The percentage of ACL to the total loan portfolio was 0.92% as of December 31, 2016 and 0.86% as of December 31, 2017, and 0.83% as of December 31, 2018. December 31, 2018 had the lowest loans past due 30+ day percentage at 0.09% in the last ten years. December 31, 2016 and 2017 were still at respectable lows of 0.23% and 0.13%.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Please see Note 4 in the consolidated financial statement for additional tables regarding the composition of the ACL.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Federal income tax expense was approximately $2.0 million less for 2018 than 2017 as result of tax reform legislation under the Tax Cuts and Jobs Act, which was signed into law on December 22, 2017 and became effective for the Company’s 2018 fiscal year. Effective tax rates were 17.75%, 28.95% and 28.53%, for 2018, 2017 and 2016 respectively. The effect of tax-exempt interest from holding tax-exempt securities and Industrial Development Bonds (IDBs) was $229, $413 and $468 thousand for 2018, 2017, and 2016, respectively. 2016 and 2017 included an increase into a higher tax bracket for income over $10 million. 2018 had a flat corporate tax rate of 21%. One of the benefits from the establishment of the Captive subsidiary was a lower effective tax rate.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Financial Condition</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shifts in the balance sheet during 2018 and 2017 have positioned the Company for continued improvement in profitability. On the asset side, interest income increased primarily from loan growth with funding for the increase provided by a decrease in the investment portfolio, growth in core deposits and growth in other borrowings generated in 2015 which had laddered maturities, that were then paid off in the following years. $5 million of other borrowings were paid off in December of 2017 and 2018. Other assets increased $9.2 million in 2018 with $8.5 prefunded for the pending acquisition. The cost of funds has been impacted by the increase of both interest bearing liabilities and the pressure on rates from competition for funds. Increased balances in non-interest bearing deposits aided in profitability also. Loan growth and a widened net interest margin contributed to improved profitability in 2018 and 2017, and the Company expects continued improvement through 2019.</w:t>
      </w:r>
    </w:p>
    <w:p>
      <w:pPr>
        <w:spacing w:after="0" w:line="167" w:lineRule="exact"/>
        <w:rPr>
          <w:sz w:val="20"/>
          <w:szCs w:val="20"/>
          <w:color w:val="auto"/>
        </w:rPr>
      </w:pPr>
    </w:p>
    <w:p>
      <w:pPr>
        <w:jc w:val="both"/>
        <w:spacing w:after="0" w:line="362" w:lineRule="auto"/>
        <w:rPr>
          <w:sz w:val="20"/>
          <w:szCs w:val="20"/>
          <w:color w:val="auto"/>
        </w:rPr>
      </w:pPr>
      <w:r>
        <w:rPr>
          <w:rFonts w:ascii="Arial" w:cs="Arial" w:eastAsia="Arial" w:hAnsi="Arial"/>
          <w:sz w:val="15"/>
          <w:szCs w:val="15"/>
          <w:color w:val="auto"/>
        </w:rPr>
        <w:t>Average earning assets increased in balances throughout 2018 and 2017. Newer offices have contributed the most towards new loan production. Loan growth in both years was the main factor. 2016 had two offices open, one in each half of the year and operating fully throughout 2017. An additional office opened in early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1" w:name="page32"/>
    <w:bookmarkEnd w:id="31"/>
    <w:p>
      <w:pPr>
        <w:jc w:val="both"/>
        <w:spacing w:after="0" w:line="291" w:lineRule="auto"/>
        <w:rPr>
          <w:sz w:val="20"/>
          <w:szCs w:val="20"/>
          <w:color w:val="auto"/>
        </w:rPr>
      </w:pPr>
      <w:r>
        <w:rPr>
          <w:rFonts w:ascii="Arial" w:cs="Arial" w:eastAsia="Arial" w:hAnsi="Arial"/>
          <w:sz w:val="16"/>
          <w:szCs w:val="16"/>
          <w:color w:val="auto"/>
        </w:rPr>
        <w:t>During 2016, the Bank began to utilize Promontory’s ICS, product to replace pledged securities; thereby increasing liquidity. ICS utilizes a nation-wide bank network to provide FDIC insurance coverage to the Bank’s depositors. The Bank is using the product to replace pledged securities to the Bank’s Ohio public customers and for commercial sweep customers previously utilizing daily repurchase agreements to protect balances over $250 thousand. The majority of the commercial accounts converted in 2017 and is evidenced by the movement of funds out of repurchase agreements into interest bearing deposits.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All of the Bank’s security portfolio is categorized as available for sale and as such is recorded at market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Security balances as of December 31 are summarized below:</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(In Thousands)</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r>
      <w:tr>
        <w:trPr>
          <w:trHeight w:val="217"/>
        </w:trPr>
        <w:tc>
          <w:tcPr>
            <w:tcW w:w="116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960" w:type="dxa"/>
            <w:vAlign w:val="bottom"/>
            <w:gridSpan w:val="2"/>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20,978</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24,775</w:t>
            </w:r>
          </w:p>
        </w:tc>
        <w:tc>
          <w:tcPr>
            <w:tcW w:w="100" w:type="dxa"/>
            <w:vAlign w:val="bottom"/>
            <w:shd w:val="clear" w:color="auto" w:fill="CFF0FC"/>
          </w:tcPr>
          <w:p>
            <w:pPr>
              <w:spacing w:after="0"/>
              <w:rPr>
                <w:sz w:val="18"/>
                <w:szCs w:val="18"/>
                <w:color w:val="auto"/>
              </w:rPr>
            </w:pPr>
          </w:p>
        </w:tc>
      </w:tr>
      <w:tr>
        <w:trPr>
          <w:trHeight w:val="224"/>
        </w:trPr>
        <w:tc>
          <w:tcPr>
            <w:tcW w:w="4960" w:type="dxa"/>
            <w:vAlign w:val="bottom"/>
            <w:gridSpan w:val="2"/>
          </w:tcPr>
          <w:p>
            <w:pPr>
              <w:ind w:left="1160"/>
              <w:spacing w:after="0"/>
              <w:rPr>
                <w:sz w:val="20"/>
                <w:szCs w:val="20"/>
                <w:color w:val="auto"/>
              </w:rPr>
            </w:pPr>
            <w:r>
              <w:rPr>
                <w:rFonts w:ascii="Arial" w:cs="Arial" w:eastAsia="Arial" w:hAnsi="Arial"/>
                <w:sz w:val="18"/>
                <w:szCs w:val="18"/>
                <w:color w:val="auto"/>
              </w:rPr>
              <w:t>U.S. Government agencies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69,327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80,466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82,474</w:t>
            </w:r>
          </w:p>
        </w:tc>
        <w:tc>
          <w:tcPr>
            <w:tcW w:w="10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36,262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48,461</w:t>
            </w:r>
          </w:p>
        </w:tc>
        <w:tc>
          <w:tcPr>
            <w:tcW w:w="100" w:type="dxa"/>
            <w:vAlign w:val="bottom"/>
            <w:shd w:val="clear" w:color="auto" w:fill="CFF0FC"/>
          </w:tcPr>
          <w:p>
            <w:pPr>
              <w:spacing w:after="0"/>
              <w:rPr>
                <w:sz w:val="19"/>
                <w:szCs w:val="19"/>
                <w:color w:val="auto"/>
              </w:rPr>
            </w:pPr>
          </w:p>
        </w:tc>
      </w:tr>
      <w:tr>
        <w:trPr>
          <w:trHeight w:val="224"/>
        </w:trPr>
        <w:tc>
          <w:tcPr>
            <w:tcW w:w="4960" w:type="dxa"/>
            <w:vAlign w:val="bottom"/>
            <w:gridSpan w:val="2"/>
          </w:tcPr>
          <w:p>
            <w:pPr>
              <w:ind w:left="1160"/>
              <w:spacing w:after="0"/>
              <w:rPr>
                <w:sz w:val="20"/>
                <w:szCs w:val="20"/>
                <w:color w:val="auto"/>
              </w:rPr>
            </w:pPr>
            <w:r>
              <w:rPr>
                <w:rFonts w:ascii="Arial" w:cs="Arial" w:eastAsia="Arial" w:hAnsi="Arial"/>
                <w:sz w:val="18"/>
                <w:szCs w:val="18"/>
                <w:color w:val="auto"/>
              </w:rPr>
              <w:t>State and local governments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55,444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62,817</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196,398</w:t>
            </w:r>
          </w:p>
        </w:tc>
        <w:tc>
          <w:tcPr>
            <w:tcW w:w="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218,527</w:t>
            </w:r>
          </w:p>
        </w:tc>
        <w:tc>
          <w:tcPr>
            <w:tcW w:w="100" w:type="dxa"/>
            <w:vAlign w:val="bottom"/>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 sets forth the maturities of investment securities as of December 31, 2018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Maturities</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7"/>
          </w:tcPr>
          <w:p>
            <w:pPr>
              <w:ind w:left="280"/>
              <w:spacing w:after="0"/>
              <w:rPr>
                <w:sz w:val="20"/>
                <w:szCs w:val="20"/>
                <w:color w:val="auto"/>
              </w:rPr>
            </w:pPr>
            <w:r>
              <w:rPr>
                <w:rFonts w:ascii="Arial" w:cs="Arial" w:eastAsia="Arial" w:hAnsi="Arial"/>
                <w:sz w:val="18"/>
                <w:szCs w:val="18"/>
                <w:color w:val="auto"/>
              </w:rPr>
              <w:t>(Amounts in Thousands)</w:t>
            </w:r>
          </w:p>
        </w:tc>
        <w:tc>
          <w:tcPr>
            <w:tcW w:w="10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After One Year</w:t>
            </w: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color w:val="auto"/>
              </w:rPr>
              <w:t>Within One Year</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9"/>
              </w:rPr>
              <w:t>Within Five Years</w:t>
            </w:r>
          </w:p>
        </w:tc>
        <w:tc>
          <w:tcPr>
            <w:tcW w:w="180" w:type="dxa"/>
            <w:vAlign w:val="bottom"/>
          </w:tcPr>
          <w:p>
            <w:pPr>
              <w:spacing w:after="0"/>
              <w:rPr>
                <w:sz w:val="19"/>
                <w:szCs w:val="19"/>
                <w:color w:val="auto"/>
              </w:rPr>
            </w:pPr>
          </w:p>
        </w:tc>
      </w:tr>
      <w:tr>
        <w:trPr>
          <w:trHeight w:val="217"/>
        </w:trPr>
        <w:tc>
          <w:tcPr>
            <w:tcW w:w="390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Yield</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12,914</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1.20%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9,916</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12,179</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40,333</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0.00%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13,570</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1,091</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1.74%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2.44%</w:t>
            </w:r>
          </w:p>
        </w:tc>
      </w:tr>
      <w:tr>
        <w:trPr>
          <w:trHeight w:val="434"/>
        </w:trPr>
        <w:tc>
          <w:tcPr>
            <w:tcW w:w="39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4"/>
          </w:tcPr>
          <w:p>
            <w:pPr>
              <w:ind w:left="400"/>
              <w:spacing w:after="0"/>
              <w:rPr>
                <w:sz w:val="20"/>
                <w:szCs w:val="20"/>
                <w:color w:val="auto"/>
              </w:rPr>
            </w:pPr>
            <w:r>
              <w:rPr>
                <w:rFonts w:ascii="Arial" w:cs="Arial" w:eastAsia="Arial" w:hAnsi="Arial"/>
                <w:sz w:val="18"/>
                <w:szCs w:val="18"/>
                <w:color w:val="auto"/>
              </w:rPr>
              <w:t>After Five Years</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4"/>
        </w:trPr>
        <w:tc>
          <w:tcPr>
            <w:tcW w:w="3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4"/>
          </w:tcPr>
          <w:p>
            <w:pPr>
              <w:ind w:left="380"/>
              <w:spacing w:after="0"/>
              <w:rPr>
                <w:sz w:val="20"/>
                <w:szCs w:val="20"/>
                <w:color w:val="auto"/>
              </w:rPr>
            </w:pPr>
            <w:r>
              <w:rPr>
                <w:rFonts w:ascii="Arial" w:cs="Arial" w:eastAsia="Arial" w:hAnsi="Arial"/>
                <w:sz w:val="18"/>
                <w:szCs w:val="18"/>
                <w:color w:val="auto"/>
              </w:rPr>
              <w:t>Within Ten Years</w:t>
            </w:r>
          </w:p>
        </w:tc>
        <w:tc>
          <w:tcPr>
            <w:tcW w:w="3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center"/>
              <w:ind w:right="152"/>
              <w:spacing w:after="0"/>
              <w:rPr>
                <w:sz w:val="20"/>
                <w:szCs w:val="20"/>
                <w:color w:val="auto"/>
              </w:rPr>
            </w:pPr>
            <w:r>
              <w:rPr>
                <w:rFonts w:ascii="Arial" w:cs="Arial" w:eastAsia="Arial" w:hAnsi="Arial"/>
                <w:sz w:val="18"/>
                <w:szCs w:val="18"/>
                <w:color w:val="auto"/>
                <w:w w:val="87"/>
              </w:rPr>
              <w:t>After Ten Years</w:t>
            </w:r>
          </w:p>
        </w:tc>
        <w:tc>
          <w:tcPr>
            <w:tcW w:w="180" w:type="dxa"/>
            <w:vAlign w:val="bottom"/>
          </w:tcPr>
          <w:p>
            <w:pPr>
              <w:spacing w:after="0"/>
              <w:rPr>
                <w:sz w:val="19"/>
                <w:szCs w:val="19"/>
                <w:color w:val="auto"/>
              </w:rPr>
            </w:pPr>
          </w:p>
        </w:tc>
      </w:tr>
      <w:tr>
        <w:trPr>
          <w:trHeight w:val="217"/>
        </w:trPr>
        <w:tc>
          <w:tcPr>
            <w:tcW w:w="390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9"/>
              </w:rPr>
              <w:t>Yield</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0"/>
              </w:rPr>
              <w:t>Amount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Yield</w:t>
            </w:r>
          </w:p>
        </w:tc>
        <w:tc>
          <w:tcPr>
            <w:tcW w:w="180" w:type="dxa"/>
            <w:vAlign w:val="bottom"/>
            <w:tcBorders>
              <w:bottom w:val="single" w:sz="8" w:color="CFF0FC"/>
            </w:tcBorders>
          </w:tcPr>
          <w:p>
            <w:pPr>
              <w:spacing w:after="0"/>
              <w:rPr>
                <w:sz w:val="18"/>
                <w:szCs w:val="18"/>
                <w:color w:val="auto"/>
              </w:rPr>
            </w:pPr>
          </w:p>
        </w:tc>
      </w:tr>
      <w:tr>
        <w:trPr>
          <w:trHeight w:val="217"/>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0.00%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16,815</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3,347</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2.12%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State and local governments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16,612</w:t>
            </w: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24"/>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Taxable state and local governments</w:t>
            </w:r>
          </w:p>
        </w:tc>
        <w:tc>
          <w:tcPr>
            <w:tcW w:w="1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0"/>
              </w:rPr>
              <w:t>4.05%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2018, the Bank did not hold a large block of any one investment security in excess of 10% of stockholders’ equity. The largest segment of holdings is in U.S. Government agencies. The Bank also holds stock in the Federal Home Loan Bank of Cincinnati at a cost of $3.7 million. This is required in order to obtain Federal Home Loan Bank loans.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Portfolio</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2" w:name="page33"/>
    <w:bookmarkEnd w:id="32"/>
    <w:p>
      <w:pPr>
        <w:ind w:right="20"/>
        <w:spacing w:after="0" w:line="262" w:lineRule="auto"/>
        <w:rPr>
          <w:sz w:val="20"/>
          <w:szCs w:val="20"/>
          <w:color w:val="auto"/>
        </w:rPr>
      </w:pPr>
      <w:r>
        <w:rPr>
          <w:rFonts w:ascii="Arial" w:cs="Arial" w:eastAsia="Arial" w:hAnsi="Arial"/>
          <w:sz w:val="18"/>
          <w:szCs w:val="18"/>
          <w:color w:val="auto"/>
        </w:rPr>
        <w:t>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Bank’s loan portfolio by category of loan as of December 31</w:t>
      </w:r>
      <w:r>
        <w:rPr>
          <w:rFonts w:ascii="Arial" w:cs="Arial" w:eastAsia="Arial" w:hAnsi="Arial"/>
          <w:sz w:val="14"/>
          <w:szCs w:val="14"/>
          <w:color w:val="auto"/>
        </w:rPr>
        <w:t>st</w:t>
      </w:r>
      <w:r>
        <w:rPr>
          <w:rFonts w:ascii="Arial" w:cs="Arial" w:eastAsia="Arial" w:hAnsi="Arial"/>
          <w:sz w:val="18"/>
          <w:szCs w:val="18"/>
          <w:color w:val="auto"/>
        </w:rPr>
        <w:t xml:space="preserve"> of each year, excluding loans held for sale: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6"/>
          </w:tcPr>
          <w:p>
            <w:pPr>
              <w:jc w:val="center"/>
              <w:ind w:left="12"/>
              <w:spacing w:after="0"/>
              <w:rPr>
                <w:sz w:val="20"/>
                <w:szCs w:val="20"/>
                <w:color w:val="auto"/>
              </w:rPr>
            </w:pPr>
            <w:r>
              <w:rPr>
                <w:rFonts w:ascii="Arial" w:cs="Arial" w:eastAsia="Arial" w:hAnsi="Arial"/>
                <w:sz w:val="18"/>
                <w:szCs w:val="18"/>
                <w:color w:val="auto"/>
                <w:w w:val="87"/>
              </w:rPr>
              <w:t>(In Thousands)</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300" w:type="dxa"/>
            <w:vAlign w:val="bottom"/>
            <w:gridSpan w:val="3"/>
          </w:tcPr>
          <w:p>
            <w:pPr>
              <w:spacing w:after="0" w:line="178" w:lineRule="exact"/>
              <w:rPr>
                <w:sz w:val="20"/>
                <w:szCs w:val="20"/>
                <w:color w:val="auto"/>
              </w:rPr>
            </w:pPr>
            <w:r>
              <w:rPr>
                <w:rFonts w:ascii="Arial" w:cs="Arial" w:eastAsia="Arial" w:hAnsi="Arial"/>
                <w:sz w:val="18"/>
                <w:szCs w:val="18"/>
                <w:color w:val="auto"/>
              </w:rPr>
              <w:t>Loans: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2"/>
              <w:spacing w:after="0" w:line="178" w:lineRule="exact"/>
              <w:rPr>
                <w:sz w:val="20"/>
                <w:szCs w:val="20"/>
                <w:color w:val="auto"/>
              </w:rPr>
            </w:pPr>
            <w:r>
              <w:rPr>
                <w:rFonts w:ascii="Arial" w:cs="Arial" w:eastAsia="Arial" w:hAnsi="Arial"/>
                <w:sz w:val="18"/>
                <w:szCs w:val="18"/>
                <w:color w:val="auto"/>
                <w:w w:val="84"/>
              </w:rPr>
              <w:t>2016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212"/>
              <w:spacing w:after="0" w:line="178"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32"/>
              <w:spacing w:after="0" w:line="178" w:lineRule="exact"/>
              <w:rPr>
                <w:sz w:val="20"/>
                <w:szCs w:val="20"/>
                <w:color w:val="auto"/>
              </w:rPr>
            </w:pPr>
            <w:r>
              <w:rPr>
                <w:rFonts w:ascii="Arial" w:cs="Arial" w:eastAsia="Arial" w:hAnsi="Arial"/>
                <w:sz w:val="18"/>
                <w:szCs w:val="18"/>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CFF0FC"/>
            </w:tcBorders>
          </w:tcPr>
          <w:p>
            <w:pPr>
              <w:spacing w:after="0" w:line="20" w:lineRule="exact"/>
              <w:rPr>
                <w:sz w:val="1"/>
                <w:szCs w:val="1"/>
                <w:color w:val="auto"/>
              </w:rPr>
            </w:pPr>
          </w:p>
        </w:tc>
        <w:tc>
          <w:tcPr>
            <w:tcW w:w="680" w:type="dxa"/>
            <w:vAlign w:val="bottom"/>
            <w:tcBorders>
              <w:bottom w:val="single" w:sz="8" w:color="CFF0FC"/>
            </w:tcBorders>
          </w:tcPr>
          <w:p>
            <w:pPr>
              <w:spacing w:after="0" w:line="20" w:lineRule="exact"/>
              <w:rPr>
                <w:sz w:val="1"/>
                <w:szCs w:val="1"/>
                <w:color w:val="auto"/>
              </w:rPr>
            </w:pPr>
          </w:p>
        </w:tc>
        <w:tc>
          <w:tcPr>
            <w:tcW w:w="41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6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86,234</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88,189</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00" w:type="dxa"/>
            <w:vAlign w:val="bottom"/>
            <w:gridSpan w:val="3"/>
          </w:tcPr>
          <w:p>
            <w:pPr>
              <w:ind w:left="240"/>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68,609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64,073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62,375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57,277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84,563</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82,654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gridSpan w:val="3"/>
          </w:tcPr>
          <w:p>
            <w:pPr>
              <w:ind w:left="24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419,784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410,520</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377,481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322,762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109,256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gridSpan w:val="3"/>
          </w:tcPr>
          <w:p>
            <w:pPr>
              <w:ind w:left="24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41,953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37,757</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0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Industrial Development Bonds</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5,732</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847,289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823,771</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758,820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685,268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621,886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3"/>
            <w:vMerge w:val="restart"/>
          </w:tcPr>
          <w:p>
            <w:pPr>
              <w:spacing w:after="0"/>
              <w:rPr>
                <w:sz w:val="20"/>
                <w:szCs w:val="20"/>
                <w:color w:val="auto"/>
              </w:rPr>
            </w:pPr>
            <w:r>
              <w:rPr>
                <w:rFonts w:ascii="Arial" w:cs="Arial" w:eastAsia="Arial" w:hAnsi="Arial"/>
                <w:sz w:val="18"/>
                <w:szCs w:val="18"/>
                <w:color w:val="auto"/>
                <w:w w:val="90"/>
              </w:rPr>
              <w:t>The following table shows the maturity of loans as of December 31, 2018:</w:t>
            </w: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53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center"/>
              <w:ind w:left="32"/>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After One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8"/>
                <w:szCs w:val="18"/>
                <w:color w:val="auto"/>
                <w:w w:val="92"/>
              </w:rPr>
              <w:t>Year Within</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ind w:left="200"/>
              <w:spacing w:after="0"/>
              <w:rPr>
                <w:sz w:val="20"/>
                <w:szCs w:val="20"/>
                <w:color w:val="auto"/>
              </w:rPr>
            </w:pPr>
            <w:r>
              <w:rPr>
                <w:rFonts w:ascii="Arial" w:cs="Arial" w:eastAsia="Arial" w:hAnsi="Arial"/>
                <w:sz w:val="18"/>
                <w:szCs w:val="18"/>
                <w:color w:val="auto"/>
              </w:rPr>
              <w:t>After</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5"/>
              </w:rPr>
              <w:t>One Year</w:t>
            </w:r>
          </w:p>
        </w:tc>
        <w:tc>
          <w:tcPr>
            <w:tcW w:w="22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color w:val="auto"/>
                <w:w w:val="85"/>
              </w:rPr>
              <w:t>Five Years</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85"/>
              </w:rPr>
              <w:t>Five Years</w:t>
            </w:r>
          </w:p>
        </w:tc>
        <w:tc>
          <w:tcPr>
            <w:tcW w:w="8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16,495</w:t>
            </w:r>
          </w:p>
        </w:tc>
        <w:tc>
          <w:tcPr>
            <w:tcW w:w="100" w:type="dxa"/>
            <w:vAlign w:val="bottom"/>
            <w:shd w:val="clear" w:color="auto" w:fill="CFF0FC"/>
          </w:tcPr>
          <w:p>
            <w:pPr>
              <w:spacing w:after="0"/>
              <w:rPr>
                <w:sz w:val="18"/>
                <w:szCs w:val="18"/>
                <w:color w:val="auto"/>
              </w:rPr>
            </w:pPr>
          </w:p>
        </w:tc>
        <w:tc>
          <w:tcPr>
            <w:tcW w:w="2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60,045</w:t>
            </w: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820" w:type="dxa"/>
            <w:vAlign w:val="bottom"/>
            <w:gridSpan w:val="2"/>
          </w:tcPr>
          <w:p>
            <w:pPr>
              <w:ind w:left="680"/>
              <w:spacing w:after="0"/>
              <w:rPr>
                <w:sz w:val="20"/>
                <w:szCs w:val="20"/>
                <w:color w:val="auto"/>
              </w:rPr>
            </w:pPr>
            <w:r>
              <w:rPr>
                <w:rFonts w:ascii="Arial" w:cs="Arial" w:eastAsia="Arial" w:hAnsi="Arial"/>
                <w:sz w:val="18"/>
                <w:szCs w:val="18"/>
                <w:color w:val="auto"/>
              </w:rPr>
              <w:t>Agricultural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63,176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28,073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9,917</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820" w:type="dxa"/>
            <w:vAlign w:val="bottom"/>
            <w:gridSpan w:val="2"/>
          </w:tcPr>
          <w:p>
            <w:pPr>
              <w:ind w:left="68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16,339</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160,783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242,662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52,678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7,733</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4820" w:type="dxa"/>
            <w:vAlign w:val="bottom"/>
            <w:gridSpan w:val="2"/>
          </w:tcPr>
          <w:p>
            <w:pPr>
              <w:ind w:left="680"/>
              <w:spacing w:after="0"/>
              <w:rPr>
                <w:sz w:val="20"/>
                <w:szCs w:val="20"/>
                <w:color w:val="auto"/>
              </w:rPr>
            </w:pPr>
            <w:r>
              <w:rPr>
                <w:rFonts w:ascii="Arial" w:cs="Arial" w:eastAsia="Arial" w:hAnsi="Arial"/>
                <w:sz w:val="18"/>
                <w:szCs w:val="18"/>
                <w:color w:val="auto"/>
              </w:rPr>
              <w:t>Consumer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5,211</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27,369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5,019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158,878</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290,486</w:t>
            </w:r>
          </w:p>
        </w:tc>
        <w:tc>
          <w:tcPr>
            <w:tcW w:w="100" w:type="dxa"/>
            <w:vAlign w:val="bottom"/>
          </w:tcPr>
          <w:p>
            <w:pPr>
              <w:spacing w:after="0"/>
              <w:rPr>
                <w:sz w:val="18"/>
                <w:szCs w:val="18"/>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397,925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following table presents the total of loans due after one year which has either 1) predetermined interest rates (fixed) or 2) floating or adjustable interest rates (variable):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(In Thousands)</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Fixed</w:t>
            </w: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Variable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30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Rate</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Rate</w:t>
            </w:r>
          </w:p>
        </w:tc>
        <w:tc>
          <w:tcPr>
            <w:tcW w:w="2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70,990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76,540</w:t>
            </w:r>
          </w:p>
        </w:tc>
        <w:tc>
          <w:tcPr>
            <w:tcW w:w="8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60" w:type="dxa"/>
            <w:vAlign w:val="bottom"/>
            <w:gridSpan w:val="2"/>
          </w:tcPr>
          <w:p>
            <w:pPr>
              <w:ind w:left="1160"/>
              <w:spacing w:after="0"/>
              <w:rPr>
                <w:sz w:val="20"/>
                <w:szCs w:val="20"/>
                <w:color w:val="auto"/>
              </w:rPr>
            </w:pPr>
            <w:r>
              <w:rPr>
                <w:rFonts w:ascii="Arial" w:cs="Arial" w:eastAsia="Arial" w:hAnsi="Arial"/>
                <w:sz w:val="18"/>
                <w:szCs w:val="18"/>
                <w:color w:val="auto"/>
              </w:rPr>
              <w:t>Agricultural Real Estate</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55,357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12,637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67,994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37,164</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37,990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gridSpan w:val="2"/>
          </w:tcPr>
          <w:p>
            <w:pPr>
              <w:ind w:left="1160"/>
              <w:spacing w:after="0"/>
              <w:rPr>
                <w:sz w:val="20"/>
                <w:szCs w:val="20"/>
                <w:color w:val="auto"/>
              </w:rPr>
            </w:pPr>
            <w:r>
              <w:rPr>
                <w:rFonts w:ascii="Arial" w:cs="Arial" w:eastAsia="Arial" w:hAnsi="Arial"/>
                <w:sz w:val="18"/>
                <w:szCs w:val="18"/>
                <w:color w:val="auto"/>
              </w:rPr>
              <w:t>Commercial Real Estate</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283,622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119,823</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403,445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3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54,218</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460" w:type="dxa"/>
            <w:vAlign w:val="bottom"/>
            <w:gridSpan w:val="2"/>
          </w:tcPr>
          <w:p>
            <w:pPr>
              <w:ind w:left="1160"/>
              <w:spacing w:after="0"/>
              <w:rPr>
                <w:sz w:val="20"/>
                <w:szCs w:val="20"/>
                <w:color w:val="auto"/>
              </w:rPr>
            </w:pPr>
            <w:r>
              <w:rPr>
                <w:rFonts w:ascii="Arial" w:cs="Arial" w:eastAsia="Arial" w:hAnsi="Arial"/>
                <w:sz w:val="18"/>
                <w:szCs w:val="18"/>
                <w:color w:val="auto"/>
              </w:rPr>
              <w:t>Consumer</w:t>
            </w: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36,724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36,742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2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w:t>
            </w:r>
          </w:p>
        </w:tc>
        <w:tc>
          <w:tcPr>
            <w:tcW w:w="2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color w:val="auto"/>
              </w:rPr>
              <w:t>543,364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145,047</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688,411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40" w:type="dxa"/>
            <w:vAlign w:val="bottom"/>
            <w:vMerge w:val="restart"/>
          </w:tcPr>
          <w:p>
            <w:pPr>
              <w:jc w:val="right"/>
              <w:ind w:right="812"/>
              <w:spacing w:after="0"/>
              <w:rPr>
                <w:sz w:val="20"/>
                <w:szCs w:val="20"/>
                <w:color w:val="auto"/>
              </w:rPr>
            </w:pPr>
            <w:r>
              <w:rPr>
                <w:rFonts w:ascii="Arial" w:cs="Arial" w:eastAsia="Arial" w:hAnsi="Arial"/>
                <w:sz w:val="18"/>
                <w:szCs w:val="18"/>
                <w:color w:val="auto"/>
              </w:rPr>
              <w:t>33</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330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548" w:right="219" w:bottom="1440" w:gutter="0" w:footer="0" w:header="0"/>
        </w:sectPr>
      </w:pPr>
    </w:p>
    <w:bookmarkStart w:id="33" w:name="page34"/>
    <w:bookmarkEnd w:id="33"/>
    <w:p>
      <w:pPr>
        <w:spacing w:after="0"/>
        <w:rPr>
          <w:sz w:val="20"/>
          <w:szCs w:val="20"/>
          <w:color w:val="auto"/>
        </w:rPr>
      </w:pPr>
      <w:r>
        <w:rPr>
          <w:rFonts w:ascii="Arial" w:cs="Arial" w:eastAsia="Arial" w:hAnsi="Arial"/>
          <w:sz w:val="16"/>
          <w:szCs w:val="16"/>
          <w:color w:val="auto"/>
        </w:rPr>
        <w:t>The following table summarizes the Company’s nonaccrual, past due 90 days or more and still accruing loans, and accruing troubled debt restructurings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for each of the last five years: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4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2015</w:t>
            </w:r>
          </w:p>
        </w:tc>
        <w:tc>
          <w:tcPr>
            <w:tcW w:w="2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FF0FC"/>
            </w:tcBorders>
          </w:tcPr>
          <w:p>
            <w:pPr>
              <w:spacing w:after="0"/>
              <w:rPr>
                <w:sz w:val="18"/>
                <w:szCs w:val="18"/>
                <w:color w:val="auto"/>
              </w:rPr>
            </w:pPr>
          </w:p>
        </w:tc>
      </w:tr>
      <w:tr>
        <w:trPr>
          <w:trHeight w:val="21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Non-accrual loans</w:t>
            </w:r>
          </w:p>
        </w:tc>
        <w:tc>
          <w:tcPr>
            <w:tcW w:w="1620" w:type="dxa"/>
            <w:vAlign w:val="bottom"/>
            <w:gridSpan w:val="2"/>
            <w:shd w:val="clear" w:color="auto" w:fill="CFF0FC"/>
          </w:tcPr>
          <w:p>
            <w:pPr>
              <w:jc w:val="right"/>
              <w:ind w:right="4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542</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FF0FC"/>
          </w:tcPr>
          <w:p>
            <w:pPr>
              <w:spacing w:after="0"/>
              <w:rPr>
                <w:sz w:val="18"/>
                <w:szCs w:val="18"/>
                <w:color w:val="auto"/>
              </w:rPr>
            </w:pPr>
          </w:p>
        </w:tc>
      </w:tr>
      <w:tr>
        <w:trPr>
          <w:trHeight w:val="224"/>
        </w:trPr>
        <w:tc>
          <w:tcPr>
            <w:tcW w:w="4480" w:type="dxa"/>
            <w:vAlign w:val="bottom"/>
          </w:tcPr>
          <w:p>
            <w:pPr>
              <w:spacing w:after="0"/>
              <w:rPr>
                <w:sz w:val="20"/>
                <w:szCs w:val="20"/>
                <w:color w:val="auto"/>
              </w:rPr>
            </w:pPr>
            <w:r>
              <w:rPr>
                <w:rFonts w:ascii="Arial" w:cs="Arial" w:eastAsia="Arial" w:hAnsi="Arial"/>
                <w:sz w:val="18"/>
                <w:szCs w:val="18"/>
                <w:color w:val="auto"/>
              </w:rPr>
              <w:t>Accruing loans past due 90 days or more</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Troubled Debt Restructurings, not included above</w:t>
            </w:r>
          </w:p>
        </w:tc>
        <w:tc>
          <w:tcPr>
            <w:tcW w:w="9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104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FF0FC"/>
          </w:tcPr>
          <w:p>
            <w:pPr>
              <w:spacing w:after="0"/>
              <w:rPr>
                <w:sz w:val="19"/>
                <w:szCs w:val="19"/>
                <w:color w:val="auto"/>
              </w:rPr>
            </w:pPr>
          </w:p>
        </w:tc>
      </w:tr>
      <w:tr>
        <w:trPr>
          <w:trHeight w:val="217"/>
        </w:trPr>
        <w:tc>
          <w:tcPr>
            <w:tcW w:w="4480" w:type="dxa"/>
            <w:vAlign w:val="bottom"/>
          </w:tcPr>
          <w:p>
            <w:pPr>
              <w:ind w:left="240"/>
              <w:spacing w:after="0"/>
              <w:rPr>
                <w:sz w:val="20"/>
                <w:szCs w:val="20"/>
                <w:color w:val="auto"/>
              </w:rPr>
            </w:pPr>
            <w:r>
              <w:rPr>
                <w:rFonts w:ascii="Arial" w:cs="Arial" w:eastAsia="Arial" w:hAnsi="Arial"/>
                <w:sz w:val="18"/>
                <w:szCs w:val="18"/>
                <w:color w:val="auto"/>
              </w:rPr>
              <w:t>Total</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646</w:t>
            </w:r>
          </w:p>
        </w:tc>
        <w:tc>
          <w:tcPr>
            <w:tcW w:w="2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1,943</w:t>
            </w:r>
          </w:p>
        </w:tc>
        <w:tc>
          <w:tcPr>
            <w:tcW w:w="2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2,919</w:t>
            </w:r>
          </w:p>
        </w:tc>
        <w:tc>
          <w:tcPr>
            <w:tcW w:w="2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2,176</w:t>
            </w:r>
          </w:p>
        </w:tc>
        <w:tc>
          <w:tcPr>
            <w:tcW w:w="12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loans may be classified as non-performing, some pay on a regular basis, and many continue to pay interest irregularly or at less than original contractual rates. Interest income that would have been recorded under the original terms of these loans would have aggregated $99 thousand for 2018, $205.4 for 2017 and $116.1 thousand for 2016.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$69 thousand for 2018, $57 thousand for 2017 and $64 thousand for 2016.</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are placed on nonaccrual status in the event that the loan is in past due status for more than 90 days or payment in full of principal and interest is not expected. The Bank had nonaccrual loan balances of $542 thousand at December 31, 2018 compared to balances of $1.0 and $1.4 million as of year-end 2017 and 2016. All of the balances of nonaccrual loans for the past three years were collaterally secured.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2018, the Bank had $7.9 million of loans which it considers to be “potential problem loans” in that the borrowers are experiencing financial difficulties. At December 31, 2017, the Bank had $21.2 million of these loans. The decrease is largely attributed to the payoff of one relationship. At December 31, 2016, the Bank had $20.4 million of these loans. These loans are subject to constant management attention and are reviewed at least monthly. The amount of the potential problem loans was considered in management’s review of the loan loss reserve at December 31, 2018 and 2017.</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5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As of December 31, 2018, the Bank had loans outstanding to individuals and firms engaged in the various fields of agriculture in the amount of $108.5 million with an additional $68.6 million in agricultural real estate loans these compared to $95.1 and $64.1 million respectively as of December 31, 2017. The ratio of this segment of loans to the total loan portfolio is not considered unusual for a bank engaged in and servicing rural communities.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2018, the Bank had $178.1 thousand of its loans that were classified as troubled debt restructurings, of which $74.4 thousand are included in non-accrual loans. This compares to $0.7 million as of same date 2017 and 2016.</w:t>
      </w:r>
    </w:p>
    <w:p>
      <w:pPr>
        <w:spacing w:after="0" w:line="19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Updated appraisals are required on all collateral dependent loans once they are deemed impaired. The Bank may also require an updated appraisal of a watch list loan which the Bank monitors under their loan policy. On a quarterly basis, Bank management reviews properties supporting asset dependent loans to consider market events that may indicate a change in value has occurred.</w:t>
      </w:r>
    </w:p>
    <w:p>
      <w:pPr>
        <w:spacing w:after="0" w:line="18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4" w:name="page35"/>
    <w:bookmarkEnd w:id="34"/>
    <w:p>
      <w:pPr>
        <w:jc w:val="both"/>
        <w:spacing w:after="0" w:line="262" w:lineRule="auto"/>
        <w:rPr>
          <w:sz w:val="20"/>
          <w:szCs w:val="20"/>
          <w:color w:val="auto"/>
        </w:rPr>
      </w:pPr>
      <w:r>
        <w:rPr>
          <w:rFonts w:ascii="Arial" w:cs="Arial" w:eastAsia="Arial" w:hAnsi="Arial"/>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 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of the Consolidated Financial Statements may also be reviewed for additional tables dealing with the Bank’s loans and ALLL.</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ALLL is evaluated based on an assessment of the losses inherent in the loan portfolio. This assessment results in an allowance consisting of two components, allocated and unallocated.</w:t>
      </w:r>
    </w:p>
    <w:p>
      <w:pPr>
        <w:spacing w:after="0" w:line="18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presented in the table on the next page, charge-offs increased to $580 thousand for 2018. 61.9% of the charge-offs stemmed from the consumer related portfolios. Charge-offs were $288 thousand for 2017, $550 thousand for 2016, preceded by $1.0 million for 2015 and $778 thousand for 2014. Recoveries were $163 thousand in 2018 compared to $150, $156, $557, and $298 thousand for 2017, 2016, 2015 and 2014, respectively. The net charge-offs for the last five years were all under $1 million. 2017 was the lowest at $138 thousand.</w:t>
      </w:r>
    </w:p>
    <w:p>
      <w:pPr>
        <w:spacing w:after="0" w:line="19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Higher provision expense was used to fund the ALLL for loan growth in 2014 and 2016. For 2015 and 2017, the provision was used to replenish the balance decreased by the net charge-off activity. Overall, the ALLL increased from $5.9 million at yearend 2014 to $6.8 million at yearend 2018. After adding the allowance for unfunded loan commitments, the ACL ended 2018 just over $7.0 million. As the ratios on the bottom of the following table show, the trends for each have continually improved over the five years shown. Asset quality and the ACL are both strong and emphasize the level of credit quality.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5" w:name="page36"/>
    <w:bookmarkEnd w:id="35"/>
    <w:p>
      <w:pPr>
        <w:jc w:val="both"/>
        <w:spacing w:after="0" w:line="284" w:lineRule="auto"/>
        <w:rPr>
          <w:sz w:val="20"/>
          <w:szCs w:val="20"/>
          <w:color w:val="auto"/>
        </w:rPr>
      </w:pPr>
      <w:r>
        <w:rPr>
          <w:rFonts w:ascii="Arial" w:cs="Arial" w:eastAsia="Arial" w:hAnsi="Arial"/>
          <w:sz w:val="16"/>
          <w:szCs w:val="16"/>
          <w:color w:val="auto"/>
        </w:rPr>
        <w:t>In reviewing the bigger picture of the allowance for credit loss, the years with the higher percentage of ACL to total nonperforming loans ratio account for the lower level of nonaccrual and watch list loans. This demonstrates the extended time period with which it has taken to achieve resolution and/or collection of these loans. 2014’s significant and continued loan growth since fourth quarter 2013 was the reason behind 2014’s higher balances as asset quality remained strong. The ratio of ACL to nonperforming loans increased significantly in 2014 which is why provision loan expense was lower in 2015 in comparison. The ACL to nonperforming loans for 2015 remained more than adequate and emphasizes the existing strong level of credit quality. 2018 did not warrant a large provision as the asset quality continued to strengthen. Loan growth occurred, though not at the double-digit percentage increases of 2015 and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reconciliation of the allowance for credit losses for the years ended December 31, 2018, 2017, 2016, 2015 and 2014: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846,374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823,024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758,094</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684,630</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621,467</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831,614</w:t>
            </w:r>
          </w:p>
        </w:tc>
        <w:tc>
          <w:tcPr>
            <w:tcW w:w="300" w:type="dxa"/>
            <w:vAlign w:val="bottom"/>
          </w:tcPr>
          <w:p>
            <w:pPr>
              <w:spacing w:after="0"/>
              <w:rPr>
                <w:sz w:val="19"/>
                <w:szCs w:val="19"/>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783,140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724,076</w:t>
            </w:r>
          </w:p>
        </w:tc>
        <w:tc>
          <w:tcPr>
            <w:tcW w:w="300" w:type="dxa"/>
            <w:vAlign w:val="bottom"/>
          </w:tcPr>
          <w:p>
            <w:pPr>
              <w:spacing w:after="0"/>
              <w:rPr>
                <w:sz w:val="19"/>
                <w:szCs w:val="19"/>
                <w:color w:val="auto"/>
              </w:rPr>
            </w:pPr>
          </w:p>
        </w:tc>
        <w:tc>
          <w:tcPr>
            <w:tcW w:w="220" w:type="dxa"/>
            <w:vAlign w:val="bottom"/>
          </w:tcPr>
          <w:p>
            <w:pPr>
              <w:jc w:val="right"/>
              <w:ind w:right="32"/>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627,194</w:t>
            </w:r>
          </w:p>
        </w:tc>
        <w:tc>
          <w:tcPr>
            <w:tcW w:w="220" w:type="dxa"/>
            <w:vAlign w:val="bottom"/>
          </w:tcPr>
          <w:p>
            <w:pPr>
              <w:spacing w:after="0"/>
              <w:rPr>
                <w:sz w:val="19"/>
                <w:szCs w:val="19"/>
                <w:color w:val="auto"/>
              </w:rPr>
            </w:pPr>
          </w:p>
        </w:tc>
        <w:tc>
          <w:tcPr>
            <w:tcW w:w="3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581,483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Allowance for Loan Losses - Jan 1</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180" w:type="dxa"/>
            <w:vAlign w:val="bottom"/>
            <w:vMerge w:val="continue"/>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6,868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6,784</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line="204"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6,057</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5,905</w:t>
            </w:r>
          </w:p>
        </w:tc>
        <w:tc>
          <w:tcPr>
            <w:tcW w:w="22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4" w:lineRule="exact"/>
              <w:rPr>
                <w:sz w:val="20"/>
                <w:szCs w:val="20"/>
                <w:color w:val="auto"/>
              </w:rPr>
            </w:pPr>
            <w:r>
              <w:rPr>
                <w:rFonts w:ascii="Arial" w:cs="Arial" w:eastAsia="Arial" w:hAnsi="Arial"/>
                <w:sz w:val="18"/>
                <w:szCs w:val="18"/>
                <w:color w:val="auto"/>
              </w:rPr>
              <w:t>5,194</w:t>
            </w:r>
          </w:p>
        </w:tc>
        <w:tc>
          <w:tcPr>
            <w:tcW w:w="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240"/>
              <w:spacing w:after="0"/>
              <w:rPr>
                <w:sz w:val="20"/>
                <w:szCs w:val="20"/>
                <w:color w:val="auto"/>
              </w:rPr>
            </w:pPr>
            <w:r>
              <w:rPr>
                <w:rFonts w:ascii="Arial" w:cs="Arial" w:eastAsia="Arial" w:hAnsi="Arial"/>
                <w:sz w:val="18"/>
                <w:szCs w:val="18"/>
                <w:color w:val="auto"/>
              </w:rPr>
              <w:t>Loan Recoveries: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Consumer Real Estate</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Agricultural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Agricultural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Commercial Real Estate</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Commercial and Industrial</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Consumer</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480"/>
              <w:spacing w:after="0"/>
              <w:rPr>
                <w:sz w:val="20"/>
                <w:szCs w:val="20"/>
                <w:color w:val="auto"/>
              </w:rPr>
            </w:pPr>
            <w:r>
              <w:rPr>
                <w:rFonts w:ascii="Arial" w:cs="Arial" w:eastAsia="Arial" w:hAnsi="Arial"/>
                <w:sz w:val="18"/>
                <w:szCs w:val="18"/>
                <w:color w:val="auto"/>
              </w:rPr>
              <w:t>Net Charge Offs</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Provision for loan loss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tcPr>
          <w:p>
            <w:pPr>
              <w:ind w:left="480"/>
              <w:spacing w:after="0"/>
              <w:rPr>
                <w:sz w:val="20"/>
                <w:szCs w:val="20"/>
                <w:color w:val="auto"/>
              </w:rPr>
            </w:pPr>
            <w:r>
              <w:rPr>
                <w:rFonts w:ascii="Arial" w:cs="Arial" w:eastAsia="Arial" w:hAnsi="Arial"/>
                <w:sz w:val="18"/>
                <w:szCs w:val="18"/>
                <w:color w:val="auto"/>
              </w:rPr>
              <w:t>Acquisition provision for loan loss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 - Dec 31</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6,784</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5,905</w:t>
            </w:r>
          </w:p>
        </w:tc>
        <w:tc>
          <w:tcPr>
            <w:tcW w:w="1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180" w:type="dxa"/>
            <w:vAlign w:val="bottom"/>
          </w:tcPr>
          <w:p>
            <w:pPr>
              <w:spacing w:after="0"/>
              <w:rPr>
                <w:sz w:val="20"/>
                <w:szCs w:val="20"/>
                <w:color w:val="auto"/>
              </w:rPr>
            </w:pPr>
            <w:r>
              <w:rPr>
                <w:rFonts w:ascii="Arial" w:cs="Arial" w:eastAsia="Arial" w:hAnsi="Arial"/>
                <w:sz w:val="18"/>
                <w:szCs w:val="18"/>
                <w:color w:val="auto"/>
              </w:rPr>
              <w:t>Allowance for Unfunded Loan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Commitments &amp; Letters of Credit - Dec 31</w:t>
            </w:r>
          </w:p>
        </w:tc>
        <w:tc>
          <w:tcPr>
            <w:tcW w:w="4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Total Allowance for Credit Losses - Dec 31</w:t>
            </w: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7,001</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6,265</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6"/>
              </w:rPr>
              <w:t>Ratio of net charge-offs to average Loans outstanding</w:t>
            </w: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1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10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0.05%</w:t>
            </w:r>
          </w:p>
        </w:tc>
        <w:tc>
          <w:tcPr>
            <w:tcW w:w="220" w:type="dxa"/>
            <w:vAlign w:val="bottom"/>
          </w:tcPr>
          <w:p>
            <w:pPr>
              <w:spacing w:after="0"/>
              <w:rPr>
                <w:sz w:val="21"/>
                <w:szCs w:val="21"/>
                <w:color w:val="auto"/>
              </w:rPr>
            </w:pPr>
          </w:p>
        </w:tc>
        <w:tc>
          <w:tcPr>
            <w:tcW w:w="110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0.08%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191"/>
        </w:trPr>
        <w:tc>
          <w:tcPr>
            <w:tcW w:w="41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Ratio of the Allowance for Loan Loss to</w:t>
            </w:r>
          </w:p>
        </w:tc>
        <w:tc>
          <w:tcPr>
            <w:tcW w:w="4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Nonperforming Loans</w:t>
            </w: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1249.57%</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684.83%</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490.39%</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293.75%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346.30%</w:t>
            </w: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*Nonperforming loans are defined as all loans on nonaccrual, plus any loans past due 90 days not on nonaccrual.</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Allocation of ALLL per Loan Category in terms of dollars and percentage of loans in each category to total loans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2016</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2015</w:t>
            </w:r>
          </w:p>
        </w:tc>
        <w:tc>
          <w:tcPr>
            <w:tcW w:w="5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2014</w:t>
            </w:r>
          </w:p>
        </w:tc>
        <w:tc>
          <w:tcPr>
            <w:tcW w:w="5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3380" w:type="dxa"/>
            <w:vAlign w:val="bottom"/>
          </w:tcPr>
          <w:p>
            <w:pPr>
              <w:spacing w:after="0"/>
              <w:rPr>
                <w:sz w:val="18"/>
                <w:szCs w:val="18"/>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Amount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3380" w:type="dxa"/>
            <w:vAlign w:val="bottom"/>
          </w:tcPr>
          <w:p>
            <w:pPr>
              <w:spacing w:after="0"/>
              <w:rPr>
                <w:sz w:val="19"/>
                <w:szCs w:val="19"/>
                <w:color w:val="auto"/>
              </w:rPr>
            </w:pPr>
          </w:p>
        </w:tc>
        <w:tc>
          <w:tcPr>
            <w:tcW w:w="960" w:type="dxa"/>
            <w:vAlign w:val="bottom"/>
            <w:gridSpan w:val="4"/>
          </w:tcPr>
          <w:p>
            <w:pPr>
              <w:ind w:left="80"/>
              <w:spacing w:after="0"/>
              <w:rPr>
                <w:sz w:val="20"/>
                <w:szCs w:val="20"/>
                <w:color w:val="auto"/>
              </w:rPr>
            </w:pPr>
            <w:r>
              <w:rPr>
                <w:rFonts w:ascii="Arial" w:cs="Arial" w:eastAsia="Arial" w:hAnsi="Arial"/>
                <w:sz w:val="18"/>
                <w:szCs w:val="18"/>
                <w:color w:val="auto"/>
              </w:rPr>
              <w:t>(000's)</w:t>
            </w:r>
          </w:p>
        </w:tc>
        <w:tc>
          <w:tcPr>
            <w:tcW w:w="5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gridSpan w:val="4"/>
          </w:tcPr>
          <w:p>
            <w:pPr>
              <w:ind w:left="60"/>
              <w:spacing w:after="0"/>
              <w:rPr>
                <w:sz w:val="20"/>
                <w:szCs w:val="20"/>
                <w:color w:val="auto"/>
              </w:rPr>
            </w:pPr>
            <w:r>
              <w:rPr>
                <w:rFonts w:ascii="Arial" w:cs="Arial" w:eastAsia="Arial" w:hAnsi="Arial"/>
                <w:sz w:val="18"/>
                <w:szCs w:val="18"/>
                <w:color w:val="auto"/>
              </w:rPr>
              <w:t>(000's)</w:t>
            </w:r>
          </w:p>
        </w:tc>
        <w:tc>
          <w:tcPr>
            <w:tcW w:w="5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5"/>
        </w:trPr>
        <w:tc>
          <w:tcPr>
            <w:tcW w:w="33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Balance at End of Period</w:t>
            </w:r>
          </w:p>
        </w:tc>
        <w:tc>
          <w:tcPr>
            <w:tcW w:w="16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r>
      <w:tr>
        <w:trPr>
          <w:trHeight w:val="223"/>
        </w:trPr>
        <w:tc>
          <w:tcPr>
            <w:tcW w:w="3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Applicable To:</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Consumer Real 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9.48</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10.11</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15.68</w:t>
            </w:r>
          </w:p>
        </w:tc>
        <w:tc>
          <w:tcPr>
            <w:tcW w:w="60" w:type="dxa"/>
            <w:vAlign w:val="bottom"/>
          </w:tcPr>
          <w:p>
            <w:pPr>
              <w:spacing w:after="0"/>
              <w:rPr>
                <w:sz w:val="19"/>
                <w:szCs w:val="19"/>
                <w:color w:val="auto"/>
              </w:rPr>
            </w:pPr>
          </w:p>
        </w:tc>
      </w:tr>
      <w:tr>
        <w:trPr>
          <w:trHeight w:val="224"/>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Agricultural Real Estate</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60" w:type="dxa"/>
            <w:vAlign w:val="bottom"/>
            <w:shd w:val="clear" w:color="auto" w:fill="CFF0FC"/>
          </w:tcPr>
          <w:p>
            <w:pPr>
              <w:spacing w:after="0"/>
              <w:rPr>
                <w:sz w:val="19"/>
                <w:szCs w:val="19"/>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Agricultural</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12.00</w:t>
            </w:r>
          </w:p>
        </w:tc>
        <w:tc>
          <w:tcPr>
            <w:tcW w:w="60" w:type="dxa"/>
            <w:vAlign w:val="bottom"/>
          </w:tcPr>
          <w:p>
            <w:pPr>
              <w:spacing w:after="0"/>
              <w:rPr>
                <w:sz w:val="19"/>
                <w:szCs w:val="19"/>
                <w:color w:val="auto"/>
              </w:rPr>
            </w:pPr>
          </w:p>
        </w:tc>
      </w:tr>
      <w:tr>
        <w:trPr>
          <w:trHeight w:val="224"/>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3,217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3,149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3,250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2,516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43.48</w:t>
            </w:r>
          </w:p>
        </w:tc>
        <w:tc>
          <w:tcPr>
            <w:tcW w:w="60" w:type="dxa"/>
            <w:vAlign w:val="bottom"/>
            <w:shd w:val="clear" w:color="auto" w:fill="CFF0FC"/>
          </w:tcPr>
          <w:p>
            <w:pPr>
              <w:spacing w:after="0"/>
              <w:rPr>
                <w:sz w:val="19"/>
                <w:szCs w:val="19"/>
                <w:color w:val="auto"/>
              </w:rPr>
            </w:pPr>
          </w:p>
        </w:tc>
      </w:tr>
      <w:tr>
        <w:trPr>
          <w:trHeight w:val="224"/>
        </w:trPr>
        <w:tc>
          <w:tcPr>
            <w:tcW w:w="3380" w:type="dxa"/>
            <w:vAlign w:val="bottom"/>
          </w:tcPr>
          <w:p>
            <w:pPr>
              <w:spacing w:after="0"/>
              <w:rPr>
                <w:sz w:val="20"/>
                <w:szCs w:val="20"/>
                <w:color w:val="auto"/>
              </w:rPr>
            </w:pPr>
            <w:r>
              <w:rPr>
                <w:rFonts w:ascii="Arial" w:cs="Arial" w:eastAsia="Arial" w:hAnsi="Arial"/>
                <w:sz w:val="18"/>
                <w:szCs w:val="18"/>
                <w:color w:val="auto"/>
              </w:rPr>
              <w:t>Commercial and Industrial</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1,546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1,318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16.87</w:t>
            </w:r>
          </w:p>
        </w:tc>
        <w:tc>
          <w:tcPr>
            <w:tcW w:w="60" w:type="dxa"/>
            <w:vAlign w:val="bottom"/>
          </w:tcPr>
          <w:p>
            <w:pPr>
              <w:spacing w:after="0"/>
              <w:rPr>
                <w:sz w:val="19"/>
                <w:szCs w:val="19"/>
                <w:color w:val="auto"/>
              </w:rPr>
            </w:pPr>
          </w:p>
        </w:tc>
      </w:tr>
      <w:tr>
        <w:trPr>
          <w:trHeight w:val="224"/>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Consumer</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60" w:type="dxa"/>
            <w:vAlign w:val="bottom"/>
            <w:shd w:val="clear" w:color="auto" w:fill="CFF0FC"/>
          </w:tcPr>
          <w:p>
            <w:pPr>
              <w:spacing w:after="0"/>
              <w:rPr>
                <w:sz w:val="19"/>
                <w:szCs w:val="19"/>
                <w:color w:val="auto"/>
              </w:rPr>
            </w:pPr>
          </w:p>
        </w:tc>
      </w:tr>
      <w:tr>
        <w:trPr>
          <w:trHeight w:val="224"/>
        </w:trPr>
        <w:tc>
          <w:tcPr>
            <w:tcW w:w="3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Borders>
              <w:bottom w:val="single" w:sz="8" w:color="CFF0FC"/>
            </w:tcBorders>
          </w:tcPr>
          <w:p>
            <w:pPr>
              <w:spacing w:after="0"/>
              <w:rPr>
                <w:sz w:val="19"/>
                <w:szCs w:val="19"/>
                <w:color w:val="auto"/>
              </w:rPr>
            </w:pPr>
          </w:p>
        </w:tc>
      </w:tr>
      <w:tr>
        <w:trPr>
          <w:trHeight w:val="205"/>
        </w:trPr>
        <w:tc>
          <w:tcPr>
            <w:tcW w:w="3380" w:type="dxa"/>
            <w:vAlign w:val="bottom"/>
            <w:shd w:val="clear" w:color="auto" w:fill="CFF0FC"/>
          </w:tcPr>
          <w:p>
            <w:pPr>
              <w:ind w:left="240"/>
              <w:spacing w:after="0" w:line="205" w:lineRule="exact"/>
              <w:rPr>
                <w:sz w:val="20"/>
                <w:szCs w:val="20"/>
                <w:color w:val="auto"/>
              </w:rPr>
            </w:pPr>
            <w:r>
              <w:rPr>
                <w:rFonts w:ascii="Arial" w:cs="Arial" w:eastAsia="Arial" w:hAnsi="Arial"/>
                <w:sz w:val="18"/>
                <w:szCs w:val="18"/>
                <w:color w:val="auto"/>
              </w:rPr>
              <w:t>Allowance for Loan &amp; Lease</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3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Losses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6,775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6,868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6,784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6,057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5,905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100.00</w:t>
            </w:r>
          </w:p>
        </w:tc>
        <w:tc>
          <w:tcPr>
            <w:tcW w:w="60" w:type="dxa"/>
            <w:vAlign w:val="bottom"/>
            <w:shd w:val="clear" w:color="auto" w:fill="CFF0FC"/>
          </w:tcPr>
          <w:p>
            <w:pPr>
              <w:spacing w:after="0"/>
              <w:rPr>
                <w:sz w:val="19"/>
                <w:szCs w:val="19"/>
                <w:color w:val="auto"/>
              </w:rPr>
            </w:pPr>
          </w:p>
        </w:tc>
      </w:tr>
      <w:tr>
        <w:trPr>
          <w:trHeight w:val="211"/>
        </w:trPr>
        <w:tc>
          <w:tcPr>
            <w:tcW w:w="3380" w:type="dxa"/>
            <w:vAlign w:val="bottom"/>
          </w:tcPr>
          <w:p>
            <w:pPr>
              <w:ind w:left="240"/>
              <w:spacing w:after="0"/>
              <w:rPr>
                <w:sz w:val="20"/>
                <w:szCs w:val="20"/>
                <w:color w:val="auto"/>
              </w:rPr>
            </w:pPr>
            <w:r>
              <w:rPr>
                <w:rFonts w:ascii="Arial" w:cs="Arial" w:eastAsia="Arial" w:hAnsi="Arial"/>
                <w:sz w:val="18"/>
                <w:szCs w:val="18"/>
                <w:color w:val="auto"/>
              </w:rPr>
              <w:t>Off Balance Sheet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Commitments</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r>
      <w:tr>
        <w:trPr>
          <w:trHeight w:val="205"/>
        </w:trPr>
        <w:tc>
          <w:tcPr>
            <w:tcW w:w="3380" w:type="dxa"/>
            <w:vAlign w:val="bottom"/>
            <w:shd w:val="clear" w:color="auto" w:fill="CFF0FC"/>
          </w:tcPr>
          <w:p>
            <w:pPr>
              <w:ind w:left="480"/>
              <w:spacing w:after="0" w:line="205" w:lineRule="exact"/>
              <w:rPr>
                <w:sz w:val="20"/>
                <w:szCs w:val="20"/>
                <w:color w:val="auto"/>
              </w:rPr>
            </w:pPr>
            <w:r>
              <w:rPr>
                <w:rFonts w:ascii="Arial" w:cs="Arial" w:eastAsia="Arial" w:hAnsi="Arial"/>
                <w:sz w:val="18"/>
                <w:szCs w:val="18"/>
                <w:color w:val="auto"/>
              </w:rPr>
              <w:t>Total Allowance for</w:t>
            </w: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23"/>
        </w:trPr>
        <w:tc>
          <w:tcPr>
            <w:tcW w:w="33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Credit Losses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7,049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7,001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6,265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6,112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0"/>
        </w:trPr>
        <w:tc>
          <w:tcPr>
            <w:tcW w:w="33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The amount of outstanding time certificates of deposits and other time deposits in amounts of $100,000 or more by maturity as of December 31, 2018 are as follows: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17"/>
        </w:trPr>
        <w:tc>
          <w:tcPr>
            <w:tcW w:w="3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90"/>
              </w:rPr>
              <w:t>Over Three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Over Six</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91"/>
              </w:rPr>
              <w:t>Months</w:t>
            </w:r>
          </w:p>
        </w:tc>
        <w:tc>
          <w:tcPr>
            <w:tcW w:w="220" w:type="dxa"/>
            <w:vAlign w:val="bottom"/>
          </w:tcPr>
          <w:p>
            <w:pPr>
              <w:spacing w:after="0"/>
              <w:rPr>
                <w:sz w:val="19"/>
                <w:szCs w:val="19"/>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Months Less</w:t>
            </w:r>
          </w:p>
        </w:tc>
        <w:tc>
          <w:tcPr>
            <w:tcW w:w="220" w:type="dxa"/>
            <w:vAlign w:val="bottom"/>
          </w:tcPr>
          <w:p>
            <w:pPr>
              <w:spacing w:after="0"/>
              <w:rPr>
                <w:sz w:val="19"/>
                <w:szCs w:val="19"/>
                <w:color w:val="auto"/>
              </w:rPr>
            </w:pPr>
          </w:p>
        </w:tc>
        <w:tc>
          <w:tcPr>
            <w:tcW w:w="860" w:type="dxa"/>
            <w:vAlign w:val="bottom"/>
          </w:tcPr>
          <w:p>
            <w:pPr>
              <w:jc w:val="center"/>
              <w:ind w:right="172"/>
              <w:spacing w:after="0"/>
              <w:rPr>
                <w:sz w:val="20"/>
                <w:szCs w:val="20"/>
                <w:color w:val="auto"/>
              </w:rPr>
            </w:pPr>
            <w:r>
              <w:rPr>
                <w:rFonts w:ascii="Arial" w:cs="Arial" w:eastAsia="Arial" w:hAnsi="Arial"/>
                <w:sz w:val="18"/>
                <w:szCs w:val="18"/>
                <w:color w:val="auto"/>
                <w:w w:val="92"/>
              </w:rPr>
              <w:t>Over</w:t>
            </w: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12"/>
              <w:spacing w:after="0"/>
              <w:rPr>
                <w:sz w:val="20"/>
                <w:szCs w:val="20"/>
                <w:color w:val="auto"/>
              </w:rPr>
            </w:pPr>
            <w:r>
              <w:rPr>
                <w:rFonts w:ascii="Arial" w:cs="Arial" w:eastAsia="Arial" w:hAnsi="Arial"/>
                <w:sz w:val="18"/>
                <w:szCs w:val="18"/>
                <w:color w:val="auto"/>
              </w:rPr>
              <w:t>Under</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center"/>
              <w:ind w:right="12"/>
              <w:spacing w:after="0"/>
              <w:rPr>
                <w:sz w:val="20"/>
                <w:szCs w:val="20"/>
                <w:color w:val="auto"/>
              </w:rPr>
            </w:pPr>
            <w:r>
              <w:rPr>
                <w:rFonts w:ascii="Arial" w:cs="Arial" w:eastAsia="Arial" w:hAnsi="Arial"/>
                <w:sz w:val="18"/>
                <w:szCs w:val="18"/>
                <w:color w:val="auto"/>
                <w:w w:val="84"/>
              </w:rPr>
              <w:t>Less than</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Than One</w:t>
            </w:r>
          </w:p>
        </w:tc>
        <w:tc>
          <w:tcPr>
            <w:tcW w:w="220" w:type="dxa"/>
            <w:vAlign w:val="bottom"/>
          </w:tcPr>
          <w:p>
            <w:pPr>
              <w:spacing w:after="0"/>
              <w:rPr>
                <w:sz w:val="19"/>
                <w:szCs w:val="19"/>
                <w:color w:val="auto"/>
              </w:rPr>
            </w:pPr>
          </w:p>
        </w:tc>
        <w:tc>
          <w:tcPr>
            <w:tcW w:w="860" w:type="dxa"/>
            <w:vAlign w:val="bottom"/>
          </w:tcPr>
          <w:p>
            <w:pPr>
              <w:jc w:val="center"/>
              <w:ind w:right="152"/>
              <w:spacing w:after="0"/>
              <w:rPr>
                <w:sz w:val="20"/>
                <w:szCs w:val="20"/>
                <w:color w:val="auto"/>
              </w:rPr>
            </w:pPr>
            <w:r>
              <w:rPr>
                <w:rFonts w:ascii="Arial" w:cs="Arial" w:eastAsia="Arial" w:hAnsi="Arial"/>
                <w:sz w:val="18"/>
                <w:szCs w:val="18"/>
                <w:color w:val="auto"/>
                <w:w w:val="88"/>
              </w:rPr>
              <w:t>One</w:t>
            </w:r>
          </w:p>
        </w:tc>
      </w:tr>
      <w:tr>
        <w:trPr>
          <w:trHeight w:val="224"/>
        </w:trPr>
        <w:tc>
          <w:tcPr>
            <w:tcW w:w="31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Three Months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2"/>
              </w:rPr>
              <w:t>Six Months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4"/>
              </w:rPr>
              <w:t>Year</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color w:val="auto"/>
                <w:w w:val="84"/>
              </w:rPr>
              <w:t>Year</w:t>
            </w:r>
          </w:p>
        </w:tc>
      </w:tr>
      <w:tr>
        <w:trPr>
          <w:trHeight w:val="217"/>
        </w:trPr>
        <w:tc>
          <w:tcPr>
            <w:tcW w:w="3160" w:type="dxa"/>
            <w:vAlign w:val="bottom"/>
          </w:tcPr>
          <w:p>
            <w:pPr>
              <w:spacing w:after="0"/>
              <w:rPr>
                <w:sz w:val="20"/>
                <w:szCs w:val="20"/>
                <w:color w:val="auto"/>
              </w:rPr>
            </w:pPr>
            <w:r>
              <w:rPr>
                <w:rFonts w:ascii="Arial" w:cs="Arial" w:eastAsia="Arial" w:hAnsi="Arial"/>
                <w:sz w:val="18"/>
                <w:szCs w:val="18"/>
                <w:color w:val="auto"/>
              </w:rPr>
              <w:t>Time Deposits</w:t>
            </w:r>
          </w:p>
        </w:tc>
        <w:tc>
          <w:tcPr>
            <w:tcW w:w="2340" w:type="dxa"/>
            <w:vAlign w:val="bottom"/>
            <w:gridSpan w:val="2"/>
          </w:tcPr>
          <w:p>
            <w:pPr>
              <w:ind w:left="2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26,168</w:t>
            </w:r>
          </w:p>
        </w:tc>
        <w:tc>
          <w:tcPr>
            <w:tcW w:w="20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49,065</w:t>
            </w:r>
          </w:p>
        </w:tc>
      </w:tr>
      <w:tr>
        <w:trPr>
          <w:trHeight w:val="20"/>
        </w:trPr>
        <w:tc>
          <w:tcPr>
            <w:tcW w:w="3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average amount of and average rate paid on each deposit category:</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840"/>
              <w:spacing w:after="0"/>
              <w:rPr>
                <w:sz w:val="20"/>
                <w:szCs w:val="20"/>
                <w:color w:val="auto"/>
              </w:rPr>
            </w:pPr>
            <w:r>
              <w:rPr>
                <w:rFonts w:ascii="Arial" w:cs="Arial" w:eastAsia="Arial" w:hAnsi="Arial"/>
                <w:sz w:val="18"/>
                <w:szCs w:val="18"/>
                <w:color w:val="auto"/>
              </w:rPr>
              <w:t>(In Thousands)</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217"/>
        </w:trPr>
        <w:tc>
          <w:tcPr>
            <w:tcW w:w="1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Non-Interest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Interest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6"/>
              </w:rPr>
              <w:t>Savings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Time</w:t>
            </w:r>
          </w:p>
        </w:tc>
      </w:tr>
      <w:tr>
        <w:trPr>
          <w:trHeight w:val="224"/>
        </w:trPr>
        <w:tc>
          <w:tcPr>
            <w:tcW w:w="14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DDAs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DDAs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Accounts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Accounts</w:t>
            </w:r>
          </w:p>
        </w:tc>
      </w:tr>
      <w:tr>
        <w:trPr>
          <w:trHeight w:val="197"/>
        </w:trPr>
        <w:tc>
          <w:tcPr>
            <w:tcW w:w="3300" w:type="dxa"/>
            <w:vAlign w:val="bottom"/>
            <w:tcBorders>
              <w:top w:val="single" w:sz="8" w:color="CFF0FC"/>
            </w:tcBorders>
            <w:gridSpan w:val="2"/>
            <w:shd w:val="clear" w:color="auto" w:fill="CFF0FC"/>
          </w:tcPr>
          <w:p>
            <w:pPr>
              <w:spacing w:after="0" w:line="178" w:lineRule="exact"/>
              <w:rPr>
                <w:sz w:val="20"/>
                <w:szCs w:val="20"/>
                <w:color w:val="auto"/>
              </w:rPr>
            </w:pPr>
            <w:r>
              <w:rPr>
                <w:rFonts w:ascii="Arial" w:cs="Arial" w:eastAsia="Arial" w:hAnsi="Arial"/>
                <w:sz w:val="18"/>
                <w:szCs w:val="18"/>
                <w:color w:val="auto"/>
              </w:rPr>
              <w:t>December 31, 2018:</w:t>
            </w:r>
          </w:p>
        </w:tc>
        <w:tc>
          <w:tcPr>
            <w:tcW w:w="18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880" w:type="dxa"/>
            <w:vAlign w:val="bottom"/>
            <w:tcBorders>
              <w:top w:val="single" w:sz="8" w:color="CFF0FC"/>
            </w:tcBorders>
          </w:tcPr>
          <w:p>
            <w:pPr>
              <w:spacing w:after="0"/>
              <w:rPr>
                <w:sz w:val="19"/>
                <w:szCs w:val="19"/>
                <w:color w:val="auto"/>
              </w:rPr>
            </w:pPr>
          </w:p>
        </w:tc>
        <w:tc>
          <w:tcPr>
            <w:tcW w:w="206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194,548</w:t>
            </w: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313,785</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237,961</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183,512</w:t>
            </w:r>
          </w:p>
        </w:tc>
        <w:tc>
          <w:tcPr>
            <w:tcW w:w="200" w:type="dxa"/>
            <w:vAlign w:val="bottom"/>
            <w:tcBorders>
              <w:top w:val="single" w:sz="8" w:color="CFF0FC"/>
            </w:tcBorders>
          </w:tcPr>
          <w:p>
            <w:pPr>
              <w:spacing w:after="0"/>
              <w:rPr>
                <w:sz w:val="19"/>
                <w:szCs w:val="19"/>
                <w:color w:val="auto"/>
              </w:rPr>
            </w:pPr>
          </w:p>
        </w:tc>
      </w:tr>
      <w:tr>
        <w:trPr>
          <w:trHeight w:val="224"/>
        </w:trPr>
        <w:tc>
          <w:tcPr>
            <w:tcW w:w="3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1.38%</w:t>
            </w:r>
          </w:p>
        </w:tc>
      </w:tr>
      <w:tr>
        <w:trPr>
          <w:trHeight w:val="194"/>
        </w:trPr>
        <w:tc>
          <w:tcPr>
            <w:tcW w:w="3300" w:type="dxa"/>
            <w:vAlign w:val="bottom"/>
            <w:gridSpan w:val="2"/>
          </w:tcPr>
          <w:p>
            <w:pPr>
              <w:spacing w:after="0" w:line="184" w:lineRule="exact"/>
              <w:rPr>
                <w:sz w:val="20"/>
                <w:szCs w:val="20"/>
                <w:color w:val="auto"/>
              </w:rPr>
            </w:pPr>
            <w:r>
              <w:rPr>
                <w:rFonts w:ascii="Arial" w:cs="Arial" w:eastAsia="Arial" w:hAnsi="Arial"/>
                <w:sz w:val="18"/>
                <w:szCs w:val="18"/>
                <w:color w:val="auto"/>
              </w:rPr>
              <w:t>December 31, 2017:</w:t>
            </w:r>
          </w:p>
        </w:tc>
        <w:tc>
          <w:tcPr>
            <w:tcW w:w="1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4"/>
        </w:trPr>
        <w:tc>
          <w:tcPr>
            <w:tcW w:w="14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w w:val="85"/>
              </w:rPr>
              <w:t>Average balance</w:t>
            </w:r>
          </w:p>
        </w:tc>
        <w:tc>
          <w:tcPr>
            <w:tcW w:w="1880" w:type="dxa"/>
            <w:vAlign w:val="bottom"/>
            <w:shd w:val="clear" w:color="auto" w:fill="CFF0FC"/>
          </w:tcPr>
          <w:p>
            <w:pPr>
              <w:spacing w:after="0"/>
              <w:rPr>
                <w:sz w:val="20"/>
                <w:szCs w:val="20"/>
                <w:color w:val="auto"/>
              </w:rPr>
            </w:pPr>
          </w:p>
        </w:tc>
        <w:tc>
          <w:tcPr>
            <w:tcW w:w="2060" w:type="dxa"/>
            <w:vAlign w:val="bottom"/>
            <w:gridSpan w:val="2"/>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180,129</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286,912</w:t>
            </w:r>
          </w:p>
        </w:tc>
        <w:tc>
          <w:tcPr>
            <w:tcW w:w="20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232,668</w:t>
            </w:r>
          </w:p>
        </w:tc>
        <w:tc>
          <w:tcPr>
            <w:tcW w:w="20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188,443</w:t>
            </w:r>
          </w:p>
        </w:tc>
        <w:tc>
          <w:tcPr>
            <w:tcW w:w="200" w:type="dxa"/>
            <w:vAlign w:val="bottom"/>
            <w:shd w:val="clear" w:color="auto" w:fill="CFF0FC"/>
          </w:tcPr>
          <w:p>
            <w:pPr>
              <w:spacing w:after="0"/>
              <w:rPr>
                <w:sz w:val="20"/>
                <w:szCs w:val="20"/>
                <w:color w:val="auto"/>
              </w:rPr>
            </w:pPr>
          </w:p>
        </w:tc>
      </w:tr>
      <w:tr>
        <w:trPr>
          <w:trHeight w:val="224"/>
        </w:trPr>
        <w:tc>
          <w:tcPr>
            <w:tcW w:w="3300" w:type="dxa"/>
            <w:vAlign w:val="bottom"/>
            <w:gridSpan w:val="2"/>
          </w:tcPr>
          <w:p>
            <w:pPr>
              <w:ind w:left="240"/>
              <w:spacing w:after="0"/>
              <w:rPr>
                <w:sz w:val="20"/>
                <w:szCs w:val="20"/>
                <w:color w:val="auto"/>
              </w:rPr>
            </w:pPr>
            <w:r>
              <w:rPr>
                <w:rFonts w:ascii="Arial" w:cs="Arial" w:eastAsia="Arial" w:hAnsi="Arial"/>
                <w:sz w:val="18"/>
                <w:szCs w:val="18"/>
                <w:color w:val="auto"/>
              </w:rPr>
              <w:t>Average rate</w:t>
            </w:r>
          </w:p>
        </w:tc>
        <w:tc>
          <w:tcPr>
            <w:tcW w:w="1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r>
      <w:tr>
        <w:trPr>
          <w:trHeight w:val="204"/>
        </w:trPr>
        <w:tc>
          <w:tcPr>
            <w:tcW w:w="3300" w:type="dxa"/>
            <w:vAlign w:val="bottom"/>
            <w:gridSpan w:val="2"/>
            <w:shd w:val="clear" w:color="auto" w:fill="CFF0FC"/>
          </w:tcPr>
          <w:p>
            <w:pPr>
              <w:spacing w:after="0" w:line="185" w:lineRule="exact"/>
              <w:rPr>
                <w:sz w:val="20"/>
                <w:szCs w:val="20"/>
                <w:color w:val="auto"/>
              </w:rPr>
            </w:pPr>
            <w:r>
              <w:rPr>
                <w:rFonts w:ascii="Arial" w:cs="Arial" w:eastAsia="Arial" w:hAnsi="Arial"/>
                <w:sz w:val="18"/>
                <w:szCs w:val="18"/>
                <w:color w:val="auto"/>
              </w:rPr>
              <w:t>December 31, 2016:</w:t>
            </w:r>
          </w:p>
        </w:tc>
        <w:tc>
          <w:tcPr>
            <w:tcW w:w="1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24"/>
        </w:trPr>
        <w:tc>
          <w:tcPr>
            <w:tcW w:w="1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Average balance</w:t>
            </w:r>
          </w:p>
        </w:tc>
        <w:tc>
          <w:tcPr>
            <w:tcW w:w="1880" w:type="dxa"/>
            <w:vAlign w:val="bottom"/>
            <w:tcBorders>
              <w:top w:val="single" w:sz="8" w:color="CFF0FC"/>
            </w:tcBorders>
          </w:tcPr>
          <w:p>
            <w:pPr>
              <w:spacing w:after="0"/>
              <w:rPr>
                <w:sz w:val="19"/>
                <w:szCs w:val="19"/>
                <w:color w:val="auto"/>
              </w:rPr>
            </w:pPr>
          </w:p>
        </w:tc>
        <w:tc>
          <w:tcPr>
            <w:tcW w:w="2060" w:type="dxa"/>
            <w:vAlign w:val="bottom"/>
            <w:tcBorders>
              <w:top w:val="single" w:sz="8" w:color="CFF0FC"/>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169,510</w:t>
            </w:r>
          </w:p>
        </w:tc>
        <w:tc>
          <w:tcPr>
            <w:tcW w:w="2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207,057</w:t>
            </w:r>
          </w:p>
        </w:tc>
        <w:tc>
          <w:tcPr>
            <w:tcW w:w="200" w:type="dxa"/>
            <w:vAlign w:val="bottom"/>
            <w:tcBorders>
              <w:top w:val="single" w:sz="8" w:color="CFF0FC"/>
            </w:tcBorders>
          </w:tcPr>
          <w:p>
            <w:pPr>
              <w:spacing w:after="0"/>
              <w:rPr>
                <w:sz w:val="19"/>
                <w:szCs w:val="19"/>
                <w:color w:val="auto"/>
              </w:rPr>
            </w:pPr>
          </w:p>
        </w:tc>
        <w:tc>
          <w:tcPr>
            <w:tcW w:w="20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239,939</w:t>
            </w:r>
          </w:p>
        </w:tc>
        <w:tc>
          <w:tcPr>
            <w:tcW w:w="2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194,753</w:t>
            </w:r>
          </w:p>
        </w:tc>
        <w:tc>
          <w:tcPr>
            <w:tcW w:w="200" w:type="dxa"/>
            <w:vAlign w:val="bottom"/>
            <w:tcBorders>
              <w:top w:val="single" w:sz="8" w:color="CFF0FC"/>
            </w:tcBorders>
          </w:tcPr>
          <w:p>
            <w:pPr>
              <w:spacing w:after="0"/>
              <w:rPr>
                <w:sz w:val="19"/>
                <w:szCs w:val="19"/>
                <w:color w:val="auto"/>
              </w:rPr>
            </w:pPr>
          </w:p>
        </w:tc>
      </w:tr>
      <w:tr>
        <w:trPr>
          <w:trHeight w:val="224"/>
        </w:trPr>
        <w:tc>
          <w:tcPr>
            <w:tcW w:w="33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Average rate</w:t>
            </w:r>
          </w:p>
        </w:tc>
        <w:tc>
          <w:tcPr>
            <w:tcW w:w="1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0.99%</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Liquidity remains adequate though down from prior years as the Bank has decreased the investment portfolio to fund loans. The Bank has access to $69 million of unsecured borrowings through correspondent banks and $73.7 million of unpledged securities which may be sold or used as collateral. The amount of unpledged securities decreased almost $20.9 million as compared to 2017. This was accomplished with utilizing Promontory’s ICS product to protect Ohio public fund depositors and commercial sweep customers with FDIC coverage rather than pledged securities. For the Bank, an additional $9.0 million is also available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from the Federal Home Loan Bank based on current collateral pledging with up to $119.0 million available provided adequate collateral is pledged.</w:t>
      </w:r>
    </w:p>
    <w:p>
      <w:pPr>
        <w:spacing w:after="0" w:line="23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$195.2 for 2018, $206.3 for 2017 and $228.0 million for 2016. This represented 17.6%, 19.2% and 22.3% of total average assets, respectively. Of the almost $155.5 million of debt securities in the Bank’s portfolio as of December 31, 2018, $29.0 million, or 18.6% of the portfolio, is expected to receive payments or mature in 2019. This liquidity provides the opportunity to fund loan growth by analysis of the lowest cost and source of funds whether by increasing deposits, sales or runoff of investments or utilizing debt.</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the Bank’s investment portfolio, the Company has $13.0 million held in the holding company’s investment portfolio. $260 thousand of those investments will mature or receive payments in the next twelve months. These funds provide liquidity to the Company. The Bank has been declaring additional dividends each quarter to provide this liquidity to the Company. The Captive has also upstreamed dividends to the Company and is expected to continue annually as long as reserve levels are adequately provided for. This provides additional liquidity for Company activities. The company sold securities in December 2018 to provide $8.5 million in cash for the preparation of the acquisition on January 1, 2019.</w:t>
      </w:r>
    </w:p>
    <w:p>
      <w:pPr>
        <w:spacing w:after="0" w:line="164"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Historically, the primary source of liquidity has been core deposits that include noninterest bearing and interest bearing demand deposits, savings, money market accounts and time deposits of individuals. Core deposit balances increased in noninterest bearing deposits but decreased in all other categories as of December 31, 2018 compared to same date 2017. Average total savings balances increased $32.2 million in 2018 as compared to 2017. Core deposit balances as of year-end 2017 increased in all categories with the exception of time deposits. Overall deposits increased an average of $76.9 million in 2017 and $47.1 million in 2016. The Bank also utilized Federal Funds purchased at times during 2016 through 2018. The average balance for 2018 was $1.4 million, for 2017 and 2016 was $2.2 million and $1.9 million respectively. During 2016, it was used heavily in the third quarter. The Bank is comfortable accessing these funds on a regular basis.</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89.4% for 2018, 88.2% for 2017, and 87.9% for 2016. The Bank’s goal is for this ratio to be higher in the 80-90 percent range with loan growth being the driver. The Bank ended the year 2018 at a 91.2% loan to deposit ratio.</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$32.2 million at December 31, 2018, $39.5 million at December 31, 2017, and $70.3 million at the end of 2016. These accounts are used to provide a sweep product to the Bank’s commercial customers and for some term deposits. As ICS was implemented, the sweep balances moved into interest bearing deposits and for yearend 2017 and 2018 the repurchase agreements are for term deposits only.</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“Other borrowings” are also a source of funds. Other borrowings consist of loans from the Federal Home Loan Bank of Cincinnati. These funds are then used to provide loans in our community. The Bank utilized this funding source in December 2015 by borrowing $10 million. These remained consistent borrowings during 2016 and in December of 2017 and 2018 $5 million matured and was paid off each year. At yearend 2018, all borrowings were paid off and this has increased the availability from this source of funds.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Management</w:t>
      </w:r>
    </w:p>
    <w:p>
      <w:pPr>
        <w:spacing w:after="0" w:line="1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38" w:name="page39"/>
    <w:bookmarkEnd w:id="38"/>
    <w:p>
      <w:pPr>
        <w:jc w:val="both"/>
        <w:spacing w:after="0" w:line="282" w:lineRule="auto"/>
        <w:rPr>
          <w:sz w:val="20"/>
          <w:szCs w:val="20"/>
          <w:color w:val="auto"/>
        </w:rPr>
      </w:pPr>
      <w:r>
        <w:rPr>
          <w:rFonts w:ascii="Arial" w:cs="Arial" w:eastAsia="Arial" w:hAnsi="Arial"/>
          <w:sz w:val="16"/>
          <w:szCs w:val="16"/>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 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instant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Changing Prices</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Contractual Obligations of the Company totaled $213.6 million as of December 31, 2018. Excluded from the chart is Federal Funds Purchased of $6.5 million which are immediately payable the next business day. Time deposits represent contractual agreements for certificates of deposits held by its customers. Long term debt represents the borrowings with the Federal Home Loan Bank and is further defined in Note 9 of the Consolidated Financial Statements.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10"/>
          </w:tcPr>
          <w:p>
            <w:pPr>
              <w:jc w:val="center"/>
              <w:ind w:right="220"/>
              <w:spacing w:after="0"/>
              <w:rPr>
                <w:sz w:val="20"/>
                <w:szCs w:val="20"/>
                <w:color w:val="auto"/>
              </w:rPr>
            </w:pPr>
            <w:r>
              <w:rPr>
                <w:rFonts w:ascii="Arial" w:cs="Arial" w:eastAsia="Arial" w:hAnsi="Arial"/>
                <w:sz w:val="18"/>
                <w:szCs w:val="18"/>
                <w:color w:val="auto"/>
                <w:w w:val="88"/>
              </w:rPr>
              <w:t>Payment Due by Period (In Thousands)</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Less than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132"/>
              <w:spacing w:after="0"/>
              <w:rPr>
                <w:sz w:val="20"/>
                <w:szCs w:val="20"/>
                <w:color w:val="auto"/>
              </w:rPr>
            </w:pPr>
            <w:r>
              <w:rPr>
                <w:rFonts w:ascii="Arial" w:cs="Arial" w:eastAsia="Arial" w:hAnsi="Arial"/>
                <w:sz w:val="18"/>
                <w:szCs w:val="18"/>
                <w:color w:val="auto"/>
                <w:w w:val="92"/>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3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More than</w:t>
            </w:r>
          </w:p>
        </w:tc>
      </w:tr>
      <w:tr>
        <w:trPr>
          <w:trHeight w:val="224"/>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Contractual Obligations</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 year</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4"/>
              </w:rPr>
              <w:t>Years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Years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5 years</w:t>
            </w:r>
          </w:p>
        </w:tc>
        <w:tc>
          <w:tcPr>
            <w:tcW w:w="100" w:type="dxa"/>
            <w:vAlign w:val="bottom"/>
            <w:tcBorders>
              <w:bottom w:val="single" w:sz="8" w:color="CFF0FC"/>
            </w:tcBorders>
          </w:tcPr>
          <w:p>
            <w:pPr>
              <w:spacing w:after="0"/>
              <w:rPr>
                <w:sz w:val="19"/>
                <w:szCs w:val="19"/>
                <w:color w:val="auto"/>
              </w:rPr>
            </w:pPr>
          </w:p>
        </w:tc>
      </w:tr>
      <w:tr>
        <w:trPr>
          <w:trHeight w:val="217"/>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Securities sold under agreement to repurchase</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22,135</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w:t>
            </w:r>
          </w:p>
        </w:tc>
        <w:tc>
          <w:tcPr>
            <w:tcW w:w="10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187,413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72,497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r>
      <w:tr>
        <w:trPr>
          <w:trHeight w:val="224"/>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4"/>
        </w:trPr>
        <w:tc>
          <w:tcPr>
            <w:tcW w:w="5300" w:type="dxa"/>
            <w:vAlign w:val="bottom"/>
            <w:gridSpan w:val="2"/>
          </w:tcPr>
          <w:p>
            <w:pPr>
              <w:spacing w:after="0"/>
              <w:rPr>
                <w:sz w:val="20"/>
                <w:szCs w:val="20"/>
                <w:color w:val="auto"/>
              </w:rPr>
            </w:pPr>
            <w:r>
              <w:rPr>
                <w:rFonts w:ascii="Arial" w:cs="Arial" w:eastAsia="Arial" w:hAnsi="Arial"/>
                <w:sz w:val="18"/>
                <w:szCs w:val="18"/>
                <w:color w:val="auto"/>
              </w:rPr>
              <w:t>Building Leases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r>
      <w:tr>
        <w:trPr>
          <w:trHeight w:val="224"/>
        </w:trPr>
        <w:tc>
          <w:tcPr>
            <w:tcW w:w="5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 Term Debt</w:t>
            </w: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17"/>
        </w:trPr>
        <w:tc>
          <w:tcPr>
            <w:tcW w:w="5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213,639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110,613</w:t>
            </w:r>
          </w:p>
        </w:tc>
        <w:tc>
          <w:tcPr>
            <w:tcW w:w="10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76,240</w:t>
            </w:r>
          </w:p>
        </w:tc>
        <w:tc>
          <w:tcPr>
            <w:tcW w:w="1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26,138</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15" w:lineRule="exact"/>
        <w:rPr>
          <w:sz w:val="20"/>
          <w:szCs w:val="20"/>
          <w:color w:val="auto"/>
        </w:rPr>
      </w:pPr>
    </w:p>
    <w:p>
      <w:pPr>
        <w:jc w:val="both"/>
        <w:spacing w:after="0" w:line="303" w:lineRule="auto"/>
        <w:rPr>
          <w:sz w:val="20"/>
          <w:szCs w:val="20"/>
          <w:color w:val="auto"/>
        </w:rPr>
      </w:pPr>
      <w:r>
        <w:rPr>
          <w:rFonts w:ascii="Arial" w:cs="Arial" w:eastAsia="Arial" w:hAnsi="Arial"/>
          <w:sz w:val="15"/>
          <w:szCs w:val="15"/>
          <w:color w:val="auto"/>
        </w:rPr>
        <w:t>Stockholders’ equity was $143.3 million as of December 31, 2018 compared to $134.1 million at December 31, 2017. Dividends declared during 2018 were $0.56 per share totaling $5.1 million and dividends declared during 2017 were $0.50 per share totaling $4.6 million. Throughout 2018, the Company awarded 33,000 shares of restricted stock awards to 80 employees. During 2017, the Company awarded 32,000 shares of restricted stock to 74 employees. For a summary of activity as it relates to the Company’s restricted stock awards, please refer to Note 11: Employee Benefit Plans in the consolidated financial statements. On December 31, 2018 the Company held 1,114,739 shares in Treasury Stock and 93,940 unvested shares of restricted stock. At yearend 2017, the Company held 1,134,120 shares in Treasury stock and 92,350 unvested shares of restricted stock. On January 18, 2019 the Company announced the authorization by its Board of Directors for the Company’s repurchase, either on the open market, or in privately negotiated transactions, of up to 500,000 shares of its outstanding common stock commencing January 18, 2019 and ending December 31, 2019. The Company has a history of approving a similar resolution to be in effect each year for at least the last five years.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continues to have a strong capital base and maintains regulatory capital ratios that are above the defined regulatory capital ratios. At December 31, 2018, the Bank had total risk-based capital ratio of 13.45%. Core capital to risk-based asset ratio of 12.67% for the Bank, is well in excess of regulatory guidelines. The Bank’s leverage ratio of 10.54% is also substantially in excess of regulatory guidelines. Under Basel III, the common equity Tier 1 Capital to risk-weighted assets ratio is also well above the required 4.50% and the 6.50% well capitalized levels with the Bank at 12.67%. As a result of the passage of the Economic Growth, Regulatory Relief and Consumer Protection Act (EGRRCPA) in 2018, the Company is no longer subject to regulatory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color w:val="auto"/>
        </w:rPr>
        <w:t>capital ratio requirements as long as its total consolidating assets are less than $3.0 billion. For further discussion and analysis of regulatory capital requirements, refer to Note 15 of the Audited Financial Statements.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280" w:lineRule="exact"/>
        <w:rPr>
          <w:sz w:val="20"/>
          <w:szCs w:val="20"/>
          <w:color w:val="auto"/>
        </w:rPr>
      </w:pPr>
    </w:p>
    <w:p>
      <w:pPr>
        <w:ind w:right="4340"/>
        <w:spacing w:after="0" w:line="369" w:lineRule="auto"/>
        <w:rPr>
          <w:sz w:val="20"/>
          <w:szCs w:val="20"/>
          <w:color w:val="auto"/>
        </w:rPr>
      </w:pPr>
      <w:r>
        <w:rPr>
          <w:rFonts w:ascii="Arial" w:cs="Arial" w:eastAsia="Arial" w:hAnsi="Arial"/>
          <w:sz w:val="18"/>
          <w:szCs w:val="18"/>
          <w:b w:val="1"/>
          <w:bCs w:val="1"/>
          <w:u w:val="single" w:color="auto"/>
          <w:color w:val="auto"/>
        </w:rPr>
        <w:t xml:space="preserve">ITEM 7a. QUANTITATIVE AND QUALITATIVE DISCLOSURES ABOUT MARKET RISK </w:t>
      </w:r>
      <w:r>
        <w:rPr>
          <w:rFonts w:ascii="Arial" w:cs="Arial" w:eastAsia="Arial" w:hAnsi="Arial"/>
          <w:sz w:val="18"/>
          <w:szCs w:val="18"/>
          <w:b w:val="1"/>
          <w:bCs w:val="1"/>
          <w:color w:val="auto"/>
        </w:rPr>
        <w:t>Market Risk</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shocks presented below assume an immediate change of rate in the percentages and directions shown: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gridSpan w:val="4"/>
          </w:tcPr>
          <w:p>
            <w:pPr>
              <w:jc w:val="center"/>
              <w:ind w:right="300"/>
              <w:spacing w:after="0"/>
              <w:rPr>
                <w:sz w:val="20"/>
                <w:szCs w:val="20"/>
                <w:color w:val="auto"/>
              </w:rPr>
            </w:pPr>
            <w:r>
              <w:rPr>
                <w:rFonts w:ascii="Arial" w:cs="Arial" w:eastAsia="Arial" w:hAnsi="Arial"/>
                <w:sz w:val="18"/>
                <w:szCs w:val="18"/>
                <w:color w:val="auto"/>
                <w:w w:val="87"/>
              </w:rPr>
              <w:t>Interest Rate Shock on</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0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Interest Rate Shock on</w:t>
            </w:r>
          </w:p>
        </w:tc>
      </w:tr>
      <w:tr>
        <w:trPr>
          <w:trHeight w:val="224"/>
        </w:trPr>
        <w:tc>
          <w:tcPr>
            <w:tcW w:w="3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Net Interest Margin</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Net Interest Income</w:t>
            </w:r>
          </w:p>
        </w:tc>
        <w:tc>
          <w:tcPr>
            <w:tcW w:w="100" w:type="dxa"/>
            <w:vAlign w:val="bottom"/>
          </w:tcPr>
          <w:p>
            <w:pPr>
              <w:spacing w:after="0"/>
              <w:rPr>
                <w:sz w:val="19"/>
                <w:szCs w:val="19"/>
                <w:color w:val="auto"/>
              </w:rPr>
            </w:pPr>
          </w:p>
        </w:tc>
      </w:tr>
      <w:tr>
        <w:trPr>
          <w:trHeight w:val="217"/>
        </w:trPr>
        <w:tc>
          <w:tcPr>
            <w:tcW w:w="19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Net Interest</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 Change</w:t>
            </w:r>
          </w:p>
        </w:tc>
        <w:tc>
          <w:tcPr>
            <w:tcW w:w="194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Rate</w:t>
            </w: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Rate</w:t>
            </w:r>
          </w:p>
        </w:tc>
        <w:tc>
          <w:tcPr>
            <w:tcW w:w="1940" w:type="dxa"/>
            <w:vAlign w:val="bottom"/>
            <w:gridSpan w:val="2"/>
          </w:tcPr>
          <w:p>
            <w:pPr>
              <w:ind w:left="400"/>
              <w:spacing w:after="0"/>
              <w:rPr>
                <w:sz w:val="20"/>
                <w:szCs w:val="20"/>
                <w:color w:val="auto"/>
              </w:rPr>
            </w:pPr>
            <w:r>
              <w:rPr>
                <w:rFonts w:ascii="Arial" w:cs="Arial" w:eastAsia="Arial" w:hAnsi="Arial"/>
                <w:sz w:val="18"/>
                <w:szCs w:val="18"/>
                <w:color w:val="auto"/>
              </w:rPr>
              <w:t>Cumulative</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 Change</w:t>
            </w:r>
          </w:p>
        </w:tc>
      </w:tr>
      <w:tr>
        <w:trPr>
          <w:trHeight w:val="224"/>
        </w:trPr>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Margin (Ratio)</w:t>
            </w:r>
          </w:p>
        </w:tc>
        <w:tc>
          <w:tcPr>
            <w:tcW w:w="2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280" w:type="dxa"/>
            <w:vAlign w:val="bottom"/>
            <w:tcBorders>
              <w:bottom w:val="single" w:sz="8" w:color="CFF0FC"/>
            </w:tcBorders>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Direction</w:t>
            </w:r>
          </w:p>
        </w:tc>
        <w:tc>
          <w:tcPr>
            <w:tcW w:w="1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changes by</w:t>
            </w:r>
          </w:p>
        </w:tc>
        <w:tc>
          <w:tcPr>
            <w:tcW w:w="28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Total ($000)</w:t>
            </w:r>
          </w:p>
        </w:tc>
        <w:tc>
          <w:tcPr>
            <w:tcW w:w="300" w:type="dxa"/>
            <w:vAlign w:val="bottom"/>
            <w:tcBorders>
              <w:bottom w:val="single" w:sz="8" w:color="CFF0FC"/>
            </w:tcBorders>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to Flat Rate</w:t>
            </w:r>
          </w:p>
        </w:tc>
        <w:tc>
          <w:tcPr>
            <w:tcW w:w="100" w:type="dxa"/>
            <w:vAlign w:val="bottom"/>
            <w:tcBorders>
              <w:bottom w:val="single" w:sz="8" w:color="CFF0FC"/>
            </w:tcBorders>
          </w:tcPr>
          <w:p>
            <w:pPr>
              <w:spacing w:after="0"/>
              <w:rPr>
                <w:sz w:val="19"/>
                <w:szCs w:val="19"/>
                <w:color w:val="auto"/>
              </w:rPr>
            </w:pPr>
          </w:p>
        </w:tc>
      </w:tr>
      <w:tr>
        <w:trPr>
          <w:trHeight w:val="217"/>
        </w:trPr>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4.39%</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9.50%</w:t>
            </w:r>
          </w:p>
        </w:tc>
        <w:tc>
          <w:tcPr>
            <w:tcW w:w="28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3.00%</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45,237</w:t>
            </w:r>
          </w:p>
        </w:tc>
        <w:tc>
          <w:tcPr>
            <w:tcW w:w="30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9.56%</w:t>
            </w:r>
          </w:p>
        </w:tc>
        <w:tc>
          <w:tcPr>
            <w:tcW w:w="100" w:type="dxa"/>
            <w:vAlign w:val="bottom"/>
            <w:shd w:val="clear" w:color="auto" w:fill="CFF0FC"/>
          </w:tcPr>
          <w:p>
            <w:pPr>
              <w:spacing w:after="0"/>
              <w:rPr>
                <w:sz w:val="18"/>
                <w:szCs w:val="18"/>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6"/>
              </w:rPr>
              <w:t>4.21%</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4.97%</w:t>
            </w:r>
          </w:p>
        </w:tc>
        <w:tc>
          <w:tcPr>
            <w:tcW w:w="28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80" w:type="dxa"/>
            <w:vAlign w:val="bottom"/>
          </w:tcPr>
          <w:p>
            <w:pPr>
              <w:spacing w:after="0"/>
              <w:rPr>
                <w:sz w:val="19"/>
                <w:szCs w:val="19"/>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43,351</w:t>
            </w:r>
          </w:p>
        </w:tc>
        <w:tc>
          <w:tcPr>
            <w:tcW w:w="3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4.99%</w:t>
            </w:r>
          </w:p>
        </w:tc>
        <w:tc>
          <w:tcPr>
            <w:tcW w:w="100" w:type="dxa"/>
            <w:vAlign w:val="bottom"/>
          </w:tcPr>
          <w:p>
            <w:pPr>
              <w:spacing w:after="0"/>
              <w:rPr>
                <w:sz w:val="19"/>
                <w:szCs w:val="19"/>
                <w:color w:val="auto"/>
              </w:rPr>
            </w:pPr>
          </w:p>
        </w:tc>
      </w:tr>
      <w:tr>
        <w:trPr>
          <w:trHeight w:val="224"/>
        </w:trPr>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4.03%</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0.44%</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1"/>
              </w:rPr>
              <w:t>Rising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41,469</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0.43%</w:t>
            </w:r>
          </w:p>
        </w:tc>
        <w:tc>
          <w:tcPr>
            <w:tcW w:w="100" w:type="dxa"/>
            <w:vAlign w:val="bottom"/>
            <w:shd w:val="clear" w:color="auto" w:fill="CFF0FC"/>
          </w:tcPr>
          <w:p>
            <w:pPr>
              <w:spacing w:after="0"/>
              <w:rPr>
                <w:sz w:val="19"/>
                <w:szCs w:val="19"/>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6"/>
              </w:rPr>
              <w:t>4.01%</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Flat</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280" w:type="dxa"/>
            <w:vAlign w:val="bottom"/>
          </w:tcPr>
          <w:p>
            <w:pPr>
              <w:spacing w:after="0"/>
              <w:rPr>
                <w:sz w:val="19"/>
                <w:szCs w:val="19"/>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41,290</w:t>
            </w:r>
          </w:p>
        </w:tc>
        <w:tc>
          <w:tcPr>
            <w:tcW w:w="3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6"/>
              </w:rPr>
              <w:t>0.00%</w:t>
            </w:r>
          </w:p>
        </w:tc>
        <w:tc>
          <w:tcPr>
            <w:tcW w:w="100" w:type="dxa"/>
            <w:vAlign w:val="bottom"/>
          </w:tcPr>
          <w:p>
            <w:pPr>
              <w:spacing w:after="0"/>
              <w:rPr>
                <w:sz w:val="19"/>
                <w:szCs w:val="19"/>
                <w:color w:val="auto"/>
              </w:rPr>
            </w:pPr>
          </w:p>
        </w:tc>
      </w:tr>
      <w:tr>
        <w:trPr>
          <w:trHeight w:val="224"/>
        </w:trPr>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3.78%</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-5.59%</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38,977</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-5.60%</w:t>
            </w:r>
          </w:p>
        </w:tc>
        <w:tc>
          <w:tcPr>
            <w:tcW w:w="100" w:type="dxa"/>
            <w:vAlign w:val="bottom"/>
            <w:shd w:val="clear" w:color="auto" w:fill="CFF0FC"/>
          </w:tcPr>
          <w:p>
            <w:pPr>
              <w:spacing w:after="0"/>
              <w:rPr>
                <w:sz w:val="19"/>
                <w:szCs w:val="19"/>
                <w:color w:val="auto"/>
              </w:rPr>
            </w:pPr>
          </w:p>
        </w:tc>
      </w:tr>
      <w:tr>
        <w:trPr>
          <w:trHeight w:val="224"/>
        </w:trPr>
        <w:tc>
          <w:tcPr>
            <w:tcW w:w="1660" w:type="dxa"/>
            <w:vAlign w:val="bottom"/>
          </w:tcPr>
          <w:p>
            <w:pPr>
              <w:jc w:val="center"/>
              <w:spacing w:after="0"/>
              <w:rPr>
                <w:sz w:val="20"/>
                <w:szCs w:val="20"/>
                <w:color w:val="auto"/>
              </w:rPr>
            </w:pPr>
            <w:r>
              <w:rPr>
                <w:rFonts w:ascii="Arial" w:cs="Arial" w:eastAsia="Arial" w:hAnsi="Arial"/>
                <w:sz w:val="18"/>
                <w:szCs w:val="18"/>
                <w:color w:val="auto"/>
                <w:w w:val="86"/>
              </w:rPr>
              <w:t>3.65%</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-8.95%</w:t>
            </w:r>
          </w:p>
        </w:tc>
        <w:tc>
          <w:tcPr>
            <w:tcW w:w="28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tcPr>
          <w:p>
            <w:pPr>
              <w:jc w:val="center"/>
              <w:spacing w:after="0"/>
              <w:rPr>
                <w:sz w:val="20"/>
                <w:szCs w:val="20"/>
                <w:color w:val="auto"/>
              </w:rPr>
            </w:pPr>
            <w:r>
              <w:rPr>
                <w:rFonts w:ascii="Arial" w:cs="Arial" w:eastAsia="Arial" w:hAnsi="Arial"/>
                <w:sz w:val="18"/>
                <w:szCs w:val="18"/>
                <w:color w:val="auto"/>
                <w:w w:val="87"/>
              </w:rPr>
              <w:t>-2.00%</w:t>
            </w:r>
          </w:p>
        </w:tc>
        <w:tc>
          <w:tcPr>
            <w:tcW w:w="280" w:type="dxa"/>
            <w:vAlign w:val="bottom"/>
          </w:tcPr>
          <w:p>
            <w:pPr>
              <w:spacing w:after="0"/>
              <w:rPr>
                <w:sz w:val="19"/>
                <w:szCs w:val="19"/>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37,588</w:t>
            </w:r>
          </w:p>
        </w:tc>
        <w:tc>
          <w:tcPr>
            <w:tcW w:w="3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-8.97%</w:t>
            </w:r>
          </w:p>
        </w:tc>
        <w:tc>
          <w:tcPr>
            <w:tcW w:w="100" w:type="dxa"/>
            <w:vAlign w:val="bottom"/>
          </w:tcPr>
          <w:p>
            <w:pPr>
              <w:spacing w:after="0"/>
              <w:rPr>
                <w:sz w:val="19"/>
                <w:szCs w:val="19"/>
                <w:color w:val="auto"/>
              </w:rPr>
            </w:pPr>
          </w:p>
        </w:tc>
      </w:tr>
      <w:tr>
        <w:trPr>
          <w:trHeight w:val="224"/>
        </w:trPr>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3.49%</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-12.98%</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Falling</w:t>
            </w: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-3.00%</w:t>
            </w:r>
          </w:p>
        </w:tc>
        <w:tc>
          <w:tcPr>
            <w:tcW w:w="28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rPr>
              <w:t>35,921</w:t>
            </w:r>
          </w:p>
        </w:tc>
        <w:tc>
          <w:tcPr>
            <w:tcW w:w="300" w:type="dxa"/>
            <w:vAlign w:val="bottom"/>
            <w:shd w:val="clear" w:color="auto" w:fill="CFF0FC"/>
          </w:tcPr>
          <w:p>
            <w:pPr>
              <w:spacing w:after="0"/>
              <w:rPr>
                <w:sz w:val="19"/>
                <w:szCs w:val="19"/>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-13.00%</w:t>
            </w:r>
          </w:p>
        </w:tc>
        <w:tc>
          <w:tcPr>
            <w:tcW w:w="10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shock chart currently shows a widening in net interest margin over the next twelve months in an increasing rate environment and a tightening in a falling rate environment. Due to nine rate increases since December 2015, the model predicts an expansion in a rising rate environment. The 200 and 300 basis rising rates scenarios are predicted to expand the net interest margin and produce higher levels of net interest income. This would indicate that the assets yield is predicted to increase faster than the cost of funds will rise. The Bank continues to enhance its use of the software model and performs additional stress tests whose results management and the director’s review. </w:t>
      </w:r>
      <w:r>
        <w:rPr>
          <w:rFonts w:ascii="Arial" w:cs="Arial" w:eastAsia="Arial" w:hAnsi="Arial"/>
          <w:sz w:val="18"/>
          <w:szCs w:val="18"/>
          <w:color w:val="auto"/>
        </w:rPr>
        <w:t>The Bank also monitors and adjusts the assumptions for decay rates and key rate ties on certain deposit accounts</w:t>
      </w:r>
      <w:r>
        <w:rPr>
          <w:rFonts w:ascii="Arial" w:cs="Arial" w:eastAsia="Arial" w:hAnsi="Arial"/>
          <w:sz w:val="17"/>
          <w:szCs w:val="17"/>
          <w:color w:val="auto"/>
        </w:rPr>
        <w:t xml:space="preserve"> </w:t>
      </w:r>
      <w:r>
        <w:rPr>
          <w:rFonts w:ascii="Arial" w:cs="Arial" w:eastAsia="Arial" w:hAnsi="Arial"/>
          <w:sz w:val="18"/>
          <w:szCs w:val="18"/>
          <w:color w:val="auto"/>
        </w:rPr>
        <w:t xml:space="preserve">and continues to review and modify those rates as the index rates change. </w:t>
      </w:r>
      <w:r>
        <w:rPr>
          <w:rFonts w:ascii="Arial" w:cs="Arial" w:eastAsia="Arial" w:hAnsi="Arial"/>
          <w:sz w:val="16"/>
          <w:szCs w:val="16"/>
          <w:color w:val="auto"/>
        </w:rPr>
        <w:t>Both directional changes are well within risk exposure guidelines. The effect of the</w:t>
      </w:r>
      <w:r>
        <w:rPr>
          <w:rFonts w:ascii="Arial" w:cs="Arial" w:eastAsia="Arial" w:hAnsi="Arial"/>
          <w:sz w:val="18"/>
          <w:szCs w:val="18"/>
          <w:color w:val="auto"/>
        </w:rPr>
        <w:t xml:space="preserve"> </w:t>
      </w:r>
      <w:r>
        <w:rPr>
          <w:rFonts w:ascii="Arial" w:cs="Arial" w:eastAsia="Arial" w:hAnsi="Arial"/>
          <w:sz w:val="16"/>
          <w:szCs w:val="16"/>
          <w:color w:val="auto"/>
        </w:rPr>
        <w:t>rate shocks may be mitigated to the extent that not all lines of business are directly tied to an external index and actual balance sheet composition may differ from prediction.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ITEM 8.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December 31, 2018 and 2017.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years ended December 31, 2018, 2017 and 2016.</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Comprehensive Income for the years ended December 31, 2018, 2017 and 2016.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Consolidated Statements of Changes to Shareholders’ Equity for the years ended December 31, 2018, 2017 and 2016.</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 for the years ended December 31, 2018, 2017 and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219"/>
          </w:cols>
          <w:pgMar w:left="240" w:top="648" w:right="1440" w:bottom="1440" w:gutter="0" w:footer="0" w:header="0"/>
        </w:sectPr>
      </w:pPr>
    </w:p>
    <w:bookmarkStart w:id="41" w:name="page42"/>
    <w:bookmarkEnd w:id="41"/>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490220</wp:posOffset>
            </wp:positionV>
            <wp:extent cx="5610860" cy="618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610860" cy="6184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audited the accompanying consolidated balance sheets of Farmers &amp; Merchants Bancorp, Inc. (Company) as of December 31, 2018 and 2017, the related consolidated statements of income, comprehensive income, changes to stockholders' equity and cash flows for each of the years in the three-year period ended December 31, 2018, and the related notes (collectively referred to as the financial statements). In our opinion, the consolidated financial statements referred to above present fairly, in all material respects, the financial position of the Company as of December 31, 2018 and 2017, and the results of its operations and its cash flows for each of the years in the three-year period ended</w:t>
      </w:r>
    </w:p>
    <w:p>
      <w:pPr>
        <w:spacing w:after="0"/>
        <w:rPr>
          <w:sz w:val="20"/>
          <w:szCs w:val="20"/>
          <w:color w:val="auto"/>
        </w:rPr>
      </w:pPr>
      <w:r>
        <w:rPr>
          <w:rFonts w:ascii="Arial" w:cs="Arial" w:eastAsia="Arial" w:hAnsi="Arial"/>
          <w:sz w:val="18"/>
          <w:szCs w:val="18"/>
          <w:color w:val="auto"/>
        </w:rPr>
        <w:t>December 31, 2018, in conformity with accounting principles generally accepted in the United States of America.</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December 31, 2018, based on established in </w:t>
      </w:r>
      <w:r>
        <w:rPr>
          <w:rFonts w:ascii="Arial" w:cs="Arial" w:eastAsia="Arial" w:hAnsi="Arial"/>
          <w:sz w:val="18"/>
          <w:szCs w:val="18"/>
          <w:i w:val="1"/>
          <w:iCs w:val="1"/>
          <w:color w:val="auto"/>
        </w:rPr>
        <w:t>2013 Internal Control-Integrated Framework issued by the Committee of Sponsoring Organizations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Treadway Commission </w:t>
      </w:r>
      <w:r>
        <w:rPr>
          <w:rFonts w:ascii="Arial" w:cs="Arial" w:eastAsia="Arial" w:hAnsi="Arial"/>
          <w:sz w:val="18"/>
          <w:szCs w:val="18"/>
          <w:color w:val="auto"/>
        </w:rPr>
        <w:t>and our report dated February 27, 2019, expressed an unqualified opinion on the effectiveness of the Company’s internal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BKD, </w:t>
      </w:r>
      <w:r>
        <w:rPr>
          <w:rFonts w:ascii="Arial" w:cs="Arial" w:eastAsia="Arial" w:hAnsi="Arial"/>
          <w:sz w:val="14"/>
          <w:szCs w:val="14"/>
          <w:b w:val="1"/>
          <w:bCs w:val="1"/>
          <w:color w:val="auto"/>
        </w:rPr>
        <w:t>LLP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995045" cy="292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9504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2" w:name="page43"/>
    <w:bookmarkEnd w:id="42"/>
    <w:p>
      <w:pPr>
        <w:jc w:val="both"/>
        <w:spacing w:after="0" w:line="256" w:lineRule="auto"/>
        <w:rPr>
          <w:sz w:val="20"/>
          <w:szCs w:val="20"/>
          <w:color w:val="auto"/>
        </w:rPr>
      </w:pPr>
      <w:r>
        <w:rPr>
          <w:sz w:val="1"/>
          <w:szCs w:val="1"/>
          <w:color w:val="auto"/>
        </w:rPr>
        <w:drawing>
          <wp:inline distT="0" distB="0" distL="0" distR="0">
            <wp:extent cx="5636260" cy="63563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36260" cy="635635"/>
                    </a:xfrm>
                    <a:prstGeom prst="rect">
                      <a:avLst/>
                    </a:prstGeom>
                    <a:noFill/>
                    <a:ln>
                      <a:noFill/>
                    </a:ln>
                  </pic:spPr>
                </pic:pic>
              </a:graphicData>
            </a:graphic>
          </wp:inline>
        </w:drawing>
      </w:r>
      <w:r>
        <w:rPr>
          <w:rFonts w:ascii="Arial" w:cs="Arial" w:eastAsia="Arial" w:hAnsi="Arial"/>
          <w:sz w:val="19"/>
          <w:szCs w:val="19"/>
          <w:b w:val="1"/>
          <w:bCs w:val="1"/>
          <w:color w:val="auto"/>
        </w:rPr>
        <w:t>Report</w:t>
      </w:r>
      <w:r>
        <w:rPr>
          <w:sz w:val="20"/>
          <w:szCs w:val="20"/>
          <w:color w:val="auto"/>
        </w:rPr>
        <w:t xml:space="preserve"> </w:t>
      </w:r>
      <w:r>
        <w:rPr>
          <w:rFonts w:ascii="Arial" w:cs="Arial" w:eastAsia="Arial" w:hAnsi="Arial"/>
          <w:sz w:val="19"/>
          <w:szCs w:val="19"/>
          <w:b w:val="1"/>
          <w:bCs w:val="1"/>
          <w:color w:val="auto"/>
        </w:rPr>
        <w:t>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Board of Directors and Audit Committee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Archbold, Ohio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 xml:space="preserve">We have audited Farmers &amp; Merchants Bancorp, Inc.'s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 issued by the Committee of Sponsoring Organizations of the Treadway Commission</w:t>
      </w:r>
      <w:r>
        <w:rPr>
          <w:rFonts w:ascii="Arial" w:cs="Arial" w:eastAsia="Arial" w:hAnsi="Arial"/>
          <w:sz w:val="16"/>
          <w:szCs w:val="16"/>
          <w:color w:val="auto"/>
        </w:rPr>
        <w:t xml:space="preserve"> (COSO).</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 issued by COSO</w:t>
      </w:r>
      <w:r>
        <w:rPr>
          <w:rFonts w:ascii="Arial" w:cs="Arial" w:eastAsia="Arial" w:hAnsi="Arial"/>
          <w:sz w:val="18"/>
          <w:szCs w:val="18"/>
          <w:color w:val="auto"/>
        </w:rPr>
        <w:t>.</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and our report dated February 27, 2019, expressed an unqualified opinion.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8"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 and Limitations of Internal Control Over Financial Reporting</w:t>
      </w:r>
    </w:p>
    <w:p>
      <w:pPr>
        <w:spacing w:after="0" w:line="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BKD, </w:t>
      </w:r>
      <w:r>
        <w:rPr>
          <w:rFonts w:ascii="Arial" w:cs="Arial" w:eastAsia="Arial" w:hAnsi="Arial"/>
          <w:sz w:val="14"/>
          <w:szCs w:val="14"/>
          <w:b w:val="1"/>
          <w:bCs w:val="1"/>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62865</wp:posOffset>
            </wp:positionV>
            <wp:extent cx="995045" cy="292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95045"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Fort Wayne, Indiana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83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4"/>
        </w:trPr>
        <w:tc>
          <w:tcPr>
            <w:tcW w:w="8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Consolidated Balance Sheets</w:t>
            </w:r>
          </w:p>
        </w:tc>
      </w:tr>
      <w:tr>
        <w:trPr>
          <w:trHeight w:val="211"/>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December 31, 2018 and 2017</w:t>
            </w:r>
          </w:p>
        </w:tc>
      </w:tr>
      <w:tr>
        <w:trPr>
          <w:trHeight w:val="228"/>
        </w:trPr>
        <w:tc>
          <w:tcPr>
            <w:tcW w:w="8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3"/>
              </w:rPr>
              <w:t>(000’s Omitted, Except Share Data)</w:t>
            </w:r>
          </w:p>
        </w:tc>
      </w:tr>
      <w:tr>
        <w:trPr>
          <w:trHeight w:val="435"/>
        </w:trPr>
        <w:tc>
          <w:tcPr>
            <w:tcW w:w="836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24"/>
                <w:szCs w:val="24"/>
                <w:color w:val="auto"/>
              </w:rPr>
            </w:pPr>
          </w:p>
        </w:tc>
      </w:tr>
      <w:tr>
        <w:trPr>
          <w:trHeight w:val="217"/>
        </w:trPr>
        <w:tc>
          <w:tcPr>
            <w:tcW w:w="8360" w:type="dxa"/>
            <w:vAlign w:val="bottom"/>
            <w:shd w:val="clear" w:color="auto" w:fill="CFF0FC"/>
          </w:tcPr>
          <w:p>
            <w:pPr>
              <w:ind w:left="384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due from banks</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37,492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33,480</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Federal funds sold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FF0FC"/>
            </w:tcBorders>
          </w:tcPr>
          <w:p>
            <w:pPr>
              <w:spacing w:after="0"/>
              <w:rPr>
                <w:sz w:val="19"/>
                <w:szCs w:val="19"/>
                <w:color w:val="auto"/>
              </w:rPr>
            </w:pPr>
          </w:p>
        </w:tc>
      </w:tr>
      <w:tr>
        <w:trPr>
          <w:trHeight w:val="217"/>
        </w:trPr>
        <w:tc>
          <w:tcPr>
            <w:tcW w:w="8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38,365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34,467</w:t>
            </w: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Interest-bearing time deposits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Securities - available-for-sale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196,398</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Other securities, at cost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3,679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Loans, net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839,599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816,156</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Mortgage servicing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2,299</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real estate owned</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Bank owned life insurance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14,884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14,523</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17,001</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7,774</w:t>
            </w:r>
          </w:p>
        </w:tc>
        <w:tc>
          <w:tcPr>
            <w:tcW w:w="100" w:type="dxa"/>
            <w:vAlign w:val="bottom"/>
            <w:shd w:val="clear" w:color="auto" w:fill="CFF0FC"/>
          </w:tcPr>
          <w:p>
            <w:pPr>
              <w:spacing w:after="0"/>
              <w:rPr>
                <w:sz w:val="19"/>
                <w:szCs w:val="19"/>
                <w:color w:val="auto"/>
              </w:rPr>
            </w:pPr>
          </w:p>
        </w:tc>
      </w:tr>
      <w:tr>
        <w:trPr>
          <w:trHeight w:val="257"/>
        </w:trPr>
        <w:tc>
          <w:tcPr>
            <w:tcW w:w="83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1,116,163</w:t>
            </w:r>
          </w:p>
        </w:tc>
        <w:tc>
          <w:tcPr>
            <w:tcW w:w="3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1,107,009</w:t>
            </w:r>
          </w:p>
        </w:tc>
        <w:tc>
          <w:tcPr>
            <w:tcW w:w="100" w:type="dxa"/>
            <w:vAlign w:val="bottom"/>
            <w:tcBorders>
              <w:bottom w:val="single" w:sz="8" w:color="CFF0FC"/>
            </w:tcBorders>
          </w:tcPr>
          <w:p>
            <w:pPr>
              <w:spacing w:after="0"/>
              <w:rPr>
                <w:sz w:val="22"/>
                <w:szCs w:val="22"/>
                <w:color w:val="auto"/>
              </w:rPr>
            </w:pPr>
          </w:p>
        </w:tc>
      </w:tr>
      <w:tr>
        <w:trPr>
          <w:trHeight w:val="204"/>
        </w:trPr>
        <w:tc>
          <w:tcPr>
            <w:tcW w:w="8360" w:type="dxa"/>
            <w:vAlign w:val="bottom"/>
            <w:shd w:val="clear" w:color="auto" w:fill="CFF0FC"/>
          </w:tcPr>
          <w:p>
            <w:pPr>
              <w:ind w:left="27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480"/>
              <w:spacing w:after="0"/>
              <w:rPr>
                <w:sz w:val="20"/>
                <w:szCs w:val="20"/>
                <w:color w:val="auto"/>
              </w:rPr>
            </w:pPr>
            <w:r>
              <w:rPr>
                <w:rFonts w:ascii="Arial" w:cs="Arial" w:eastAsia="Arial" w:hAnsi="Arial"/>
                <w:sz w:val="18"/>
                <w:szCs w:val="18"/>
                <w:color w:val="auto"/>
              </w:rPr>
              <w:t>Noninterest-bearing</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215,422</w:t>
            </w:r>
          </w:p>
        </w:tc>
        <w:tc>
          <w:tcPr>
            <w:tcW w:w="30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199,114</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Interest-bearing</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720"/>
              <w:spacing w:after="0"/>
              <w:rPr>
                <w:sz w:val="20"/>
                <w:szCs w:val="20"/>
                <w:color w:val="auto"/>
              </w:rPr>
            </w:pPr>
            <w:r>
              <w:rPr>
                <w:rFonts w:ascii="Arial" w:cs="Arial" w:eastAsia="Arial" w:hAnsi="Arial"/>
                <w:sz w:val="18"/>
                <w:szCs w:val="18"/>
                <w:color w:val="auto"/>
              </w:rPr>
              <w:t>NOW accounts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298,254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298,711</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Savings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227,701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233,949</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Time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187,413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187,566</w:t>
            </w:r>
          </w:p>
        </w:tc>
        <w:tc>
          <w:tcPr>
            <w:tcW w:w="100" w:type="dxa"/>
            <w:vAlign w:val="bottom"/>
            <w:tcBorders>
              <w:bottom w:val="single" w:sz="8" w:color="CFF0FC"/>
            </w:tcBorders>
          </w:tcPr>
          <w:p>
            <w:pPr>
              <w:spacing w:after="0"/>
              <w:rPr>
                <w:sz w:val="19"/>
                <w:szCs w:val="19"/>
                <w:color w:val="auto"/>
              </w:rPr>
            </w:pPr>
          </w:p>
        </w:tc>
      </w:tr>
      <w:tr>
        <w:trPr>
          <w:trHeight w:val="217"/>
        </w:trPr>
        <w:tc>
          <w:tcPr>
            <w:tcW w:w="8360" w:type="dxa"/>
            <w:vAlign w:val="bottom"/>
            <w:shd w:val="clear" w:color="auto" w:fill="CFF0FC"/>
          </w:tcPr>
          <w:p>
            <w:pPr>
              <w:ind w:left="960"/>
              <w:spacing w:after="0"/>
              <w:rPr>
                <w:sz w:val="20"/>
                <w:szCs w:val="20"/>
                <w:color w:val="auto"/>
              </w:rPr>
            </w:pPr>
            <w:r>
              <w:rPr>
                <w:rFonts w:ascii="Arial" w:cs="Arial" w:eastAsia="Arial" w:hAnsi="Arial"/>
                <w:sz w:val="18"/>
                <w:szCs w:val="18"/>
                <w:color w:val="auto"/>
              </w:rPr>
              <w:t>Total deposits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928,790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919,340</w:t>
            </w: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 agreement to repurchase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32,181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(FHLB) advances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FF0FC"/>
          </w:tcPr>
          <w:p>
            <w:pPr>
              <w:spacing w:after="0"/>
              <w:rPr>
                <w:sz w:val="19"/>
                <w:szCs w:val="19"/>
                <w:color w:val="auto"/>
              </w:rPr>
            </w:pPr>
          </w:p>
        </w:tc>
      </w:tr>
      <w:tr>
        <w:trPr>
          <w:trHeight w:val="217"/>
        </w:trPr>
        <w:tc>
          <w:tcPr>
            <w:tcW w:w="8360" w:type="dxa"/>
            <w:vAlign w:val="bottom"/>
            <w:tcBorders>
              <w:bottom w:val="single" w:sz="8" w:color="CFF0FC"/>
            </w:tcBorders>
          </w:tcPr>
          <w:p>
            <w:pPr>
              <w:ind w:left="9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972,876</w:t>
            </w:r>
          </w:p>
        </w:tc>
        <w:tc>
          <w:tcPr>
            <w:tcW w:w="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972,872</w:t>
            </w:r>
          </w:p>
        </w:tc>
        <w:tc>
          <w:tcPr>
            <w:tcW w:w="100" w:type="dxa"/>
            <w:vAlign w:val="bottom"/>
            <w:tcBorders>
              <w:bottom w:val="single" w:sz="8" w:color="CFF0FC"/>
            </w:tcBorders>
          </w:tcPr>
          <w:p>
            <w:pPr>
              <w:spacing w:after="0"/>
              <w:rPr>
                <w:sz w:val="18"/>
                <w:szCs w:val="18"/>
                <w:color w:val="auto"/>
              </w:rPr>
            </w:pPr>
          </w:p>
        </w:tc>
      </w:tr>
      <w:tr>
        <w:trPr>
          <w:trHeight w:val="217"/>
        </w:trPr>
        <w:tc>
          <w:tcPr>
            <w:tcW w:w="8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8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 No par value 20,000,000 shares authorized; issued and</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8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 10,400,000 shares 12/31/18 and 12/31/17</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Treasury stock - 1,114,739 shares 12/31/18, 1,134,120 shares 12/31/17</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(12,409)</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(12,160)</w:t>
            </w:r>
          </w:p>
        </w:tc>
      </w:tr>
      <w:tr>
        <w:trPr>
          <w:trHeight w:val="224"/>
        </w:trPr>
        <w:tc>
          <w:tcPr>
            <w:tcW w:w="8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147,887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136,577</w:t>
            </w:r>
          </w:p>
        </w:tc>
        <w:tc>
          <w:tcPr>
            <w:tcW w:w="100" w:type="dxa"/>
            <w:vAlign w:val="bottom"/>
            <w:shd w:val="clear" w:color="auto" w:fill="CFF0FC"/>
          </w:tcPr>
          <w:p>
            <w:pPr>
              <w:spacing w:after="0"/>
              <w:rPr>
                <w:sz w:val="19"/>
                <w:szCs w:val="19"/>
                <w:color w:val="auto"/>
              </w:rPr>
            </w:pPr>
          </w:p>
        </w:tc>
      </w:tr>
      <w:tr>
        <w:trPr>
          <w:trHeight w:val="224"/>
        </w:trPr>
        <w:tc>
          <w:tcPr>
            <w:tcW w:w="83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(3,014)</w:t>
            </w: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(1,826)</w:t>
            </w:r>
          </w:p>
        </w:tc>
      </w:tr>
      <w:tr>
        <w:trPr>
          <w:trHeight w:val="217"/>
        </w:trPr>
        <w:tc>
          <w:tcPr>
            <w:tcW w:w="8360" w:type="dxa"/>
            <w:vAlign w:val="bottom"/>
            <w:tcBorders>
              <w:top w:val="single" w:sz="8" w:color="CFF0FC"/>
            </w:tcBorders>
            <w:shd w:val="clear" w:color="auto" w:fill="CFF0FC"/>
          </w:tcPr>
          <w:p>
            <w:pPr>
              <w:ind w:left="9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143,287</w:t>
            </w:r>
          </w:p>
        </w:tc>
        <w:tc>
          <w:tcPr>
            <w:tcW w:w="3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134,137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1,116,163</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1,107,009</w:t>
            </w:r>
          </w:p>
        </w:tc>
        <w:tc>
          <w:tcPr>
            <w:tcW w:w="10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61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6"/>
          </w:tcPr>
          <w:p>
            <w:pPr>
              <w:jc w:val="right"/>
              <w:spacing w:after="0"/>
              <w:rPr>
                <w:sz w:val="20"/>
                <w:szCs w:val="20"/>
                <w:color w:val="auto"/>
              </w:rPr>
            </w:pPr>
            <w:r>
              <w:rPr>
                <w:rFonts w:ascii="Arial" w:cs="Arial" w:eastAsia="Arial" w:hAnsi="Arial"/>
                <w:sz w:val="18"/>
                <w:szCs w:val="18"/>
                <w:b w:val="1"/>
                <w:bCs w:val="1"/>
                <w:color w:val="auto"/>
                <w:w w:val="87"/>
              </w:rPr>
              <w:t>Consolidated Statements of Income</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9"/>
          </w:tcPr>
          <w:p>
            <w:pPr>
              <w:jc w:val="right"/>
              <w:spacing w:after="0"/>
              <w:rPr>
                <w:sz w:val="20"/>
                <w:szCs w:val="20"/>
                <w:color w:val="auto"/>
              </w:rPr>
            </w:pPr>
            <w:r>
              <w:rPr>
                <w:rFonts w:ascii="Arial" w:cs="Arial" w:eastAsia="Arial" w:hAnsi="Arial"/>
                <w:sz w:val="18"/>
                <w:szCs w:val="18"/>
                <w:b w:val="1"/>
                <w:bCs w:val="1"/>
                <w:color w:val="auto"/>
                <w:w w:val="94"/>
              </w:rPr>
              <w:t>Years Ended December 31, 2018, 2017 and 2016</w:t>
            </w:r>
          </w:p>
        </w:tc>
        <w:tc>
          <w:tcPr>
            <w:tcW w:w="0" w:type="dxa"/>
            <w:vAlign w:val="bottom"/>
          </w:tcPr>
          <w:p>
            <w:pPr>
              <w:spacing w:after="0"/>
              <w:rPr>
                <w:sz w:val="1"/>
                <w:szCs w:val="1"/>
                <w:color w:val="auto"/>
              </w:rPr>
            </w:pPr>
          </w:p>
        </w:tc>
      </w:tr>
      <w:tr>
        <w:trPr>
          <w:trHeight w:val="228"/>
        </w:trPr>
        <w:tc>
          <w:tcPr>
            <w:tcW w:w="6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80" w:type="dxa"/>
            <w:vAlign w:val="bottom"/>
            <w:gridSpan w:val="9"/>
          </w:tcPr>
          <w:p>
            <w:pPr>
              <w:jc w:val="right"/>
              <w:ind w:right="40"/>
              <w:spacing w:after="0"/>
              <w:rPr>
                <w:sz w:val="20"/>
                <w:szCs w:val="20"/>
                <w:color w:val="auto"/>
              </w:rPr>
            </w:pPr>
            <w:r>
              <w:rPr>
                <w:rFonts w:ascii="Arial" w:cs="Arial" w:eastAsia="Arial" w:hAnsi="Arial"/>
                <w:sz w:val="18"/>
                <w:szCs w:val="18"/>
                <w:b w:val="1"/>
                <w:bCs w:val="1"/>
                <w:color w:val="auto"/>
              </w:rPr>
              <w:t>(000’s Omitted, Except Per Share Data)</w:t>
            </w:r>
          </w:p>
        </w:tc>
        <w:tc>
          <w:tcPr>
            <w:tcW w:w="0" w:type="dxa"/>
            <w:vAlign w:val="bottom"/>
          </w:tcPr>
          <w:p>
            <w:pPr>
              <w:spacing w:after="0"/>
              <w:rPr>
                <w:sz w:val="1"/>
                <w:szCs w:val="1"/>
                <w:color w:val="auto"/>
              </w:rPr>
            </w:pPr>
          </w:p>
        </w:tc>
      </w:tr>
      <w:tr>
        <w:trPr>
          <w:trHeight w:val="435"/>
        </w:trPr>
        <w:tc>
          <w:tcPr>
            <w:tcW w:w="6160" w:type="dxa"/>
            <w:vAlign w:val="bottom"/>
            <w:tcBorders>
              <w:bottom w:val="single" w:sz="8" w:color="CFF0FC"/>
            </w:tcBorders>
          </w:tcPr>
          <w:p>
            <w:pPr>
              <w:spacing w:after="0"/>
              <w:rPr>
                <w:sz w:val="24"/>
                <w:szCs w:val="24"/>
                <w:color w:val="auto"/>
              </w:rPr>
            </w:pPr>
          </w:p>
        </w:tc>
        <w:tc>
          <w:tcPr>
            <w:tcW w:w="11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Loans, including fees</w:t>
            </w:r>
          </w:p>
        </w:tc>
        <w:tc>
          <w:tcPr>
            <w:tcW w:w="13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42,303</w:t>
            </w:r>
          </w:p>
        </w:tc>
        <w:tc>
          <w:tcPr>
            <w:tcW w:w="180" w:type="dxa"/>
            <w:vAlign w:val="bottom"/>
          </w:tcPr>
          <w:p>
            <w:pPr>
              <w:spacing w:after="0"/>
              <w:rPr>
                <w:sz w:val="19"/>
                <w:szCs w:val="19"/>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37,195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Debt securities: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720"/>
              <w:spacing w:after="0"/>
              <w:rPr>
                <w:sz w:val="20"/>
                <w:szCs w:val="20"/>
                <w:color w:val="auto"/>
              </w:rPr>
            </w:pPr>
            <w:r>
              <w:rPr>
                <w:rFonts w:ascii="Arial" w:cs="Arial" w:eastAsia="Arial" w:hAnsi="Arial"/>
                <w:sz w:val="18"/>
                <w:szCs w:val="18"/>
                <w:color w:val="auto"/>
              </w:rPr>
              <w:t>U.S. Treasury and government agencies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Municipalities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Dividends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 funds sold and other</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720"/>
              <w:spacing w:after="0"/>
              <w:rPr>
                <w:sz w:val="20"/>
                <w:szCs w:val="20"/>
                <w:color w:val="auto"/>
              </w:rPr>
            </w:pPr>
            <w:r>
              <w:rPr>
                <w:rFonts w:ascii="Arial" w:cs="Arial" w:eastAsia="Arial" w:hAnsi="Arial"/>
                <w:sz w:val="18"/>
                <w:szCs w:val="18"/>
                <w:color w:val="auto"/>
              </w:rPr>
              <w:t>Total interest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Deposits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4,483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Federal funds purchased and securities sold under agreements to</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repurchase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Borrowed funds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interest expense</w:t>
            </w:r>
          </w:p>
        </w:tc>
        <w:tc>
          <w:tcPr>
            <w:tcW w:w="1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5,127</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b w:val="1"/>
                <w:bCs w:val="1"/>
                <w:color w:val="auto"/>
              </w:rPr>
              <w:t>Net Interest Income Before Provision for Loan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36,121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 for Loan Losses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Income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Customer service fees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service charges and fees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Net gain on sale of loans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gain (loss) on sale of available-for-sale securities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60" w:type="dxa"/>
            <w:vAlign w:val="bottom"/>
          </w:tcPr>
          <w:p>
            <w:pPr>
              <w:ind w:left="720"/>
              <w:spacing w:after="0"/>
              <w:rPr>
                <w:sz w:val="20"/>
                <w:szCs w:val="20"/>
                <w:color w:val="auto"/>
              </w:rPr>
            </w:pPr>
            <w:r>
              <w:rPr>
                <w:rFonts w:ascii="Arial" w:cs="Arial" w:eastAsia="Arial" w:hAnsi="Arial"/>
                <w:sz w:val="18"/>
                <w:szCs w:val="18"/>
                <w:color w:val="auto"/>
              </w:rPr>
              <w:t>Total noninterest income</w:t>
            </w:r>
          </w:p>
        </w:tc>
        <w:tc>
          <w:tcPr>
            <w:tcW w:w="1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10,735</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Noninterest Expense</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Salaries and wages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Employee benefits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Net occupancy expense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Furniture and equipment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Data processing</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Franchise taxes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ATM expense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Advertising</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Net loss on sale of other assets owned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FDIC assessment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Pr>
          <w:p>
            <w:pPr>
              <w:ind w:left="480"/>
              <w:spacing w:after="0"/>
              <w:rPr>
                <w:sz w:val="20"/>
                <w:szCs w:val="20"/>
                <w:color w:val="auto"/>
              </w:rPr>
            </w:pPr>
            <w:r>
              <w:rPr>
                <w:rFonts w:ascii="Arial" w:cs="Arial" w:eastAsia="Arial" w:hAnsi="Arial"/>
                <w:sz w:val="18"/>
                <w:szCs w:val="18"/>
                <w:color w:val="auto"/>
              </w:rPr>
              <w:t>Mortgage servicing rights amortization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Consulting fees</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1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general and administrative</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1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noninterest expense</w:t>
            </w:r>
          </w:p>
        </w:tc>
        <w:tc>
          <w:tcPr>
            <w:tcW w:w="1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28,731</w:t>
            </w:r>
          </w:p>
        </w:tc>
        <w:tc>
          <w:tcPr>
            <w:tcW w:w="2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14,949</w:t>
            </w:r>
          </w:p>
        </w:tc>
        <w:tc>
          <w:tcPr>
            <w:tcW w:w="180" w:type="dxa"/>
            <w:vAlign w:val="bottom"/>
          </w:tcPr>
          <w:p>
            <w:pPr>
              <w:spacing w:after="0"/>
              <w:rPr>
                <w:sz w:val="22"/>
                <w:szCs w:val="22"/>
                <w:color w:val="auto"/>
              </w:rPr>
            </w:pPr>
          </w:p>
        </w:tc>
        <w:tc>
          <w:tcPr>
            <w:tcW w:w="3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12,720</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616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160" w:type="dxa"/>
            <w:vAlign w:val="bottom"/>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140" w:type="dxa"/>
            <w:vAlign w:val="bottom"/>
          </w:tcPr>
          <w:p>
            <w:pPr>
              <w:spacing w:after="0"/>
              <w:rPr>
                <w:sz w:val="21"/>
                <w:szCs w:val="21"/>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1.38</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Dividends Declared</w:t>
            </w: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vMerge w:val="continue"/>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0.50</w:t>
            </w:r>
          </w:p>
        </w:tc>
        <w:tc>
          <w:tcPr>
            <w:tcW w:w="52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626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6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40" w:type="dxa"/>
            <w:vAlign w:val="bottom"/>
            <w:gridSpan w:val="9"/>
          </w:tcPr>
          <w:p>
            <w:pPr>
              <w:jc w:val="right"/>
              <w:spacing w:after="0"/>
              <w:rPr>
                <w:sz w:val="20"/>
                <w:szCs w:val="20"/>
                <w:color w:val="auto"/>
              </w:rPr>
            </w:pPr>
            <w:r>
              <w:rPr>
                <w:rFonts w:ascii="Arial" w:cs="Arial" w:eastAsia="Arial" w:hAnsi="Arial"/>
                <w:sz w:val="18"/>
                <w:szCs w:val="18"/>
                <w:b w:val="1"/>
                <w:bCs w:val="1"/>
                <w:color w:val="auto"/>
                <w:w w:val="87"/>
              </w:rPr>
              <w:t>Consolidated Statements of Comprehensive Income</w:t>
            </w:r>
          </w:p>
        </w:tc>
        <w:tc>
          <w:tcPr>
            <w:tcW w:w="0" w:type="dxa"/>
            <w:vAlign w:val="bottom"/>
          </w:tcPr>
          <w:p>
            <w:pPr>
              <w:spacing w:after="0"/>
              <w:rPr>
                <w:sz w:val="1"/>
                <w:szCs w:val="1"/>
                <w:color w:val="auto"/>
              </w:rPr>
            </w:pPr>
          </w:p>
        </w:tc>
      </w:tr>
      <w:tr>
        <w:trPr>
          <w:trHeight w:val="211"/>
        </w:trPr>
        <w:tc>
          <w:tcPr>
            <w:tcW w:w="6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40" w:type="dxa"/>
            <w:vAlign w:val="bottom"/>
            <w:gridSpan w:val="9"/>
          </w:tcPr>
          <w:p>
            <w:pPr>
              <w:jc w:val="right"/>
              <w:spacing w:after="0"/>
              <w:rPr>
                <w:sz w:val="20"/>
                <w:szCs w:val="20"/>
                <w:color w:val="auto"/>
              </w:rPr>
            </w:pPr>
            <w:r>
              <w:rPr>
                <w:rFonts w:ascii="Arial" w:cs="Arial" w:eastAsia="Arial" w:hAnsi="Arial"/>
                <w:sz w:val="18"/>
                <w:szCs w:val="18"/>
                <w:b w:val="1"/>
                <w:bCs w:val="1"/>
                <w:color w:val="auto"/>
                <w:w w:val="96"/>
              </w:rPr>
              <w:t>Years Ended December 31, 2018, 2017 and 2016</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2"/>
              </w:rPr>
              <w:t>(000’s Omitted)</w:t>
            </w:r>
          </w:p>
        </w:tc>
        <w:tc>
          <w:tcPr>
            <w:tcW w:w="0" w:type="dxa"/>
            <w:vAlign w:val="bottom"/>
          </w:tcPr>
          <w:p>
            <w:pPr>
              <w:spacing w:after="0"/>
              <w:rPr>
                <w:sz w:val="1"/>
                <w:szCs w:val="1"/>
                <w:color w:val="auto"/>
              </w:rPr>
            </w:pPr>
          </w:p>
        </w:tc>
      </w:tr>
      <w:tr>
        <w:trPr>
          <w:trHeight w:val="435"/>
        </w:trPr>
        <w:tc>
          <w:tcPr>
            <w:tcW w:w="6260" w:type="dxa"/>
            <w:vAlign w:val="bottom"/>
            <w:tcBorders>
              <w:bottom w:val="single" w:sz="8" w:color="CFF0FC"/>
            </w:tcBorders>
          </w:tcPr>
          <w:p>
            <w:pPr>
              <w:spacing w:after="0"/>
              <w:rPr>
                <w:sz w:val="24"/>
                <w:szCs w:val="24"/>
                <w:color w:val="auto"/>
              </w:rPr>
            </w:pPr>
          </w:p>
        </w:tc>
        <w:tc>
          <w:tcPr>
            <w:tcW w:w="104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28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220" w:type="dxa"/>
            <w:vAlign w:val="bottom"/>
            <w:gridSpan w:val="2"/>
            <w:shd w:val="clear" w:color="auto" w:fill="CFF0FC"/>
          </w:tcPr>
          <w:p>
            <w:pPr>
              <w:jc w:val="right"/>
              <w:ind w:right="23"/>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14,949</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1"/>
        </w:trPr>
        <w:tc>
          <w:tcPr>
            <w:tcW w:w="6260" w:type="dxa"/>
            <w:vAlign w:val="bottom"/>
          </w:tcPr>
          <w:p>
            <w:pPr>
              <w:ind w:left="240"/>
              <w:spacing w:after="0"/>
              <w:rPr>
                <w:sz w:val="20"/>
                <w:szCs w:val="20"/>
                <w:color w:val="auto"/>
              </w:rPr>
            </w:pPr>
            <w:r>
              <w:rPr>
                <w:rFonts w:ascii="Arial" w:cs="Arial" w:eastAsia="Arial" w:hAnsi="Arial"/>
                <w:sz w:val="18"/>
                <w:szCs w:val="18"/>
                <w:color w:val="auto"/>
              </w:rPr>
              <w:t>Reclassification adjustment for (gain) loss on sale of available-for-sale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ind w:left="380"/>
              <w:spacing w:after="0"/>
              <w:rPr>
                <w:sz w:val="20"/>
                <w:szCs w:val="20"/>
                <w:color w:val="auto"/>
              </w:rPr>
            </w:pPr>
            <w:r>
              <w:rPr>
                <w:rFonts w:ascii="Arial" w:cs="Arial" w:eastAsia="Arial" w:hAnsi="Arial"/>
                <w:sz w:val="18"/>
                <w:szCs w:val="18"/>
                <w:color w:val="auto"/>
              </w:rPr>
              <w:t>securities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unrealized gain (loss) on available-for-sale securities</w:t>
            </w: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24"/>
        </w:trPr>
        <w:tc>
          <w:tcPr>
            <w:tcW w:w="6260" w:type="dxa"/>
            <w:vAlign w:val="bottom"/>
          </w:tcPr>
          <w:p>
            <w:pPr>
              <w:ind w:left="240"/>
              <w:spacing w:after="0"/>
              <w:rPr>
                <w:sz w:val="20"/>
                <w:szCs w:val="20"/>
                <w:color w:val="auto"/>
              </w:rPr>
            </w:pPr>
            <w:r>
              <w:rPr>
                <w:rFonts w:ascii="Arial" w:cs="Arial" w:eastAsia="Arial" w:hAnsi="Arial"/>
                <w:sz w:val="18"/>
                <w:szCs w:val="18"/>
                <w:color w:val="auto"/>
              </w:rPr>
              <w:t>Tax expense (benefit)</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626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6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7"/>
        </w:trPr>
        <w:tc>
          <w:tcPr>
            <w:tcW w:w="62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249795"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795" cy="133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8"/>
        </w:trPr>
        <w:tc>
          <w:tcPr>
            <w:tcW w:w="494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gridSpan w:val="13"/>
          </w:tcPr>
          <w:p>
            <w:pPr>
              <w:jc w:val="right"/>
              <w:spacing w:after="0"/>
              <w:rPr>
                <w:sz w:val="20"/>
                <w:szCs w:val="20"/>
                <w:color w:val="auto"/>
              </w:rPr>
            </w:pPr>
            <w:r>
              <w:rPr>
                <w:rFonts w:ascii="Arial" w:cs="Arial" w:eastAsia="Arial" w:hAnsi="Arial"/>
                <w:sz w:val="18"/>
                <w:szCs w:val="18"/>
                <w:b w:val="1"/>
                <w:bCs w:val="1"/>
                <w:color w:val="auto"/>
                <w:w w:val="86"/>
              </w:rPr>
              <w:t>Consolidated Statements of Changes to Stockholder’s Equity</w:t>
            </w:r>
          </w:p>
        </w:tc>
        <w:tc>
          <w:tcPr>
            <w:tcW w:w="0" w:type="dxa"/>
            <w:vAlign w:val="bottom"/>
          </w:tcPr>
          <w:p>
            <w:pPr>
              <w:spacing w:after="0"/>
              <w:rPr>
                <w:sz w:val="1"/>
                <w:szCs w:val="1"/>
                <w:color w:val="auto"/>
              </w:rPr>
            </w:pPr>
          </w:p>
        </w:tc>
      </w:tr>
      <w:tr>
        <w:trPr>
          <w:trHeight w:val="211"/>
        </w:trPr>
        <w:tc>
          <w:tcPr>
            <w:tcW w:w="4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gridSpan w:val="11"/>
          </w:tcPr>
          <w:p>
            <w:pPr>
              <w:jc w:val="right"/>
              <w:spacing w:after="0"/>
              <w:rPr>
                <w:sz w:val="20"/>
                <w:szCs w:val="20"/>
                <w:color w:val="auto"/>
              </w:rPr>
            </w:pPr>
            <w:r>
              <w:rPr>
                <w:rFonts w:ascii="Arial" w:cs="Arial" w:eastAsia="Arial" w:hAnsi="Arial"/>
                <w:sz w:val="18"/>
                <w:szCs w:val="18"/>
                <w:b w:val="1"/>
                <w:bCs w:val="1"/>
                <w:color w:val="auto"/>
                <w:w w:val="89"/>
              </w:rPr>
              <w:t>For the Years Ended December 31, 2018, 2017 and 2016</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40" w:type="dxa"/>
            <w:vAlign w:val="bottom"/>
            <w:gridSpan w:val="8"/>
          </w:tcPr>
          <w:p>
            <w:pPr>
              <w:jc w:val="right"/>
              <w:spacing w:after="0"/>
              <w:rPr>
                <w:sz w:val="20"/>
                <w:szCs w:val="20"/>
                <w:color w:val="auto"/>
              </w:rPr>
            </w:pPr>
            <w:r>
              <w:rPr>
                <w:rFonts w:ascii="Arial" w:cs="Arial" w:eastAsia="Arial" w:hAnsi="Arial"/>
                <w:sz w:val="18"/>
                <w:szCs w:val="18"/>
                <w:b w:val="1"/>
                <w:bCs w:val="1"/>
                <w:color w:val="auto"/>
                <w:w w:val="96"/>
              </w:rPr>
              <w:t>(000’s Omitted, Except Per Share Data)</w:t>
            </w:r>
          </w:p>
        </w:tc>
        <w:tc>
          <w:tcPr>
            <w:tcW w:w="0" w:type="dxa"/>
            <w:vAlign w:val="bottom"/>
          </w:tcPr>
          <w:p>
            <w:pPr>
              <w:spacing w:after="0"/>
              <w:rPr>
                <w:sz w:val="1"/>
                <w:szCs w:val="1"/>
                <w:color w:val="auto"/>
              </w:rPr>
            </w:pPr>
          </w:p>
        </w:tc>
      </w:tr>
      <w:tr>
        <w:trPr>
          <w:trHeight w:val="435"/>
        </w:trPr>
        <w:tc>
          <w:tcPr>
            <w:tcW w:w="4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Accumulated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Shares of</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Other</w:t>
            </w:r>
          </w:p>
        </w:tc>
        <w:tc>
          <w:tcPr>
            <w:tcW w:w="16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494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Common</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Common</w:t>
            </w:r>
          </w:p>
        </w:tc>
        <w:tc>
          <w:tcPr>
            <w:tcW w:w="160" w:type="dxa"/>
            <w:vAlign w:val="bottom"/>
          </w:tcPr>
          <w:p>
            <w:pPr>
              <w:spacing w:after="0"/>
              <w:rPr>
                <w:sz w:val="19"/>
                <w:szCs w:val="19"/>
                <w:color w:val="auto"/>
              </w:rPr>
            </w:pPr>
          </w:p>
        </w:tc>
        <w:tc>
          <w:tcPr>
            <w:tcW w:w="1000" w:type="dxa"/>
            <w:vAlign w:val="bottom"/>
            <w:gridSpan w:val="3"/>
          </w:tcPr>
          <w:p>
            <w:pPr>
              <w:jc w:val="right"/>
              <w:ind w:right="320"/>
              <w:spacing w:after="0"/>
              <w:rPr>
                <w:sz w:val="20"/>
                <w:szCs w:val="20"/>
                <w:color w:val="auto"/>
              </w:rPr>
            </w:pPr>
            <w:r>
              <w:rPr>
                <w:rFonts w:ascii="Arial" w:cs="Arial" w:eastAsia="Arial" w:hAnsi="Arial"/>
                <w:sz w:val="18"/>
                <w:szCs w:val="18"/>
                <w:color w:val="auto"/>
                <w:w w:val="92"/>
              </w:rPr>
              <w:t>Treasury</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w w:val="94"/>
              </w:rPr>
              <w:t>Retained</w:t>
            </w:r>
          </w:p>
        </w:tc>
        <w:tc>
          <w:tcPr>
            <w:tcW w:w="132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60" w:type="dxa"/>
            <w:vAlign w:val="bottom"/>
            <w:gridSpan w:val="3"/>
          </w:tcPr>
          <w:p>
            <w:pPr>
              <w:spacing w:after="0"/>
              <w:rPr>
                <w:sz w:val="20"/>
                <w:szCs w:val="20"/>
                <w:color w:val="auto"/>
              </w:rPr>
            </w:pPr>
            <w:r>
              <w:rPr>
                <w:rFonts w:ascii="Arial" w:cs="Arial" w:eastAsia="Arial" w:hAnsi="Arial"/>
                <w:sz w:val="18"/>
                <w:szCs w:val="18"/>
                <w:color w:val="auto"/>
                <w:w w:val="96"/>
              </w:rPr>
              <w:t>Stockholders'</w:t>
            </w:r>
          </w:p>
        </w:tc>
        <w:tc>
          <w:tcPr>
            <w:tcW w:w="0" w:type="dxa"/>
            <w:vAlign w:val="bottom"/>
          </w:tcPr>
          <w:p>
            <w:pPr>
              <w:spacing w:after="0"/>
              <w:rPr>
                <w:sz w:val="1"/>
                <w:szCs w:val="1"/>
                <w:color w:val="auto"/>
              </w:rPr>
            </w:pPr>
          </w:p>
        </w:tc>
      </w:tr>
      <w:tr>
        <w:trPr>
          <w:trHeight w:val="224"/>
        </w:trPr>
        <w:tc>
          <w:tcPr>
            <w:tcW w:w="494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Stock</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3"/>
              </w:rPr>
              <w:t>Stock</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7"/>
              </w:rPr>
              <w:t>Stock</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5"/>
              </w:rPr>
              <w:t>Earnings</w:t>
            </w:r>
          </w:p>
        </w:tc>
        <w:tc>
          <w:tcPr>
            <w:tcW w:w="2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Equity</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 January 1, 2016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9,225,068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12,086</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(12,389)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120,188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(2,184)</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2"/>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32,300 shares of restricted stock</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of Forfeitures - 1,546 Repurchases - 72)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30,682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declared - $0.46 per share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(4,161)</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Balance - December 31, 2016</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9,241,750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11,947</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(12,267)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127,869</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(1,972)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Other comprehensive income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(6,790)</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(196)</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1"/>
        </w:trPr>
        <w:tc>
          <w:tcPr>
            <w:tcW w:w="4940" w:type="dxa"/>
            <w:vAlign w:val="bottom"/>
          </w:tcPr>
          <w:p>
            <w:pPr>
              <w:ind w:left="240"/>
              <w:spacing w:after="0"/>
              <w:rPr>
                <w:sz w:val="20"/>
                <w:szCs w:val="20"/>
                <w:color w:val="auto"/>
              </w:rPr>
            </w:pPr>
            <w:r>
              <w:rPr>
                <w:rFonts w:ascii="Arial" w:cs="Arial" w:eastAsia="Arial" w:hAnsi="Arial"/>
                <w:sz w:val="18"/>
                <w:szCs w:val="18"/>
                <w:color w:val="auto"/>
              </w:rPr>
              <w:t>Issuance of 32,000 shares of restricted stock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80"/>
              <w:spacing w:after="0"/>
              <w:rPr>
                <w:sz w:val="20"/>
                <w:szCs w:val="20"/>
                <w:color w:val="auto"/>
              </w:rPr>
            </w:pPr>
            <w:r>
              <w:rPr>
                <w:rFonts w:ascii="Arial" w:cs="Arial" w:eastAsia="Arial" w:hAnsi="Arial"/>
                <w:sz w:val="18"/>
                <w:szCs w:val="18"/>
                <w:color w:val="auto"/>
              </w:rPr>
              <w:t>(Net of Forfeitures - 1,080)</w:t>
            </w:r>
          </w:p>
        </w:tc>
        <w:tc>
          <w:tcPr>
            <w:tcW w:w="840" w:type="dxa"/>
            <w:vAlign w:val="bottom"/>
          </w:tcPr>
          <w:p>
            <w:pPr>
              <w:jc w:val="right"/>
              <w:spacing w:after="0"/>
              <w:rPr>
                <w:sz w:val="20"/>
                <w:szCs w:val="20"/>
                <w:color w:val="auto"/>
              </w:rPr>
            </w:pPr>
            <w:r>
              <w:rPr>
                <w:rFonts w:ascii="Arial" w:cs="Arial" w:eastAsia="Arial" w:hAnsi="Arial"/>
                <w:sz w:val="18"/>
                <w:szCs w:val="18"/>
                <w:color w:val="auto"/>
              </w:rPr>
              <w:t>30,920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tcPr>
          <w:p>
            <w:pPr>
              <w:spacing w:after="0"/>
              <w:rPr>
                <w:sz w:val="20"/>
                <w:szCs w:val="20"/>
                <w:color w:val="auto"/>
              </w:rPr>
            </w:pPr>
            <w:r>
              <w:rPr>
                <w:rFonts w:ascii="Arial" w:cs="Arial" w:eastAsia="Arial" w:hAnsi="Arial"/>
                <w:sz w:val="18"/>
                <w:szCs w:val="18"/>
                <w:color w:val="auto"/>
              </w:rPr>
              <w:t>Cash dividends declared - $0.50 per share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(4,582)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2017</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9,265,880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(12,160)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136,577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(1,826)</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Adoption of ASU 2017-08, cumulative effect</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2017, adjusted</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9,265,880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(12,160)</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136,547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(1,826)</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comprehensive loss</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(829)</w:t>
            </w: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4"/>
        </w:trPr>
        <w:tc>
          <w:tcPr>
            <w:tcW w:w="4940" w:type="dxa"/>
            <w:vAlign w:val="bottom"/>
          </w:tcPr>
          <w:p>
            <w:pPr>
              <w:ind w:left="240"/>
              <w:spacing w:after="0"/>
              <w:rPr>
                <w:sz w:val="20"/>
                <w:szCs w:val="20"/>
                <w:color w:val="auto"/>
              </w:rPr>
            </w:pPr>
            <w:r>
              <w:rPr>
                <w:rFonts w:ascii="Arial" w:cs="Arial" w:eastAsia="Arial" w:hAnsi="Arial"/>
                <w:sz w:val="18"/>
                <w:szCs w:val="18"/>
                <w:color w:val="auto"/>
              </w:rPr>
              <w:t>Adoption of ASU 2018-02</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(10,999)</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1"/>
        </w:trPr>
        <w:tc>
          <w:tcPr>
            <w:tcW w:w="4940" w:type="dxa"/>
            <w:vAlign w:val="bottom"/>
          </w:tcPr>
          <w:p>
            <w:pPr>
              <w:ind w:left="240"/>
              <w:spacing w:after="0"/>
              <w:rPr>
                <w:sz w:val="20"/>
                <w:szCs w:val="20"/>
                <w:color w:val="auto"/>
              </w:rPr>
            </w:pPr>
            <w:r>
              <w:rPr>
                <w:rFonts w:ascii="Arial" w:cs="Arial" w:eastAsia="Arial" w:hAnsi="Arial"/>
                <w:sz w:val="18"/>
                <w:szCs w:val="18"/>
                <w:color w:val="auto"/>
              </w:rPr>
              <w:t>Issuance of 33,000 shares of restricted stock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380"/>
              <w:spacing w:after="0"/>
              <w:rPr>
                <w:sz w:val="20"/>
                <w:szCs w:val="20"/>
                <w:color w:val="auto"/>
              </w:rPr>
            </w:pPr>
            <w:r>
              <w:rPr>
                <w:rFonts w:ascii="Arial" w:cs="Arial" w:eastAsia="Arial" w:hAnsi="Arial"/>
                <w:sz w:val="18"/>
                <w:szCs w:val="18"/>
                <w:color w:val="auto"/>
              </w:rPr>
              <w:t>(Net of Forfeitures - 2,620)</w:t>
            </w:r>
          </w:p>
        </w:tc>
        <w:tc>
          <w:tcPr>
            <w:tcW w:w="840" w:type="dxa"/>
            <w:vAlign w:val="bottom"/>
          </w:tcPr>
          <w:p>
            <w:pPr>
              <w:jc w:val="right"/>
              <w:spacing w:after="0"/>
              <w:rPr>
                <w:sz w:val="20"/>
                <w:szCs w:val="20"/>
                <w:color w:val="auto"/>
              </w:rPr>
            </w:pPr>
            <w:r>
              <w:rPr>
                <w:rFonts w:ascii="Arial" w:cs="Arial" w:eastAsia="Arial" w:hAnsi="Arial"/>
                <w:sz w:val="18"/>
                <w:szCs w:val="18"/>
                <w:color w:val="auto"/>
              </w:rPr>
              <w:t>30,380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4"/>
        </w:trPr>
        <w:tc>
          <w:tcPr>
            <w:tcW w:w="4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40" w:type="dxa"/>
            <w:vAlign w:val="bottom"/>
          </w:tcPr>
          <w:p>
            <w:pPr>
              <w:spacing w:after="0"/>
              <w:rPr>
                <w:sz w:val="20"/>
                <w:szCs w:val="20"/>
                <w:color w:val="auto"/>
              </w:rPr>
            </w:pPr>
            <w:r>
              <w:rPr>
                <w:rFonts w:ascii="Arial" w:cs="Arial" w:eastAsia="Arial" w:hAnsi="Arial"/>
                <w:sz w:val="18"/>
                <w:szCs w:val="18"/>
                <w:color w:val="auto"/>
              </w:rPr>
              <w:t>Cash dividends declared - $0.56 per share</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(5,142)</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(5,142)</w:t>
            </w: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 December 31, 2018</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4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9,285,261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10,823</w:t>
            </w:r>
          </w:p>
        </w:tc>
        <w:tc>
          <w:tcPr>
            <w:tcW w:w="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(12,409)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147,887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8"/>
        </w:trPr>
        <w:tc>
          <w:tcPr>
            <w:tcW w:w="5400" w:type="dxa"/>
            <w:vAlign w:val="bottom"/>
          </w:tcPr>
          <w:p>
            <w:pPr>
              <w:spacing w:after="0"/>
              <w:rPr>
                <w:sz w:val="20"/>
                <w:szCs w:val="20"/>
                <w:color w:val="auto"/>
              </w:rPr>
            </w:pPr>
            <w:r>
              <w:rPr>
                <w:rFonts w:ascii="Arial" w:cs="Arial" w:eastAsia="Arial" w:hAnsi="Arial"/>
                <w:sz w:val="18"/>
                <w:szCs w:val="18"/>
                <w:b w:val="1"/>
                <w:bCs w:val="1"/>
                <w:color w:val="auto"/>
              </w:rPr>
              <w:t>Farmers &amp; Merchants Bancorp, Inc. and Subsidiaries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20" w:type="dxa"/>
            <w:vAlign w:val="bottom"/>
            <w:gridSpan w:val="6"/>
          </w:tcPr>
          <w:p>
            <w:pPr>
              <w:jc w:val="right"/>
              <w:spacing w:after="0"/>
              <w:rPr>
                <w:sz w:val="20"/>
                <w:szCs w:val="20"/>
                <w:color w:val="auto"/>
              </w:rPr>
            </w:pPr>
            <w:r>
              <w:rPr>
                <w:rFonts w:ascii="Arial" w:cs="Arial" w:eastAsia="Arial" w:hAnsi="Arial"/>
                <w:sz w:val="18"/>
                <w:szCs w:val="18"/>
                <w:b w:val="1"/>
                <w:bCs w:val="1"/>
                <w:color w:val="auto"/>
                <w:w w:val="87"/>
              </w:rPr>
              <w:t>Consolidated Statements of Cash Flows</w:t>
            </w:r>
          </w:p>
        </w:tc>
        <w:tc>
          <w:tcPr>
            <w:tcW w:w="0" w:type="dxa"/>
            <w:vAlign w:val="bottom"/>
          </w:tcPr>
          <w:p>
            <w:pPr>
              <w:spacing w:after="0"/>
              <w:rPr>
                <w:sz w:val="1"/>
                <w:szCs w:val="1"/>
                <w:color w:val="auto"/>
              </w:rPr>
            </w:pPr>
          </w:p>
        </w:tc>
      </w:tr>
      <w:tr>
        <w:trPr>
          <w:trHeight w:val="184"/>
        </w:trPr>
        <w:tc>
          <w:tcPr>
            <w:tcW w:w="5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380" w:type="dxa"/>
            <w:vAlign w:val="bottom"/>
            <w:gridSpan w:val="9"/>
          </w:tcPr>
          <w:p>
            <w:pPr>
              <w:jc w:val="right"/>
              <w:spacing w:after="0" w:line="184" w:lineRule="exact"/>
              <w:rPr>
                <w:sz w:val="20"/>
                <w:szCs w:val="20"/>
                <w:color w:val="auto"/>
              </w:rPr>
            </w:pPr>
            <w:r>
              <w:rPr>
                <w:rFonts w:ascii="Arial" w:cs="Arial" w:eastAsia="Arial" w:hAnsi="Arial"/>
                <w:sz w:val="18"/>
                <w:szCs w:val="18"/>
                <w:b w:val="1"/>
                <w:bCs w:val="1"/>
                <w:color w:val="auto"/>
              </w:rPr>
              <w:t>Years Ended December 31, 2018, 2017 and 2016</w:t>
            </w:r>
          </w:p>
        </w:tc>
        <w:tc>
          <w:tcPr>
            <w:tcW w:w="0" w:type="dxa"/>
            <w:vAlign w:val="bottom"/>
          </w:tcPr>
          <w:p>
            <w:pPr>
              <w:spacing w:after="0"/>
              <w:rPr>
                <w:sz w:val="1"/>
                <w:szCs w:val="1"/>
                <w:color w:val="auto"/>
              </w:rPr>
            </w:pPr>
          </w:p>
        </w:tc>
      </w:tr>
      <w:tr>
        <w:trPr>
          <w:trHeight w:val="228"/>
        </w:trPr>
        <w:tc>
          <w:tcPr>
            <w:tcW w:w="5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2"/>
              </w:rPr>
              <w:t>(000’s Omitted)</w:t>
            </w:r>
          </w:p>
        </w:tc>
        <w:tc>
          <w:tcPr>
            <w:tcW w:w="0" w:type="dxa"/>
            <w:vAlign w:val="bottom"/>
          </w:tcPr>
          <w:p>
            <w:pPr>
              <w:spacing w:after="0"/>
              <w:rPr>
                <w:sz w:val="1"/>
                <w:szCs w:val="1"/>
                <w:color w:val="auto"/>
              </w:rPr>
            </w:pPr>
          </w:p>
        </w:tc>
      </w:tr>
      <w:tr>
        <w:trPr>
          <w:trHeight w:val="290"/>
        </w:trPr>
        <w:tc>
          <w:tcPr>
            <w:tcW w:w="5400" w:type="dxa"/>
            <w:vAlign w:val="bottom"/>
            <w:tcBorders>
              <w:bottom w:val="single" w:sz="8" w:color="CFF0FC"/>
            </w:tcBorders>
          </w:tcPr>
          <w:p>
            <w:pPr>
              <w:spacing w:after="0"/>
              <w:rPr>
                <w:sz w:val="24"/>
                <w:szCs w:val="24"/>
                <w:color w:val="auto"/>
              </w:rPr>
            </w:pPr>
          </w:p>
        </w:tc>
        <w:tc>
          <w:tcPr>
            <w:tcW w:w="138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14,949</w:t>
            </w:r>
          </w:p>
        </w:tc>
        <w:tc>
          <w:tcPr>
            <w:tcW w:w="2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12,720</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w:t>
            </w: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operating activities: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Depreciation</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available-for-sale securities, net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(51,807)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(57,391)</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(66,014)</w:t>
            </w: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59,520</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(Gain) loss on sales of available-for-sale securities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Change in other assets and other liabilities, net</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(6,423)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7"/>
        </w:trPr>
        <w:tc>
          <w:tcPr>
            <w:tcW w:w="54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12,142</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12,430</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240"/>
              <w:spacing w:after="0"/>
              <w:rPr>
                <w:sz w:val="20"/>
                <w:szCs w:val="20"/>
                <w:color w:val="auto"/>
              </w:rPr>
            </w:pPr>
            <w:r>
              <w:rPr>
                <w:rFonts w:ascii="Arial" w:cs="Arial" w:eastAsia="Arial" w:hAnsi="Arial"/>
                <w:sz w:val="18"/>
                <w:szCs w:val="18"/>
                <w:color w:val="auto"/>
              </w:rPr>
              <w:t>Maturities, prepayments and calls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13,562</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(13,866)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(15,335)</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(114,819)</w:t>
            </w: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(2,103)</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Proceeds from sales of other assets owned</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(2,612)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(1,794)</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Loan originations and principal collections, net</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(23,341)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(67,197)</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(72,639)</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1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vMerge w:val="continue"/>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(49,782)</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77,137</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00" w:type="dxa"/>
            <w:vAlign w:val="bottom"/>
          </w:tcPr>
          <w:p>
            <w:pPr>
              <w:spacing w:after="0"/>
              <w:rPr>
                <w:sz w:val="20"/>
                <w:szCs w:val="20"/>
                <w:color w:val="auto"/>
              </w:rPr>
            </w:pPr>
            <w:r>
              <w:rPr>
                <w:rFonts w:ascii="Arial" w:cs="Arial" w:eastAsia="Arial" w:hAnsi="Arial"/>
                <w:sz w:val="18"/>
                <w:szCs w:val="18"/>
                <w:color w:val="auto"/>
              </w:rPr>
              <w:t>Net change in federal funds purchased and</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140"/>
              <w:spacing w:after="0"/>
              <w:rPr>
                <w:sz w:val="20"/>
                <w:szCs w:val="20"/>
                <w:color w:val="auto"/>
              </w:rPr>
            </w:pPr>
            <w:r>
              <w:rPr>
                <w:rFonts w:ascii="Arial" w:cs="Arial" w:eastAsia="Arial" w:hAnsi="Arial"/>
                <w:sz w:val="18"/>
                <w:szCs w:val="18"/>
                <w:color w:val="auto"/>
              </w:rPr>
              <w:t>securities sold under agreements to repurchase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(7,314)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(30,829)</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(8,491)</w:t>
            </w: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Repayment of FHLB advances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paid on common stock</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(4,956)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(4,443)</w:t>
            </w:r>
          </w:p>
        </w:tc>
        <w:tc>
          <w:tcPr>
            <w:tcW w:w="1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1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36,669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3,898</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6,145</w:t>
            </w:r>
          </w:p>
        </w:tc>
        <w:tc>
          <w:tcPr>
            <w:tcW w:w="3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6,304</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1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34,467</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28,322</w:t>
            </w:r>
          </w:p>
        </w:tc>
        <w:tc>
          <w:tcPr>
            <w:tcW w:w="3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13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38,365</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34,467</w:t>
            </w:r>
          </w:p>
        </w:tc>
        <w:tc>
          <w:tcPr>
            <w:tcW w:w="3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Information</w:t>
            </w: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Cash paid during the year for:</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0"/>
                <w:szCs w:val="20"/>
                <w:color w:val="auto"/>
              </w:rPr>
            </w:pPr>
            <w:r>
              <w:rPr>
                <w:rFonts w:ascii="Arial" w:cs="Arial" w:eastAsia="Arial" w:hAnsi="Arial"/>
                <w:sz w:val="18"/>
                <w:szCs w:val="18"/>
                <w:color w:val="auto"/>
              </w:rPr>
              <w:t>Interest</w:t>
            </w:r>
          </w:p>
        </w:tc>
        <w:tc>
          <w:tcPr>
            <w:tcW w:w="1640" w:type="dxa"/>
            <w:vAlign w:val="bottom"/>
            <w:gridSpan w:val="2"/>
          </w:tcPr>
          <w:p>
            <w:pPr>
              <w:jc w:val="right"/>
              <w:ind w:right="10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6,472</w:t>
            </w:r>
          </w:p>
        </w:tc>
        <w:tc>
          <w:tcPr>
            <w:tcW w:w="200" w:type="dxa"/>
            <w:vAlign w:val="bottom"/>
          </w:tcPr>
          <w:p>
            <w:pPr>
              <w:spacing w:after="0"/>
              <w:rPr>
                <w:sz w:val="22"/>
                <w:szCs w:val="2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5,064</w:t>
            </w:r>
          </w:p>
        </w:tc>
        <w:tc>
          <w:tcPr>
            <w:tcW w:w="3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4,151</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400" w:type="dxa"/>
            <w:vAlign w:val="bottom"/>
            <w:tcBorders>
              <w:top w:val="single" w:sz="8" w:color="CFF0FC"/>
              <w:bottom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Income taxes</w:t>
            </w:r>
          </w:p>
        </w:tc>
        <w:tc>
          <w:tcPr>
            <w:tcW w:w="13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3,107</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5,102</w:t>
            </w:r>
          </w:p>
        </w:tc>
        <w:tc>
          <w:tcPr>
            <w:tcW w:w="34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b w:val="1"/>
                <w:bCs w:val="1"/>
                <w:color w:val="auto"/>
              </w:rPr>
              <w:t>5,012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Noncash investing activities:</w:t>
            </w: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vMerge w:val="continue"/>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Transfer of loans to other real estate owned</w:t>
            </w:r>
          </w:p>
        </w:tc>
        <w:tc>
          <w:tcPr>
            <w:tcW w:w="1640" w:type="dxa"/>
            <w:vAlign w:val="bottom"/>
            <w:gridSpan w:val="2"/>
            <w:shd w:val="clear" w:color="auto" w:fill="CFF0FC"/>
          </w:tcPr>
          <w:p>
            <w:pPr>
              <w:jc w:val="right"/>
              <w:ind w:right="103"/>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3020"/>
        <w:spacing w:after="0"/>
        <w:rPr>
          <w:sz w:val="20"/>
          <w:szCs w:val="20"/>
          <w:color w:val="auto"/>
        </w:rPr>
      </w:pPr>
      <w:r>
        <w:rPr>
          <w:rFonts w:ascii="Arial" w:cs="Arial" w:eastAsia="Arial" w:hAnsi="Arial"/>
          <w:sz w:val="18"/>
          <w:szCs w:val="18"/>
          <w:b w:val="1"/>
          <w:bCs w:val="1"/>
          <w:color w:val="auto"/>
        </w:rPr>
        <w:t>December 31, 2018, 2017,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Nature of Operations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Consolidation Policy</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All significant inter-company balances and transactions have been eliminated.</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Use of Estimates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and the valuation of mortgage servicing rights. Actual results could differ from those estimates.</w:t>
      </w:r>
    </w:p>
    <w:p>
      <w:pPr>
        <w:spacing w:after="0" w:line="59"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8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83"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are purchased for one day periods.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Restrictions on Cash and Amounts Due from Banks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Bank is required to maintain average balances on hand with the Federal Reserve Bank. The aggregate reserve was $12.6 million for December 31, 2018 and it was $11.4 million for December 31, 2017. The Company and its subsidiaries maintain cash balances with high quality credit institutions. At times such balances may be in excess of the federally insured limits.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Securities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 tax, in other comprehensive income (loss). Gains and losses on sales of securities are determined on the specific-identification method.</w:t>
      </w:r>
    </w:p>
    <w:p>
      <w:pPr>
        <w:spacing w:after="0" w:line="86"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29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Other Securities is the Federal Home Loan Bank of Cincinnati stock which is held to enable the Bank to conduct business with the entity. The Federal Home Loan Bank sells and purchases their stock at par. The Federal Home Loan Bank of Cincinnati stock is carried at cost and held as collateral security for all indebtedness of the Bank to the Federal Home Loan Bank. The Federal Home Loan Bank of Cincinnati is evaluated for impairment as conditions warrant.</w:t>
      </w:r>
    </w:p>
    <w:p>
      <w:pPr>
        <w:spacing w:after="0" w:line="2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amount of unpaid principal, reduced by unearned discounts and deferred loan fees and costs, as well as, by the allowance for loan losses. Interest income is accrued on a daily basis based on the principal outstanding.</w:t>
      </w:r>
    </w:p>
    <w:p>
      <w:pPr>
        <w:spacing w:after="0" w:line="83"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5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Allowance for Loan Losses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30"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86"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of the impaired loan is lower than the carrying value of that loan. The general component covers non-classified loans and is based on historical loss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experience adjusted for qualitative factors. The unallocated component is maintained to cover uncertainties that could affect management’s estimate of probable losses.</w:t>
      </w:r>
    </w:p>
    <w:p>
      <w:pPr>
        <w:spacing w:after="0" w:line="75"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or the fair value of the collateral if the loan is collateral dependent.</w:t>
      </w:r>
    </w:p>
    <w:p>
      <w:pPr>
        <w:spacing w:after="0" w:line="61"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83"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89"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30"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Servicing Assets</w:t>
      </w:r>
    </w:p>
    <w:p>
      <w:pPr>
        <w:spacing w:after="0" w:line="115"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 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2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Goodwill results from business acquisitions and represents the excess of the purchase price over the fair value of acquired tangible assets and liabilities and identifiable intangible assets. Goodwill is assessed at least annually. If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possible impairment is likely, the Bank will utilize the assistance of an independent third party for impairment and any such impairment is recognized in the period identified. Periodically the Bank will have an independent third party assess the possibility of impairment of Goodwill. Such an assessment was performed as of September 30, 2017. The goodwill impairment analysis consisted of a first step goodwill impairment test which was used to identify potential impairment by comparing the fair value of the relevant reporting unity with its carrying value, including goodwill. The analysis was performed under guidance of FASB ASC 350. The engagement would have expanded to the second step goodwill impairment valuation if necessary; however, the findings showed the second step was not warranted. The analysis confirmed no impairment was likely. In quantitative testing done in 2018, the excess fair value of capital was $58.5 million or 51.1% over the carrying value and was over fourteen times the value of the goodwill being carried Therefore, the Bank concluded it is unlikely impairment of Goodwill has occurred from the goodwill established from the Bank’s acquisition which occurred on December 31, 2007.</w:t>
      </w:r>
    </w:p>
    <w:p>
      <w:pPr>
        <w:spacing w:after="0" w:line="6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Other intangible assets consist of core deposit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Off Balance Sheet Instruments</w:t>
      </w:r>
    </w:p>
    <w:p>
      <w:pPr>
        <w:spacing w:after="0" w:line="115"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23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Foreclosed Real Estate</w:t>
      </w:r>
    </w:p>
    <w:p>
      <w:pPr>
        <w:spacing w:after="0" w:line="115"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At December 31, the Bank’s holding of other real estate owned totaled $600 thousand and approximately $674 thousand for 2018 and 2017, respectively.</w:t>
      </w:r>
    </w:p>
    <w:p>
      <w:pPr>
        <w:spacing w:after="0" w:line="26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Bank Premises and Equipment</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Revenue Recognition</w:t>
      </w:r>
    </w:p>
    <w:p>
      <w:pPr>
        <w:spacing w:after="0" w:line="11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Accounting Standards Codification 606, “Revenue from Contracts with Customer”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are within scope of the amendments. Revenue-generating activities that are within the scope of ASC 606 that are presented as non-interest income in the Company’s consolidated statements of income include:</w:t>
      </w:r>
    </w:p>
    <w:p>
      <w:pPr>
        <w:spacing w:after="0" w:line="75" w:lineRule="exact"/>
        <w:rPr>
          <w:sz w:val="20"/>
          <w:szCs w:val="20"/>
          <w:color w:val="auto"/>
        </w:rPr>
      </w:pPr>
    </w:p>
    <w:p>
      <w:pPr>
        <w:jc w:val="both"/>
        <w:ind w:left="1620" w:hanging="403"/>
        <w:spacing w:after="0" w:line="243" w:lineRule="auto"/>
        <w:tabs>
          <w:tab w:leader="none" w:pos="162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color w:val="auto"/>
        </w:rPr>
        <w:t>Customer service fees – these include miscellaneous service fees and transaction-based fees charged for certain services, such as debit card or credit card. Revenue is recognized when the performance obligation is completed, which is generally after a transaction is completed or monthly for account maintenance services.</w:t>
      </w:r>
    </w:p>
    <w:p>
      <w:pPr>
        <w:spacing w:after="0" w:line="92" w:lineRule="exact"/>
        <w:rPr>
          <w:rFonts w:ascii="Courier New" w:cs="Courier New" w:eastAsia="Courier New" w:hAnsi="Courier New"/>
          <w:sz w:val="18"/>
          <w:szCs w:val="18"/>
          <w:color w:val="auto"/>
        </w:rPr>
      </w:pPr>
    </w:p>
    <w:p>
      <w:pPr>
        <w:jc w:val="both"/>
        <w:ind w:left="1620" w:hanging="403"/>
        <w:spacing w:after="0" w:line="244" w:lineRule="auto"/>
        <w:tabs>
          <w:tab w:leader="none" w:pos="1620" w:val="left"/>
        </w:tabs>
        <w:numPr>
          <w:ilvl w:val="0"/>
          <w:numId w:val="14"/>
        </w:numPr>
        <w:rPr>
          <w:rFonts w:ascii="Courier New" w:cs="Courier New" w:eastAsia="Courier New" w:hAnsi="Courier New"/>
          <w:sz w:val="18"/>
          <w:szCs w:val="18"/>
          <w:color w:val="auto"/>
        </w:rPr>
      </w:pPr>
      <w:r>
        <w:rPr>
          <w:rFonts w:ascii="Arial" w:cs="Arial" w:eastAsia="Arial" w:hAnsi="Arial"/>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Federal Income Tax</w:t>
      </w:r>
    </w:p>
    <w:p>
      <w:pPr>
        <w:spacing w:after="0" w:line="11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The Company’s income tax expense consists of the following components: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89"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6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Company recognizes interest and penalties, if any, related to unrecognized tax benefits in tax expense. Based on management’s analysis, the Company did not have any uncertain tax positions as of December 31, 2018 and 2017. With a few exceptions, the Company is no longer subject to U.S. Federal, state or local examinations by tax authorities for years before 2015.</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Earnings Per Share</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Basic earnings per share represent income available to common stockholders divided by the weighted-average number of common shares outstanding during the period. On August 18, 2017, the Company’s Board of Directors authorized a two-for-one stock split payable on September 20, 2017, for shareholders of record on September 5, 2017. See Note 12 for additional information.</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Stock-Based Compensation</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Transfers of Financial Assets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 through an agreement to repurchase them before their maturity or the ability to unilaterally cause the holder to return specific assets.</w:t>
      </w:r>
    </w:p>
    <w:p>
      <w:pPr>
        <w:spacing w:after="0" w:line="26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Treasury Stock</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Common stock shares repurchased are recorded at market value on date of purchase.</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Comprehensive Income (Loss)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5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company adopted ASU 2018-02 on January 1, 2018 and elected to reclassify the income tax effects of the Tax Cuts and Job Act from AOCI to retained earnings. The reclassification increased retained earnings and decreased AOCI by $359 thousand, with zero net effect on total stockholder’s equity.</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other comprehensive income (loss) and related tax effects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8"/>
                <w:szCs w:val="18"/>
                <w:color w:val="auto"/>
                <w:w w:val="92"/>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CFF0FC"/>
            </w:tcBorders>
          </w:tcPr>
          <w:p>
            <w:pPr>
              <w:spacing w:after="0"/>
              <w:rPr>
                <w:sz w:val="18"/>
                <w:szCs w:val="18"/>
                <w:color w:val="auto"/>
              </w:rPr>
            </w:pPr>
          </w:p>
        </w:tc>
        <w:tc>
          <w:tcPr>
            <w:tcW w:w="228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8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(1,058)</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11"/>
        </w:trPr>
        <w:tc>
          <w:tcPr>
            <w:tcW w:w="4360" w:type="dxa"/>
            <w:vAlign w:val="bottom"/>
            <w:gridSpan w:val="2"/>
          </w:tcPr>
          <w:p>
            <w:pPr>
              <w:spacing w:after="0"/>
              <w:rPr>
                <w:sz w:val="20"/>
                <w:szCs w:val="20"/>
                <w:color w:val="auto"/>
              </w:rPr>
            </w:pPr>
            <w:r>
              <w:rPr>
                <w:rFonts w:ascii="Arial" w:cs="Arial" w:eastAsia="Arial" w:hAnsi="Arial"/>
                <w:sz w:val="18"/>
                <w:szCs w:val="18"/>
                <w:color w:val="auto"/>
              </w:rPr>
              <w:t>Reclassification adjustment for (gain) loss on sale of</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80" w:type="dxa"/>
            <w:vAlign w:val="bottom"/>
          </w:tcPr>
          <w:p>
            <w:pPr>
              <w:ind w:left="120"/>
              <w:spacing w:after="0"/>
              <w:rPr>
                <w:sz w:val="20"/>
                <w:szCs w:val="20"/>
                <w:color w:val="auto"/>
              </w:rPr>
            </w:pPr>
            <w:r>
              <w:rPr>
                <w:rFonts w:ascii="Arial" w:cs="Arial" w:eastAsia="Arial" w:hAnsi="Arial"/>
                <w:sz w:val="18"/>
                <w:szCs w:val="18"/>
                <w:color w:val="auto"/>
                <w:w w:val="88"/>
              </w:rPr>
              <w:t>available-for-sale securities</w:t>
            </w: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5"/>
        </w:trPr>
        <w:tc>
          <w:tcPr>
            <w:tcW w:w="208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w w:val="89"/>
              </w:rPr>
              <w:t>Net unrealized gain (loss) on</w:t>
            </w:r>
          </w:p>
        </w:tc>
        <w:tc>
          <w:tcPr>
            <w:tcW w:w="2280" w:type="dxa"/>
            <w:vAlign w:val="bottom"/>
            <w:tcBorders>
              <w:top w:val="single" w:sz="8" w:color="CFF0FC"/>
            </w:tcBorders>
            <w:shd w:val="clear" w:color="auto" w:fill="CFF0FC"/>
          </w:tcPr>
          <w:p>
            <w:pPr>
              <w:ind w:left="20"/>
              <w:spacing w:after="0" w:line="205" w:lineRule="exact"/>
              <w:rPr>
                <w:sz w:val="20"/>
                <w:szCs w:val="20"/>
                <w:color w:val="auto"/>
              </w:rPr>
            </w:pPr>
            <w:r>
              <w:rPr>
                <w:rFonts w:ascii="Arial" w:cs="Arial" w:eastAsia="Arial" w:hAnsi="Arial"/>
                <w:sz w:val="18"/>
                <w:szCs w:val="18"/>
                <w:color w:val="auto"/>
              </w:rPr>
              <w:t>available-for-sale</w:t>
            </w:r>
          </w:p>
        </w:tc>
        <w:tc>
          <w:tcPr>
            <w:tcW w:w="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2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(1,049)</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20"/>
                <w:szCs w:val="20"/>
                <w:color w:val="auto"/>
              </w:rPr>
            </w:pPr>
            <w:r>
              <w:rPr>
                <w:rFonts w:ascii="Arial" w:cs="Arial" w:eastAsia="Arial" w:hAnsi="Arial"/>
                <w:sz w:val="18"/>
                <w:szCs w:val="18"/>
                <w:color w:val="auto"/>
              </w:rPr>
              <w:t>Tax expense (benefit)</w:t>
            </w:r>
          </w:p>
        </w:tc>
        <w:tc>
          <w:tcPr>
            <w:tcW w:w="2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gridSpan w:val="2"/>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(829)</w:t>
            </w:r>
          </w:p>
        </w:tc>
        <w:tc>
          <w:tcPr>
            <w:tcW w:w="26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tcPr>
          <w:p>
            <w:pPr>
              <w:spacing w:after="0" w:line="20" w:lineRule="exact"/>
              <w:rPr>
                <w:sz w:val="1"/>
                <w:szCs w:val="1"/>
                <w:color w:val="auto"/>
              </w:rPr>
            </w:pPr>
          </w:p>
        </w:tc>
        <w:tc>
          <w:tcPr>
            <w:tcW w:w="2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Reclassification</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Certain amounts in the 2017 and 2016 consolidated financial statements have been reclassified to conform with the 2018 presentation. These reclassifications had no effect on net income.</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Recent Accounting Pronouncements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ASU 2014-09 requires that an entity recognize revenue to depict the transfer of promised goods or services to customers in an amount that reflects the consideration to which the entity expects to be entitled in exchange for those goods and services. On July 9, 2015, the FASB approved amendments deferring the effective date by one year. ASU 2014-09 is now effective for annual reporting periods beginning after December 15, 2017, including interim periods within that reporting period. The amendments can be applied retrospectively to each prior reporting period or retrospectively with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 xml:space="preserve">the cumulative effect of initially applying this Update recognized at the date of initial application. Early application was permitted but not before the original public entity effective date, </w:t>
      </w:r>
      <w:r>
        <w:rPr>
          <w:rFonts w:ascii="Arial" w:cs="Arial" w:eastAsia="Arial" w:hAnsi="Arial"/>
          <w:sz w:val="18"/>
          <w:szCs w:val="18"/>
          <w:i w:val="1"/>
          <w:iCs w:val="1"/>
          <w:color w:val="auto"/>
        </w:rPr>
        <w:t>i.e</w:t>
      </w:r>
      <w:r>
        <w:rPr>
          <w:rFonts w:ascii="Arial" w:cs="Arial" w:eastAsia="Arial" w:hAnsi="Arial"/>
          <w:sz w:val="18"/>
          <w:szCs w:val="18"/>
          <w:color w:val="auto"/>
        </w:rPr>
        <w:t>., annual periods beginning after December 15, 2016. The Company has adopted ASU 2014-09 on January 1, 2018 and ASU did not have a significant impact on its financial statements. Several of the Company’s revenue streams were reviewed as a result of the standard.</w:t>
      </w:r>
    </w:p>
    <w:p>
      <w:pPr>
        <w:spacing w:after="0" w:line="86" w:lineRule="exact"/>
        <w:rPr>
          <w:sz w:val="20"/>
          <w:szCs w:val="20"/>
          <w:color w:val="auto"/>
        </w:rPr>
      </w:pPr>
    </w:p>
    <w:p>
      <w:pPr>
        <w:jc w:val="both"/>
        <w:ind w:left="820"/>
        <w:spacing w:after="0" w:line="277"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 Recognition and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Assets and Financial Liabilities.” </w:t>
      </w:r>
      <w:r>
        <w:rPr>
          <w:rFonts w:ascii="Arial" w:cs="Arial" w:eastAsia="Arial" w:hAnsi="Arial"/>
          <w:sz w:val="16"/>
          <w:szCs w:val="16"/>
          <w:color w:val="auto"/>
        </w:rPr>
        <w:t>ASU 2016-01 is intended to improve the recognition and measurement of financial instruments by</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adopted ASU 2016-01 on January 1, 2018 and it did not have a material impact on the consolidated financial statement. The Bank’s equity securities are membership stocks in the Federal Home Loan Bank and are thereby excluded from fair value pricing. For exit pricing on loans, the company used recent Merger and Acquisition Transaction Metrics compiled by S&amp;P Global Market Intelligence for the second half of 2017. This provided the credit mark to be used along with the fair value adjustment based on the yield metrics of the portfolio.</w:t>
      </w:r>
    </w:p>
    <w:p>
      <w:pPr>
        <w:spacing w:after="0" w:line="77"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Based on an initial analysis, the Company expects to record a right of use asset and corresponding liability in the amount of approximately $500 thousand.</w:t>
      </w:r>
    </w:p>
    <w:p>
      <w:pPr>
        <w:spacing w:after="0" w:line="66"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In June 2016,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The ASU requires the measurement of all expected credit losses for financial assets held at the reporting date based on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6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organizations for fiscal years, and interim periods within those fiscal years, beginning after December 15, 2018. The Company has contracted with an external advisor and has formed a committee to determine the methodology to be used. Most importantly, the Company is gathering as much data as possible to enable review scenarios and determine which calculations will produce the most reliable results. The Company is in the early stages of CECL conversion analysis with use of a third party service provider.</w:t>
      </w:r>
    </w:p>
    <w:p>
      <w:pPr>
        <w:spacing w:after="0" w:line="86"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 Restricted Cash.”</w:t>
      </w:r>
      <w:r>
        <w:rPr>
          <w:rFonts w:ascii="Arial" w:cs="Arial" w:eastAsia="Arial" w:hAnsi="Arial"/>
          <w:sz w:val="16"/>
          <w:szCs w:val="16"/>
          <w:color w:val="auto"/>
        </w:rPr>
        <w:t xml:space="preserve"> 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adopted ASU 2016-18 on January 1, 2018 and does not currently have restricted cash or restricted cash equivalents. In the future, restricted cash or restricted cash equivalents will be presented in accordance with the guidance.</w:t>
      </w:r>
    </w:p>
    <w:p>
      <w:pPr>
        <w:spacing w:after="0" w:line="62"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 Clarifying the Definition of a Business.”</w:t>
      </w:r>
      <w:r>
        <w:rPr>
          <w:rFonts w:ascii="Arial" w:cs="Arial" w:eastAsia="Arial" w:hAnsi="Arial"/>
          <w:sz w:val="16"/>
          <w:szCs w:val="16"/>
          <w:color w:val="auto"/>
        </w:rPr>
        <w:t xml:space="preserve"> 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adopted ASU 2017-01 on January 1, 2018 and going forward will account for business combinations accordingly.</w:t>
      </w:r>
    </w:p>
    <w:p>
      <w:pPr>
        <w:spacing w:after="0" w:line="63"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(Topic 350) – Simplifying the Test for Goodwill Impairment.”</w:t>
      </w:r>
      <w:r>
        <w:rPr>
          <w:rFonts w:ascii="Arial" w:cs="Arial" w:eastAsia="Arial" w:hAnsi="Arial"/>
          <w:sz w:val="16"/>
          <w:szCs w:val="16"/>
          <w:color w:val="auto"/>
        </w:rPr>
        <w:t xml:space="preserve"> These amendments eliminate Step 2 from the goodwill impairment test. The amendments also eliminate the requirements for any 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financial statements, as goodwill testing has been completed annually without any impairment concerns.</w:t>
      </w:r>
    </w:p>
    <w:p>
      <w:pPr>
        <w:spacing w:after="0" w:line="61"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“Receivables – Nonrefundable Fees and Other Cost (Subtopic 310-20), Premium Amortization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Purchased Callable Debit Securities.” </w:t>
      </w:r>
      <w:r>
        <w:rPr>
          <w:rFonts w:ascii="Arial" w:cs="Arial" w:eastAsia="Arial" w:hAnsi="Arial"/>
          <w:sz w:val="16"/>
          <w:szCs w:val="16"/>
          <w:color w:val="auto"/>
        </w:rPr>
        <w:t>These amendments shorten the amortization period for certain callable debit securities held at a premium.</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adopted this standard January 1, 2018. The impact of just over $30 thousand of accelerated amortization expense was recorded as an adjustment to beginning retained earnings. This will not alter the Bank or Company’s well capitalized status. The Bank’s Municipal Tax-Exempt category of securities was the only category affected by the adoption.</w:t>
      </w:r>
    </w:p>
    <w:p>
      <w:pPr>
        <w:spacing w:after="0" w:line="66"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Income Statement – Reporting Comprehensive Income (Topic 220): Reclassification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Tax Effects from Accumulated Other Comprehensive Income.” </w:t>
      </w:r>
      <w:r>
        <w:rPr>
          <w:rFonts w:ascii="Arial" w:cs="Arial" w:eastAsia="Arial" w:hAnsi="Arial"/>
          <w:sz w:val="16"/>
          <w:szCs w:val="16"/>
          <w:color w:val="auto"/>
        </w:rPr>
        <w:t>The amendments allow for the reclassification of stranded tax effects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other comprehensive income (AOCI) an option rather than a requirement; however, disclosure is required if not elected. The reclassification from accumulated other comprehensive income to retained earnings results from the newly enacted federal corporate income tax rate resulting from the Tax Cuts and Job Acts signed by President Trump in December 2017. The amount of the reclassification is the difference between the historical corporate income tax rate and the newly enacted corporate income tax rate 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 (Continued)</w:t>
      </w:r>
    </w:p>
    <w:p>
      <w:pPr>
        <w:spacing w:after="0" w:line="308"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21%. Entities will have an option to adopt the standard retrospectively or in the period of adoption. The Company has adopted this standard on January 1, 2018 and reclassified approximately $359 thousand into retained earnings.</w:t>
      </w:r>
    </w:p>
    <w:p>
      <w:pPr>
        <w:spacing w:after="0" w:line="75" w:lineRule="exact"/>
        <w:rPr>
          <w:sz w:val="20"/>
          <w:szCs w:val="20"/>
          <w:color w:val="auto"/>
        </w:rPr>
      </w:pPr>
    </w:p>
    <w:p>
      <w:pPr>
        <w:jc w:val="both"/>
        <w:ind w:left="820" w:right="20"/>
        <w:spacing w:after="0" w:line="250" w:lineRule="auto"/>
        <w:rPr>
          <w:sz w:val="20"/>
          <w:szCs w:val="20"/>
          <w:color w:val="auto"/>
        </w:rPr>
      </w:pPr>
      <w:r>
        <w:rPr>
          <w:rFonts w:ascii="Arial" w:cs="Arial" w:eastAsia="Arial" w:hAnsi="Arial"/>
          <w:sz w:val="18"/>
          <w:szCs w:val="18"/>
          <w:color w:val="auto"/>
        </w:rPr>
        <w:t xml:space="preserve">In March 2018, the FASB issued No. ASU 2018-05 </w:t>
      </w:r>
      <w:r>
        <w:rPr>
          <w:rFonts w:ascii="Arial" w:cs="Arial" w:eastAsia="Arial" w:hAnsi="Arial"/>
          <w:sz w:val="18"/>
          <w:szCs w:val="18"/>
          <w:i w:val="1"/>
          <w:iCs w:val="1"/>
          <w:color w:val="auto"/>
        </w:rPr>
        <w:t>“Income Taxes (Topic 740): Amendments to SEC Paragraphs Pursuant to SEC Staff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Bulletin (SAB) No. 118.” </w:t>
      </w:r>
      <w:r>
        <w:rPr>
          <w:rFonts w:ascii="Arial" w:cs="Arial" w:eastAsia="Arial" w:hAnsi="Arial"/>
          <w:sz w:val="18"/>
          <w:szCs w:val="18"/>
          <w:color w:val="auto"/>
        </w:rPr>
        <w:t>These amendments add SEC guidance to the FASB Accounting Standards Codification regarding the Tax Cuts and Jobs Act</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issuance of SAB 118. The amendments were effective upon addition to the FASB Codification. The adoption did not have an impact on the Company.</w:t>
      </w:r>
    </w:p>
    <w:p>
      <w:pPr>
        <w:spacing w:after="0" w:line="86" w:lineRule="exact"/>
        <w:rPr>
          <w:sz w:val="20"/>
          <w:szCs w:val="20"/>
          <w:color w:val="auto"/>
        </w:rPr>
      </w:pPr>
    </w:p>
    <w:p>
      <w:pPr>
        <w:jc w:val="both"/>
        <w:ind w:left="820" w:right="20"/>
        <w:spacing w:after="0" w:line="282"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 - 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These amendments expand the scope of Topic 718, Compensation – Stock Compensation (which currently only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public companies for fiscal years, and interim fiscal periods within those fiscal years, beginning after December 15, 2018. Early adoption is permitted, but no earlier than a company’s adoption date of Topic 606, Revenue from Contracts with Customers. At this time, the Company has adopted as of December 31, 2018 and does not recognize the existence of any non-employee relationships involving share-based payments.</w:t>
      </w:r>
    </w:p>
    <w:p>
      <w:pPr>
        <w:spacing w:after="0" w:line="61" w:lineRule="exact"/>
        <w:rPr>
          <w:sz w:val="20"/>
          <w:szCs w:val="20"/>
          <w:color w:val="auto"/>
        </w:rPr>
      </w:pPr>
    </w:p>
    <w:p>
      <w:pPr>
        <w:jc w:val="both"/>
        <w:ind w:left="820" w:right="20"/>
        <w:spacing w:after="0" w:line="247"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 -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w:t>
      </w:r>
      <w:r>
        <w:rPr>
          <w:rFonts w:ascii="Arial" w:cs="Arial" w:eastAsia="Arial" w:hAnsi="Arial"/>
          <w:sz w:val="18"/>
          <w:szCs w:val="18"/>
          <w:color w:val="auto"/>
        </w:rPr>
        <w:t>t.” ASU 2018-13 modifies the disclosure requirements on fair value measurements in Topic 820.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remove disclosures that no longer are considered cost beneficial, modify/clarify the specific requirements of certain disclosures, and add disclosure requirements identified as relevant. ASU 2018-13 will be effective until years beginning after December 15, 2019, with early adoption permitted. The Company is in the process of evaluating and does not expect ASU 2018-13 to have a material impact on its accounting disclosures.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 &amp; Asset Purchase</w:t>
      </w:r>
    </w:p>
    <w:p>
      <w:pPr>
        <w:spacing w:after="0" w:line="115"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The Company recognized core deposit intangible assets of $1.17 million with the purchase of the Custar office on December 13, 2013. This is being amortized over an estimated remaining economic useful life of the deposits of 7 years on a straight line basis. The core deposit intangible is included in other assets on the consolidated balance sheets.</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amortization expense for the years ended December 31, 2018, 2017 and 2016 was $167, $245, and $323 thousand, respectively.</w:t>
      </w:r>
    </w:p>
    <w:p>
      <w:pPr>
        <w:spacing w:after="0" w:line="13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Amortization expense of the core deposit intangible assets remaining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00" w:type="dxa"/>
            <w:vAlign w:val="bottom"/>
          </w:tcPr>
          <w:p>
            <w:pPr>
              <w:spacing w:after="0"/>
              <w:rPr>
                <w:sz w:val="19"/>
                <w:szCs w:val="19"/>
                <w:color w:val="auto"/>
              </w:rPr>
            </w:pPr>
          </w:p>
        </w:tc>
        <w:tc>
          <w:tcPr>
            <w:tcW w:w="1840" w:type="dxa"/>
            <w:vAlign w:val="bottom"/>
            <w:tcBorders>
              <w:bottom w:val="single" w:sz="8" w:color="CFF0FC"/>
            </w:tcBorders>
          </w:tcPr>
          <w:p>
            <w:pPr>
              <w:spacing w:after="0"/>
              <w:rPr>
                <w:sz w:val="19"/>
                <w:szCs w:val="19"/>
                <w:color w:val="auto"/>
              </w:rPr>
            </w:pPr>
          </w:p>
        </w:tc>
        <w:tc>
          <w:tcPr>
            <w:tcW w:w="34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color w:val="auto"/>
              </w:rPr>
              <w:t>Custar</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1840" w:type="dxa"/>
            <w:vAlign w:val="bottom"/>
            <w:shd w:val="clear" w:color="auto" w:fill="CFF0FC"/>
          </w:tcPr>
          <w:p>
            <w:pPr>
              <w:jc w:val="right"/>
              <w:ind w:right="1412"/>
              <w:spacing w:after="0"/>
              <w:rPr>
                <w:sz w:val="20"/>
                <w:szCs w:val="20"/>
                <w:color w:val="auto"/>
              </w:rPr>
            </w:pPr>
            <w:r>
              <w:rPr>
                <w:rFonts w:ascii="Arial" w:cs="Arial" w:eastAsia="Arial" w:hAnsi="Arial"/>
                <w:sz w:val="18"/>
                <w:szCs w:val="18"/>
                <w:color w:val="auto"/>
                <w:w w:val="79"/>
              </w:rPr>
              <w:t>2019</w:t>
            </w:r>
          </w:p>
        </w:tc>
        <w:tc>
          <w:tcPr>
            <w:tcW w:w="3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40" w:type="dxa"/>
            <w:vAlign w:val="bottom"/>
            <w:gridSpan w:val="2"/>
          </w:tcPr>
          <w:p>
            <w:pPr>
              <w:jc w:val="right"/>
              <w:ind w:right="1412"/>
              <w:spacing w:after="0"/>
              <w:rPr>
                <w:sz w:val="20"/>
                <w:szCs w:val="20"/>
                <w:color w:val="auto"/>
              </w:rPr>
            </w:pPr>
            <w:r>
              <w:rPr>
                <w:rFonts w:ascii="Arial" w:cs="Arial" w:eastAsia="Arial" w:hAnsi="Arial"/>
                <w:sz w:val="18"/>
                <w:szCs w:val="18"/>
                <w:color w:val="auto"/>
              </w:rPr>
              <w:t>2020</w:t>
            </w: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40" w:type="dxa"/>
            <w:vAlign w:val="bottom"/>
            <w:vMerge w:val="restart"/>
            <w:shd w:val="clear" w:color="auto" w:fill="CFF0FC"/>
          </w:tcPr>
          <w:p>
            <w:pPr>
              <w:jc w:val="right"/>
              <w:ind w:right="1412"/>
              <w:spacing w:after="0"/>
              <w:rPr>
                <w:sz w:val="20"/>
                <w:szCs w:val="20"/>
                <w:color w:val="auto"/>
              </w:rPr>
            </w:pPr>
            <w:r>
              <w:rPr>
                <w:rFonts w:ascii="Arial" w:cs="Arial" w:eastAsia="Arial" w:hAnsi="Arial"/>
                <w:sz w:val="18"/>
                <w:szCs w:val="18"/>
                <w:color w:val="auto"/>
                <w:w w:val="79"/>
              </w:rPr>
              <w:t>Total</w:t>
            </w:r>
          </w:p>
        </w:tc>
        <w:tc>
          <w:tcPr>
            <w:tcW w:w="34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00" w:type="dxa"/>
            <w:vAlign w:val="bottom"/>
          </w:tcPr>
          <w:p>
            <w:pPr>
              <w:spacing w:after="0"/>
              <w:rPr>
                <w:sz w:val="18"/>
                <w:szCs w:val="18"/>
                <w:color w:val="auto"/>
              </w:rPr>
            </w:pPr>
          </w:p>
        </w:tc>
        <w:tc>
          <w:tcPr>
            <w:tcW w:w="1840" w:type="dxa"/>
            <w:vAlign w:val="bottom"/>
            <w:vMerge w:val="continue"/>
            <w:shd w:val="clear" w:color="auto" w:fill="CFF0FC"/>
          </w:tcPr>
          <w:p>
            <w:pPr>
              <w:spacing w:after="0"/>
              <w:rPr>
                <w:sz w:val="18"/>
                <w:szCs w:val="18"/>
                <w:color w:val="auto"/>
              </w:rPr>
            </w:pPr>
          </w:p>
        </w:tc>
        <w:tc>
          <w:tcPr>
            <w:tcW w:w="3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3400" w:type="dxa"/>
            <w:vAlign w:val="bottom"/>
            <w:tcBorders>
              <w:top w:val="single" w:sz="8" w:color="CFF0FC"/>
              <w:bottom w:val="single" w:sz="8" w:color="CFF0FC"/>
            </w:tcBorders>
            <w:vMerge w:val="restart"/>
          </w:tcPr>
          <w:p>
            <w:pPr>
              <w:jc w:val="right"/>
              <w:ind w:right="1652"/>
              <w:spacing w:after="0"/>
              <w:rPr>
                <w:sz w:val="20"/>
                <w:szCs w:val="20"/>
                <w:color w:val="auto"/>
              </w:rPr>
            </w:pPr>
            <w:r>
              <w:rPr>
                <w:rFonts w:ascii="Arial" w:cs="Arial" w:eastAsia="Arial" w:hAnsi="Arial"/>
                <w:sz w:val="18"/>
                <w:szCs w:val="18"/>
                <w:color w:val="auto"/>
              </w:rPr>
              <w:t>57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30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amortized cost and fair value of securities, with gross unrealized gains and losses,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left="712"/>
              <w:spacing w:after="0"/>
              <w:rPr>
                <w:sz w:val="20"/>
                <w:szCs w:val="20"/>
                <w:color w:val="auto"/>
              </w:rPr>
            </w:pPr>
            <w:r>
              <w:rPr>
                <w:rFonts w:ascii="Arial" w:cs="Arial" w:eastAsia="Arial" w:hAnsi="Arial"/>
                <w:sz w:val="18"/>
                <w:szCs w:val="18"/>
                <w:color w:val="auto"/>
                <w:w w:val="89"/>
              </w:rPr>
              <w:t>2018</w:t>
            </w: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Amortized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Market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7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23,078</w:t>
            </w:r>
          </w:p>
        </w:tc>
        <w:tc>
          <w:tcPr>
            <w:tcW w:w="4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22,830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7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71,235</w:t>
            </w:r>
          </w:p>
        </w:tc>
        <w:tc>
          <w:tcPr>
            <w:tcW w:w="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37,342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7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40,608</w:t>
            </w:r>
          </w:p>
        </w:tc>
        <w:tc>
          <w:tcPr>
            <w:tcW w:w="4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 available-for-sale securities</w:t>
            </w:r>
          </w:p>
        </w:tc>
        <w:tc>
          <w:tcPr>
            <w:tcW w:w="17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60" w:type="dxa"/>
            <w:vAlign w:val="bottom"/>
            <w:gridSpan w:val="2"/>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172,263</w:t>
            </w:r>
          </w:p>
        </w:tc>
        <w:tc>
          <w:tcPr>
            <w:tcW w:w="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(4,111)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168,447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8"/>
                <w:szCs w:val="18"/>
                <w:color w:val="auto"/>
                <w:w w:val="87"/>
              </w:rPr>
              <w:t>(In Thousands)</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4"/>
          </w:tcPr>
          <w:p>
            <w:pPr>
              <w:jc w:val="center"/>
              <w:ind w:left="732"/>
              <w:spacing w:after="0"/>
              <w:rPr>
                <w:sz w:val="20"/>
                <w:szCs w:val="20"/>
                <w:color w:val="auto"/>
              </w:rPr>
            </w:pPr>
            <w:r>
              <w:rPr>
                <w:rFonts w:ascii="Arial" w:cs="Arial" w:eastAsia="Arial" w:hAnsi="Arial"/>
                <w:sz w:val="18"/>
                <w:szCs w:val="18"/>
                <w:color w:val="auto"/>
                <w:w w:val="84"/>
              </w:rPr>
              <w:t>2017</w:t>
            </w: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Amortized</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Unrealized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Market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Gains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color w:val="auto"/>
                <w:w w:val="84"/>
              </w:rPr>
              <w:t>Losses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Value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78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21,219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7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82,198</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40,236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7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55,512</w:t>
            </w:r>
          </w:p>
        </w:tc>
        <w:tc>
          <w:tcPr>
            <w:tcW w:w="22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437</w:t>
            </w:r>
          </w:p>
        </w:tc>
        <w:tc>
          <w:tcPr>
            <w:tcW w:w="240" w:type="dxa"/>
            <w:vAlign w:val="bottom"/>
            <w:tcBorders>
              <w:righ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55,444</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 available-for-sale securities</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199,165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(3,268)</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196,398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780" w:type="dxa"/>
            <w:vAlign w:val="bottom"/>
            <w:vMerge w:val="restart"/>
          </w:tcPr>
          <w:p>
            <w:pPr>
              <w:jc w:val="right"/>
              <w:ind w:right="152"/>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203"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an other than temporary impairment.</w:t>
      </w:r>
    </w:p>
    <w:p>
      <w:pPr>
        <w:spacing w:after="0" w:line="30" w:lineRule="exact"/>
        <w:rPr>
          <w:sz w:val="20"/>
          <w:szCs w:val="20"/>
          <w:color w:val="auto"/>
        </w:rPr>
      </w:pPr>
    </w:p>
    <w:p>
      <w:pPr>
        <w:ind w:left="1780" w:hanging="563"/>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109" w:lineRule="exact"/>
        <w:rPr>
          <w:rFonts w:ascii="Arial" w:cs="Arial" w:eastAsia="Arial" w:hAnsi="Arial"/>
          <w:sz w:val="18"/>
          <w:szCs w:val="18"/>
          <w:color w:val="auto"/>
        </w:rPr>
      </w:pPr>
    </w:p>
    <w:p>
      <w:pPr>
        <w:ind w:left="1780" w:right="20" w:hanging="563"/>
        <w:spacing w:after="0" w:line="262"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spacing w:after="0" w:line="74" w:lineRule="exact"/>
        <w:rPr>
          <w:rFonts w:ascii="Arial" w:cs="Arial" w:eastAsia="Arial" w:hAnsi="Arial"/>
          <w:sz w:val="18"/>
          <w:szCs w:val="18"/>
          <w:color w:val="auto"/>
        </w:rPr>
      </w:pPr>
    </w:p>
    <w:p>
      <w:pPr>
        <w:ind w:left="1780" w:hanging="563"/>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109" w:lineRule="exact"/>
        <w:rPr>
          <w:rFonts w:ascii="Arial" w:cs="Arial" w:eastAsia="Arial" w:hAnsi="Arial"/>
          <w:sz w:val="18"/>
          <w:szCs w:val="18"/>
          <w:color w:val="auto"/>
        </w:rPr>
      </w:pPr>
    </w:p>
    <w:p>
      <w:pPr>
        <w:ind w:left="1780" w:hanging="563"/>
        <w:spacing w:after="0"/>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underwater security has longer than 10 years to maturity and the loss position had existed for more than 3 years.</w:t>
      </w:r>
    </w:p>
    <w:p>
      <w:pPr>
        <w:spacing w:after="0" w:line="109" w:lineRule="exact"/>
        <w:rPr>
          <w:rFonts w:ascii="Arial" w:cs="Arial" w:eastAsia="Arial" w:hAnsi="Arial"/>
          <w:sz w:val="18"/>
          <w:szCs w:val="18"/>
          <w:color w:val="auto"/>
        </w:rPr>
      </w:pPr>
    </w:p>
    <w:p>
      <w:pPr>
        <w:ind w:left="1780" w:right="20" w:hanging="563"/>
        <w:spacing w:after="0" w:line="262" w:lineRule="auto"/>
        <w:tabs>
          <w:tab w:leader="none" w:pos="1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75"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89"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Information pertaining to securities with gross unrealized losses at December 31, 2018 and 2017, aggregated by investment category and length of time that individual securities have been in a continuous loss position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2018</w:t>
            </w: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8"/>
              </w:rPr>
              <w:t>Less Than Twelve Months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Twelve Months &amp; Over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112"/>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0"/>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U.S. Government agencies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State and local governments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3,951</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(4,085)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145,348</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5"/>
          </w:tcPr>
          <w:p>
            <w:pPr>
              <w:jc w:val="center"/>
              <w:ind w:right="32"/>
              <w:spacing w:after="0"/>
              <w:rPr>
                <w:sz w:val="20"/>
                <w:szCs w:val="20"/>
                <w:color w:val="auto"/>
              </w:rPr>
            </w:pPr>
            <w:r>
              <w:rPr>
                <w:rFonts w:ascii="Arial" w:cs="Arial" w:eastAsia="Arial" w:hAnsi="Arial"/>
                <w:sz w:val="18"/>
                <w:szCs w:val="18"/>
                <w:color w:val="auto"/>
                <w:w w:val="88"/>
              </w:rPr>
              <w:t>Less Than Twelve Months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6"/>
          </w:tcPr>
          <w:p>
            <w:pPr>
              <w:jc w:val="center"/>
              <w:ind w:right="220"/>
              <w:spacing w:after="0"/>
              <w:rPr>
                <w:sz w:val="20"/>
                <w:szCs w:val="20"/>
                <w:color w:val="auto"/>
              </w:rPr>
            </w:pPr>
            <w:r>
              <w:rPr>
                <w:rFonts w:ascii="Arial" w:cs="Arial" w:eastAsia="Arial" w:hAnsi="Arial"/>
                <w:sz w:val="18"/>
                <w:szCs w:val="18"/>
                <w:color w:val="auto"/>
                <w:w w:val="92"/>
              </w:rPr>
              <w:t>Twelve Months &amp; Over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right="112"/>
              <w:spacing w:after="0"/>
              <w:rPr>
                <w:sz w:val="20"/>
                <w:szCs w:val="20"/>
                <w:color w:val="auto"/>
              </w:rPr>
            </w:pPr>
            <w:r>
              <w:rPr>
                <w:rFonts w:ascii="Arial" w:cs="Arial" w:eastAsia="Arial" w:hAnsi="Arial"/>
                <w:sz w:val="18"/>
                <w:szCs w:val="18"/>
                <w:color w:val="auto"/>
                <w:w w:val="96"/>
              </w:rPr>
              <w:t>Fair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0"/>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14,054</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U.S. Government agencies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27,328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53,139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300" w:type="dxa"/>
            <w:vAlign w:val="bottom"/>
            <w:gridSpan w:val="2"/>
          </w:tcPr>
          <w:p>
            <w:pPr>
              <w:ind w:left="580"/>
              <w:spacing w:after="0"/>
              <w:rPr>
                <w:sz w:val="20"/>
                <w:szCs w:val="20"/>
                <w:color w:val="auto"/>
              </w:rPr>
            </w:pPr>
            <w:r>
              <w:rPr>
                <w:rFonts w:ascii="Arial" w:cs="Arial" w:eastAsia="Arial" w:hAnsi="Arial"/>
                <w:sz w:val="18"/>
                <w:szCs w:val="18"/>
                <w:color w:val="auto"/>
              </w:rPr>
              <w:t>State and local governments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24,999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available-for-sales securities</w:t>
            </w:r>
          </w:p>
        </w:tc>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72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66,400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(2,643)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106,840</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ind w:right="132"/>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5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37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Securities (Continued)</w:t>
      </w:r>
    </w:p>
    <w:p>
      <w:pPr>
        <w:spacing w:after="0" w:line="203"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8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Sales of $10.1, $13.6, and $85.7 million for 2018, 2017, and 2016 respectively, generated gross realized gains and losses for the years ended</w:t>
      </w:r>
    </w:p>
    <w:p>
      <w:pPr>
        <w:spacing w:after="0" w:line="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December 31, as presented below:</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5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89"/>
              </w:rPr>
              <w:t>(In Thousands)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14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880" w:type="dxa"/>
            <w:vAlign w:val="bottom"/>
            <w:gridSpan w:val="2"/>
            <w:shd w:val="clear" w:color="auto" w:fill="CFF0FC"/>
          </w:tcPr>
          <w:p>
            <w:pPr>
              <w:jc w:val="right"/>
              <w:ind w:right="658"/>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tcPr>
          <w:p>
            <w:pPr>
              <w:spacing w:after="0"/>
              <w:rPr>
                <w:sz w:val="20"/>
                <w:szCs w:val="20"/>
                <w:color w:val="auto"/>
              </w:rPr>
            </w:pPr>
            <w:r>
              <w:rPr>
                <w:rFonts w:ascii="Arial" w:cs="Arial" w:eastAsia="Arial" w:hAnsi="Arial"/>
                <w:sz w:val="18"/>
                <w:szCs w:val="18"/>
                <w:color w:val="auto"/>
              </w:rPr>
              <w:t>Gross realized losses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14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Net realized gains (losses)</w:t>
            </w: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vMerge w:val="continue"/>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58"/>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w:t>
            </w:r>
          </w:p>
        </w:tc>
        <w:tc>
          <w:tcPr>
            <w:tcW w:w="34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Tax expense (benefit) related to net realized gains (losses)</w:t>
            </w:r>
          </w:p>
        </w:tc>
        <w:tc>
          <w:tcPr>
            <w:tcW w:w="10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880" w:type="dxa"/>
            <w:vAlign w:val="bottom"/>
            <w:gridSpan w:val="2"/>
          </w:tcPr>
          <w:p>
            <w:pPr>
              <w:jc w:val="right"/>
              <w:ind w:right="658"/>
              <w:spacing w:after="0" w:line="20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72"/>
              <w:spacing w:after="0" w:line="203"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16</w:t>
            </w:r>
          </w:p>
        </w:tc>
        <w:tc>
          <w:tcPr>
            <w:tcW w:w="260" w:type="dxa"/>
            <w:vAlign w:val="bottom"/>
          </w:tcPr>
          <w:p>
            <w:pPr>
              <w:spacing w:after="0"/>
              <w:rPr>
                <w:sz w:val="17"/>
                <w:szCs w:val="17"/>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net realized gain (loss) on sales and related tax expense (benefit) is a reclassification out of accumulated other comprehensive income (loss). The net realized gain (loss) is included in net gain (loss) on sale of securities available-for-sale and the related tax expense (benefit) is included in income taxes in the consolidated statements of income.</w:t>
      </w:r>
    </w:p>
    <w:p>
      <w:pPr>
        <w:spacing w:after="0" w:line="83"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 amortized cost and fair value of debt securities at December 31, 2018, by contractual maturity, are shown below. Expected maturities will differ from contractual maturities because borrowers may have the right to call or prepay obligations with or without call or prepayment penalties.</w:t>
      </w:r>
    </w:p>
    <w:p>
      <w:pPr>
        <w:spacing w:after="0" w:line="149"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ind w:left="52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6"/>
              </w:rPr>
              <w:t>Amortized</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tcBorders>
              <w:bottom w:val="single" w:sz="8" w:color="CFF0FC"/>
            </w:tcBorders>
          </w:tcPr>
          <w:p>
            <w:pPr>
              <w:spacing w:after="0"/>
              <w:rPr>
                <w:sz w:val="19"/>
                <w:szCs w:val="19"/>
                <w:color w:val="auto"/>
              </w:rPr>
            </w:pPr>
          </w:p>
        </w:tc>
        <w:tc>
          <w:tcPr>
            <w:tcW w:w="16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Cost</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0"/>
              </w:rPr>
              <w:t>Fair Value</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After one year through five years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67,009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After ten years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134,921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vMerge w:val="continue"/>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172,263</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168,447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Investments with a carrying value and fair value of $81.8 million at December 31, 2018 and $82.9 million at December 31, 2017 were pledged to secure public deposits and securities sold under repurchase agreements.</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securities include Federal Home Loan Bank of Cincinnati stock as of December 31, 2018 and 2017.</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Company had $495 thousand in loans held for sale at December 31, 2018 as compared to $1.2 million in loans held for sale at December 31, 2017.</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Loans at December 31 are summarized below:</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78"/>
        </w:trPr>
        <w:tc>
          <w:tcPr>
            <w:tcW w:w="4220" w:type="dxa"/>
            <w:vAlign w:val="bottom"/>
            <w:gridSpan w:val="3"/>
          </w:tcPr>
          <w:p>
            <w:pPr>
              <w:spacing w:after="0" w:line="178" w:lineRule="exact"/>
              <w:rPr>
                <w:sz w:val="20"/>
                <w:szCs w:val="20"/>
                <w:color w:val="auto"/>
              </w:rPr>
            </w:pPr>
            <w:r>
              <w:rPr>
                <w:rFonts w:ascii="Arial" w:cs="Arial" w:eastAsia="Arial" w:hAnsi="Arial"/>
                <w:sz w:val="18"/>
                <w:szCs w:val="18"/>
                <w:color w:val="auto"/>
              </w:rPr>
              <w:t>Loans:</w:t>
            </w:r>
          </w:p>
        </w:tc>
        <w:tc>
          <w:tcPr>
            <w:tcW w:w="1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72"/>
              <w:spacing w:after="0" w:line="178" w:lineRule="exact"/>
              <w:rPr>
                <w:sz w:val="20"/>
                <w:szCs w:val="20"/>
                <w:color w:val="auto"/>
              </w:rPr>
            </w:pPr>
            <w:r>
              <w:rPr>
                <w:rFonts w:ascii="Arial" w:cs="Arial" w:eastAsia="Arial" w:hAnsi="Arial"/>
                <w:sz w:val="18"/>
                <w:szCs w:val="18"/>
                <w:color w:val="auto"/>
              </w:rPr>
              <w:t>2018</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92"/>
              <w:spacing w:after="0" w:line="178" w:lineRule="exact"/>
              <w:rPr>
                <w:sz w:val="20"/>
                <w:szCs w:val="20"/>
                <w:color w:val="auto"/>
              </w:rPr>
            </w:pPr>
            <w:r>
              <w:rPr>
                <w:rFonts w:ascii="Arial" w:cs="Arial" w:eastAsia="Arial" w:hAnsi="Arial"/>
                <w:sz w:val="18"/>
                <w:szCs w:val="18"/>
                <w:color w:val="auto"/>
              </w:rPr>
              <w:t>2017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CFF0FC"/>
            </w:tcBorders>
          </w:tcPr>
          <w:p>
            <w:pPr>
              <w:spacing w:after="0" w:line="20" w:lineRule="exact"/>
              <w:rPr>
                <w:sz w:val="1"/>
                <w:szCs w:val="1"/>
                <w:color w:val="auto"/>
              </w:rPr>
            </w:pPr>
          </w:p>
        </w:tc>
        <w:tc>
          <w:tcPr>
            <w:tcW w:w="3740" w:type="dxa"/>
            <w:vAlign w:val="bottom"/>
            <w:tcBorders>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Agricultural Real Estate</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68,609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64,073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Agricultural</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Commercial Real Estate</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419,784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410,520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Commercial and Industrial</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Consumer</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41,953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Industrial Development Bonds</w:t>
            </w:r>
          </w:p>
        </w:tc>
        <w:tc>
          <w:tcPr>
            <w:tcW w:w="1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847,289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823,771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Less: Net deferred loan fees and costs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(915)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846,374</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823,024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Less: Allowance for loan losses</w:t>
            </w: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(6,775)</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2"/>
            <w:vMerge w:val="restart"/>
          </w:tcPr>
          <w:p>
            <w:pPr>
              <w:ind w:left="220"/>
              <w:spacing w:after="0"/>
              <w:rPr>
                <w:sz w:val="20"/>
                <w:szCs w:val="20"/>
                <w:color w:val="auto"/>
              </w:rPr>
            </w:pPr>
            <w:r>
              <w:rPr>
                <w:rFonts w:ascii="Arial" w:cs="Arial" w:eastAsia="Arial" w:hAnsi="Arial"/>
                <w:sz w:val="18"/>
                <w:szCs w:val="18"/>
                <w:color w:val="auto"/>
              </w:rPr>
              <w:t>Loans - Net</w:t>
            </w:r>
          </w:p>
        </w:tc>
        <w:tc>
          <w:tcPr>
            <w:tcW w:w="1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vMerge w:val="continue"/>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839,599</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816,156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7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54"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41"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52"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22"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1"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is a maturity schedule by major category of loans at December 31, 2018:</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color w:val="auto"/>
                <w:w w:val="90"/>
              </w:rPr>
              <w:t>After One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8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Within</w:t>
            </w:r>
          </w:p>
        </w:tc>
        <w:tc>
          <w:tcPr>
            <w:tcW w:w="24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2"/>
              </w:rPr>
              <w:t>Year Within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After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800" w:type="dxa"/>
            <w:vAlign w:val="bottom"/>
            <w:tcBorders>
              <w:bottom w:val="single" w:sz="8" w:color="CFF0FC"/>
            </w:tcBorders>
          </w:tcPr>
          <w:p>
            <w:pPr>
              <w:spacing w:after="0"/>
              <w:rPr>
                <w:sz w:val="19"/>
                <w:szCs w:val="19"/>
                <w:color w:val="auto"/>
              </w:rPr>
            </w:pPr>
          </w:p>
        </w:tc>
        <w:tc>
          <w:tcPr>
            <w:tcW w:w="16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88"/>
              </w:rPr>
              <w:t>One Year</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5"/>
              </w:rPr>
              <w:t>Five Years</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85"/>
              </w:rPr>
              <w:t>Five Years</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tcPr>
          <w:p>
            <w:pPr>
              <w:spacing w:after="0"/>
              <w:rPr>
                <w:sz w:val="19"/>
                <w:szCs w:val="19"/>
                <w:color w:val="auto"/>
              </w:rPr>
            </w:pPr>
          </w:p>
        </w:tc>
      </w:tr>
      <w:tr>
        <w:trPr>
          <w:trHeight w:val="217"/>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60,045</w:t>
            </w:r>
          </w:p>
        </w:tc>
        <w:tc>
          <w:tcPr>
            <w:tcW w:w="2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80,766</w:t>
            </w:r>
          </w:p>
        </w:tc>
        <w:tc>
          <w:tcPr>
            <w:tcW w:w="100" w:type="dxa"/>
            <w:vAlign w:val="bottom"/>
            <w:shd w:val="clear" w:color="auto" w:fill="CFF0FC"/>
          </w:tcPr>
          <w:p>
            <w:pPr>
              <w:spacing w:after="0"/>
              <w:rPr>
                <w:sz w:val="18"/>
                <w:szCs w:val="18"/>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63,176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68,609</w:t>
            </w:r>
          </w:p>
        </w:tc>
        <w:tc>
          <w:tcPr>
            <w:tcW w:w="100" w:type="dxa"/>
            <w:vAlign w:val="bottom"/>
          </w:tcPr>
          <w:p>
            <w:pPr>
              <w:spacing w:after="0"/>
              <w:rPr>
                <w:sz w:val="19"/>
                <w:szCs w:val="19"/>
                <w:color w:val="auto"/>
              </w:rPr>
            </w:pPr>
          </w:p>
        </w:tc>
      </w:tr>
      <w:tr>
        <w:trPr>
          <w:trHeight w:val="22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70,505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108,495</w:t>
            </w:r>
          </w:p>
        </w:tc>
        <w:tc>
          <w:tcPr>
            <w:tcW w:w="100" w:type="dxa"/>
            <w:vAlign w:val="bottom"/>
            <w:shd w:val="clear" w:color="auto" w:fill="CFF0FC"/>
          </w:tcPr>
          <w:p>
            <w:pPr>
              <w:spacing w:after="0"/>
              <w:rPr>
                <w:sz w:val="19"/>
                <w:szCs w:val="19"/>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160,783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242,662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419,784</w:t>
            </w:r>
          </w:p>
        </w:tc>
        <w:tc>
          <w:tcPr>
            <w:tcW w:w="100" w:type="dxa"/>
            <w:vAlign w:val="bottom"/>
          </w:tcPr>
          <w:p>
            <w:pPr>
              <w:spacing w:after="0"/>
              <w:rPr>
                <w:sz w:val="19"/>
                <w:szCs w:val="19"/>
                <w:color w:val="auto"/>
              </w:rPr>
            </w:pPr>
          </w:p>
        </w:tc>
      </w:tr>
      <w:tr>
        <w:trPr>
          <w:trHeight w:val="22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121,793</w:t>
            </w:r>
          </w:p>
        </w:tc>
        <w:tc>
          <w:tcPr>
            <w:tcW w:w="100" w:type="dxa"/>
            <w:vAlign w:val="bottom"/>
            <w:shd w:val="clear" w:color="auto" w:fill="CFF0FC"/>
          </w:tcPr>
          <w:p>
            <w:pPr>
              <w:spacing w:after="0"/>
              <w:rPr>
                <w:sz w:val="19"/>
                <w:szCs w:val="19"/>
                <w:color w:val="auto"/>
              </w:rPr>
            </w:pPr>
          </w:p>
        </w:tc>
      </w:tr>
      <w:tr>
        <w:trPr>
          <w:trHeight w:val="224"/>
        </w:trPr>
        <w:tc>
          <w:tcPr>
            <w:tcW w:w="3800" w:type="dxa"/>
            <w:vAlign w:val="bottom"/>
          </w:tcPr>
          <w:p>
            <w:pPr>
              <w:spacing w:after="0"/>
              <w:rPr>
                <w:sz w:val="20"/>
                <w:szCs w:val="20"/>
                <w:color w:val="auto"/>
              </w:rPr>
            </w:pPr>
            <w:r>
              <w:rPr>
                <w:rFonts w:ascii="Arial" w:cs="Arial" w:eastAsia="Arial" w:hAnsi="Arial"/>
                <w:sz w:val="18"/>
                <w:szCs w:val="18"/>
                <w:color w:val="auto"/>
              </w:rPr>
              <w:t>Consumer</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5,211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27,369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41,953</w:t>
            </w:r>
          </w:p>
        </w:tc>
        <w:tc>
          <w:tcPr>
            <w:tcW w:w="100" w:type="dxa"/>
            <w:vAlign w:val="bottom"/>
          </w:tcPr>
          <w:p>
            <w:pPr>
              <w:spacing w:after="0"/>
              <w:rPr>
                <w:sz w:val="19"/>
                <w:szCs w:val="19"/>
                <w:color w:val="auto"/>
              </w:rPr>
            </w:pPr>
          </w:p>
        </w:tc>
      </w:tr>
      <w:tr>
        <w:trPr>
          <w:trHeight w:val="22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100" w:type="dxa"/>
            <w:vAlign w:val="bottom"/>
            <w:shd w:val="clear" w:color="auto" w:fill="CFF0FC"/>
          </w:tcPr>
          <w:p>
            <w:pPr>
              <w:spacing w:after="0"/>
              <w:rPr>
                <w:sz w:val="19"/>
                <w:szCs w:val="19"/>
                <w:color w:val="auto"/>
              </w:rPr>
            </w:pPr>
          </w:p>
        </w:tc>
      </w:tr>
      <w:tr>
        <w:trPr>
          <w:trHeight w:val="217"/>
        </w:trPr>
        <w:tc>
          <w:tcPr>
            <w:tcW w:w="380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158,878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290,486</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397,925</w:t>
            </w:r>
          </w:p>
        </w:tc>
        <w:tc>
          <w:tcPr>
            <w:tcW w:w="22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847,289</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December 31, 2018:</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Fixed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Variable</w:t>
            </w:r>
          </w:p>
        </w:tc>
      </w:tr>
      <w:tr>
        <w:trPr>
          <w:trHeight w:val="224"/>
        </w:trPr>
        <w:tc>
          <w:tcPr>
            <w:tcW w:w="2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Rate</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Rate</w:t>
            </w:r>
          </w:p>
        </w:tc>
        <w:tc>
          <w:tcPr>
            <w:tcW w:w="80" w:type="dxa"/>
            <w:vAlign w:val="bottom"/>
            <w:tcBorders>
              <w:bottom w:val="single" w:sz="8" w:color="CFF0FC"/>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45,592</w:t>
            </w:r>
          </w:p>
        </w:tc>
        <w:tc>
          <w:tcPr>
            <w:tcW w:w="80" w:type="dxa"/>
            <w:vAlign w:val="bottom"/>
            <w:shd w:val="clear" w:color="auto" w:fill="CFF0FC"/>
          </w:tcPr>
          <w:p>
            <w:pPr>
              <w:spacing w:after="0"/>
              <w:rPr>
                <w:sz w:val="18"/>
                <w:szCs w:val="18"/>
                <w:color w:val="auto"/>
              </w:rPr>
            </w:pPr>
          </w:p>
        </w:tc>
      </w:tr>
      <w:tr>
        <w:trPr>
          <w:trHeight w:val="224"/>
        </w:trPr>
        <w:tc>
          <w:tcPr>
            <w:tcW w:w="386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18,892</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71,442</w:t>
            </w:r>
          </w:p>
        </w:tc>
        <w:tc>
          <w:tcPr>
            <w:tcW w:w="80" w:type="dxa"/>
            <w:vAlign w:val="bottom"/>
            <w:shd w:val="clear" w:color="auto" w:fill="CFF0FC"/>
          </w:tcPr>
          <w:p>
            <w:pPr>
              <w:spacing w:after="0"/>
              <w:rPr>
                <w:sz w:val="19"/>
                <w:szCs w:val="19"/>
                <w:color w:val="auto"/>
              </w:rPr>
            </w:pPr>
          </w:p>
        </w:tc>
      </w:tr>
      <w:tr>
        <w:trPr>
          <w:trHeight w:val="224"/>
        </w:trPr>
        <w:tc>
          <w:tcPr>
            <w:tcW w:w="38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265,197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154,587</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75,859</w:t>
            </w:r>
          </w:p>
        </w:tc>
        <w:tc>
          <w:tcPr>
            <w:tcW w:w="80" w:type="dxa"/>
            <w:vAlign w:val="bottom"/>
            <w:shd w:val="clear" w:color="auto" w:fill="CFF0FC"/>
          </w:tcPr>
          <w:p>
            <w:pPr>
              <w:spacing w:after="0"/>
              <w:rPr>
                <w:sz w:val="19"/>
                <w:szCs w:val="19"/>
                <w:color w:val="auto"/>
              </w:rPr>
            </w:pPr>
          </w:p>
        </w:tc>
      </w:tr>
      <w:tr>
        <w:trPr>
          <w:trHeight w:val="224"/>
        </w:trPr>
        <w:tc>
          <w:tcPr>
            <w:tcW w:w="386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37,487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4,466</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ind w:left="820" w:right="20"/>
        <w:spacing w:after="0" w:line="262" w:lineRule="auto"/>
        <w:rPr>
          <w:sz w:val="20"/>
          <w:szCs w:val="20"/>
          <w:color w:val="auto"/>
        </w:rPr>
      </w:pPr>
      <w:r>
        <w:rPr>
          <w:rFonts w:ascii="Arial" w:cs="Arial" w:eastAsia="Arial" w:hAnsi="Arial"/>
          <w:sz w:val="18"/>
          <w:szCs w:val="18"/>
          <w:color w:val="auto"/>
        </w:rPr>
        <w:t>Industrial Development Bonds are included in the commercial and industrial category for the remainder of the tables in this Note 4, unless specifically noted separately.</w:t>
      </w:r>
    </w:p>
    <w:p>
      <w:pPr>
        <w:spacing w:after="0" w:line="75" w:lineRule="exact"/>
        <w:rPr>
          <w:sz w:val="20"/>
          <w:szCs w:val="20"/>
          <w:color w:val="auto"/>
        </w:rPr>
      </w:pPr>
    </w:p>
    <w:p>
      <w:pPr>
        <w:ind w:left="820" w:right="20"/>
        <w:spacing w:after="0" w:line="262" w:lineRule="auto"/>
        <w:rPr>
          <w:sz w:val="20"/>
          <w:szCs w:val="20"/>
          <w:color w:val="auto"/>
        </w:rPr>
      </w:pPr>
      <w:r>
        <w:rPr>
          <w:rFonts w:ascii="Arial" w:cs="Arial" w:eastAsia="Arial" w:hAnsi="Arial"/>
          <w:sz w:val="18"/>
          <w:szCs w:val="18"/>
          <w:color w:val="auto"/>
        </w:rPr>
        <w:t>The following table represents the contractual aging of the recorded investment in past due loans by portfolio classification of loans as of December 31, 2018 and 2017, net of deferred loan fees and costs: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Recorded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6"/>
              </w:rPr>
              <w:t>Investment</w:t>
            </w: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color w:val="auto"/>
                <w:w w:val="88"/>
              </w:rPr>
              <w:t>Greater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Total</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90"/>
              </w:rPr>
              <w:t>&gt; 90 Days</w:t>
            </w:r>
          </w:p>
        </w:tc>
        <w:tc>
          <w:tcPr>
            <w:tcW w:w="20" w:type="dxa"/>
            <w:vAlign w:val="bottom"/>
          </w:tcPr>
          <w:p>
            <w:pPr>
              <w:spacing w:after="0"/>
              <w:rPr>
                <w:sz w:val="18"/>
                <w:szCs w:val="18"/>
                <w:color w:val="auto"/>
              </w:rPr>
            </w:pPr>
          </w:p>
        </w:tc>
      </w:tr>
      <w:tr>
        <w:trPr>
          <w:trHeight w:val="211"/>
        </w:trPr>
        <w:tc>
          <w:tcPr>
            <w:tcW w:w="42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30-59 Days</w:t>
            </w: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60-89 Days</w:t>
            </w:r>
          </w:p>
        </w:tc>
        <w:tc>
          <w:tcPr>
            <w:tcW w:w="100" w:type="dxa"/>
            <w:vAlign w:val="bottom"/>
          </w:tcPr>
          <w:p>
            <w:pPr>
              <w:spacing w:after="0"/>
              <w:rPr>
                <w:sz w:val="18"/>
                <w:szCs w:val="18"/>
                <w:color w:val="auto"/>
              </w:rPr>
            </w:pPr>
          </w:p>
        </w:tc>
        <w:tc>
          <w:tcPr>
            <w:tcW w:w="720" w:type="dxa"/>
            <w:vAlign w:val="bottom"/>
          </w:tcPr>
          <w:p>
            <w:pPr>
              <w:jc w:val="center"/>
              <w:ind w:right="32"/>
              <w:spacing w:after="0"/>
              <w:rPr>
                <w:sz w:val="20"/>
                <w:szCs w:val="20"/>
                <w:color w:val="auto"/>
              </w:rPr>
            </w:pPr>
            <w:r>
              <w:rPr>
                <w:rFonts w:ascii="Arial" w:cs="Arial" w:eastAsia="Arial" w:hAnsi="Arial"/>
                <w:sz w:val="18"/>
                <w:szCs w:val="18"/>
                <w:color w:val="auto"/>
                <w:w w:val="87"/>
              </w:rPr>
              <w:t>Than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December 31, 2018</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0"/>
              </w:rPr>
              <w:t>Past Due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Past Due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90 Days</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1"/>
              </w:rPr>
              <w:t>Past Due</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Current</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Receivables</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79,612</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80,232</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68,588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68,588</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108,616</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419,131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419,131</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127,752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127,752</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24"/>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41,938</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42,055</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r>
      <w:tr>
        <w:trPr>
          <w:trHeight w:val="217"/>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845,637</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846,374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1"/>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92"/>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8"/>
        </w:trPr>
        <w:tc>
          <w:tcPr>
            <w:tcW w:w="4280" w:type="dxa"/>
            <w:vAlign w:val="bottom"/>
          </w:tcPr>
          <w:p>
            <w:pPr>
              <w:spacing w:after="0"/>
              <w:rPr>
                <w:sz w:val="20"/>
                <w:szCs w:val="20"/>
                <w:color w:val="auto"/>
              </w:rPr>
            </w:pPr>
            <w:r>
              <w:rPr>
                <w:rFonts w:ascii="Arial" w:cs="Arial" w:eastAsia="Arial" w:hAnsi="Arial"/>
                <w:sz w:val="18"/>
                <w:szCs w:val="18"/>
                <w:b w:val="1"/>
                <w:bCs w:val="1"/>
                <w:color w:val="auto"/>
                <w:w w:val="94"/>
              </w:rPr>
              <w:t>Farmers &amp; Merchants Bancorp, Inc. and Subsidiaries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gridSpan w:val="11"/>
          </w:tcPr>
          <w:p>
            <w:pPr>
              <w:jc w:val="right"/>
              <w:spacing w:after="0"/>
              <w:rPr>
                <w:sz w:val="20"/>
                <w:szCs w:val="20"/>
                <w:color w:val="auto"/>
              </w:rPr>
            </w:pPr>
            <w:r>
              <w:rPr>
                <w:rFonts w:ascii="Arial" w:cs="Arial" w:eastAsia="Arial" w:hAnsi="Arial"/>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28"/>
        </w:trPr>
        <w:tc>
          <w:tcPr>
            <w:tcW w:w="4280" w:type="dxa"/>
            <w:vAlign w:val="bottom"/>
            <w:vMerge w:val="restart"/>
          </w:tcPr>
          <w:p>
            <w:pPr>
              <w:spacing w:after="0"/>
              <w:rPr>
                <w:sz w:val="20"/>
                <w:szCs w:val="20"/>
                <w:color w:val="auto"/>
              </w:rPr>
            </w:pPr>
            <w:r>
              <w:rPr>
                <w:rFonts w:ascii="Arial" w:cs="Arial" w:eastAsia="Arial" w:hAnsi="Arial"/>
                <w:sz w:val="18"/>
                <w:szCs w:val="18"/>
                <w:b w:val="1"/>
                <w:bCs w:val="1"/>
                <w:color w:val="auto"/>
              </w:rPr>
              <w:t>Note 4 – Loans (Continued)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8"/>
          </w:tcPr>
          <w:p>
            <w:pPr>
              <w:jc w:val="right"/>
              <w:spacing w:after="0"/>
              <w:rPr>
                <w:sz w:val="20"/>
                <w:szCs w:val="20"/>
                <w:color w:val="auto"/>
              </w:rPr>
            </w:pPr>
            <w:r>
              <w:rPr>
                <w:rFonts w:ascii="Arial" w:cs="Arial" w:eastAsia="Arial" w:hAnsi="Arial"/>
                <w:sz w:val="18"/>
                <w:szCs w:val="18"/>
                <w:b w:val="1"/>
                <w:bCs w:val="1"/>
                <w:color w:val="auto"/>
              </w:rPr>
              <w:t>December 31, 2018, 2017, 2016</w:t>
            </w:r>
          </w:p>
        </w:tc>
        <w:tc>
          <w:tcPr>
            <w:tcW w:w="0" w:type="dxa"/>
            <w:vAlign w:val="bottom"/>
          </w:tcPr>
          <w:p>
            <w:pPr>
              <w:spacing w:after="0"/>
              <w:rPr>
                <w:sz w:val="1"/>
                <w:szCs w:val="1"/>
                <w:color w:val="auto"/>
              </w:rPr>
            </w:pPr>
          </w:p>
        </w:tc>
      </w:tr>
      <w:tr>
        <w:trPr>
          <w:trHeight w:val="211"/>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4"/>
              </w:rPr>
              <w:t>Recorded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w w:val="86"/>
              </w:rPr>
              <w:t>Investment</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2"/>
              <w:spacing w:after="0"/>
              <w:rPr>
                <w:sz w:val="20"/>
                <w:szCs w:val="20"/>
                <w:color w:val="auto"/>
              </w:rPr>
            </w:pPr>
            <w:r>
              <w:rPr>
                <w:rFonts w:ascii="Arial" w:cs="Arial" w:eastAsia="Arial" w:hAnsi="Arial"/>
                <w:sz w:val="18"/>
                <w:szCs w:val="18"/>
                <w:color w:val="auto"/>
                <w:w w:val="88"/>
              </w:rPr>
              <w:t>Greater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Total</w:t>
            </w:r>
          </w:p>
        </w:tc>
        <w:tc>
          <w:tcPr>
            <w:tcW w:w="8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&gt; 90 Days</w:t>
            </w:r>
          </w:p>
        </w:tc>
        <w:tc>
          <w:tcPr>
            <w:tcW w:w="0" w:type="dxa"/>
            <w:vAlign w:val="bottom"/>
          </w:tcPr>
          <w:p>
            <w:pPr>
              <w:spacing w:after="0"/>
              <w:rPr>
                <w:sz w:val="1"/>
                <w:szCs w:val="1"/>
                <w:color w:val="auto"/>
              </w:rPr>
            </w:pPr>
          </w:p>
        </w:tc>
      </w:tr>
      <w:tr>
        <w:trPr>
          <w:trHeight w:val="211"/>
        </w:trPr>
        <w:tc>
          <w:tcPr>
            <w:tcW w:w="428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9"/>
              </w:rPr>
              <w:t>30-59 Days</w:t>
            </w:r>
          </w:p>
        </w:tc>
        <w:tc>
          <w:tcPr>
            <w:tcW w:w="24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Arial" w:cs="Arial" w:eastAsia="Arial" w:hAnsi="Arial"/>
                <w:sz w:val="18"/>
                <w:szCs w:val="18"/>
                <w:color w:val="auto"/>
              </w:rPr>
              <w:t>60-89 Days</w:t>
            </w:r>
          </w:p>
        </w:tc>
        <w:tc>
          <w:tcPr>
            <w:tcW w:w="100" w:type="dxa"/>
            <w:vAlign w:val="bottom"/>
          </w:tcPr>
          <w:p>
            <w:pPr>
              <w:spacing w:after="0"/>
              <w:rPr>
                <w:sz w:val="18"/>
                <w:szCs w:val="18"/>
                <w:color w:val="auto"/>
              </w:rPr>
            </w:pPr>
          </w:p>
        </w:tc>
        <w:tc>
          <w:tcPr>
            <w:tcW w:w="720" w:type="dxa"/>
            <w:vAlign w:val="bottom"/>
          </w:tcPr>
          <w:p>
            <w:pPr>
              <w:jc w:val="center"/>
              <w:ind w:right="32"/>
              <w:spacing w:after="0"/>
              <w:rPr>
                <w:sz w:val="20"/>
                <w:szCs w:val="20"/>
                <w:color w:val="auto"/>
              </w:rPr>
            </w:pPr>
            <w:r>
              <w:rPr>
                <w:rFonts w:ascii="Arial" w:cs="Arial" w:eastAsia="Arial" w:hAnsi="Arial"/>
                <w:sz w:val="18"/>
                <w:szCs w:val="18"/>
                <w:color w:val="auto"/>
                <w:w w:val="87"/>
              </w:rPr>
              <w:t>Than</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99"/>
              </w:rPr>
              <w:t>Total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Financing</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and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December 31, 2017</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80"/>
              </w:rPr>
              <w:t>Past Due</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3"/>
              </w:rPr>
              <w:t>Past Due</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7"/>
              </w:rPr>
              <w:t>90 Days</w:t>
            </w: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91"/>
              </w:rPr>
              <w:t>Past Due</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9"/>
              </w:rPr>
              <w:t>Current</w:t>
            </w:r>
          </w:p>
        </w:tc>
        <w:tc>
          <w:tcPr>
            <w:tcW w:w="2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Receivables</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Accruing</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82,310</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83,200</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64,044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95,238</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409,915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409,953</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132,787</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37,802</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821,910</w:t>
            </w:r>
          </w:p>
        </w:tc>
        <w:tc>
          <w:tcPr>
            <w:tcW w:w="3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823,024</w:t>
            </w: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55"/>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following table presents the recorded investment in nonaccrual loans by portfolio class of loans as of December 31, 2018 and December 31, 2017:</w:t>
      </w:r>
    </w:p>
    <w:p>
      <w:pPr>
        <w:spacing w:after="0" w:line="193"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360" w:type="dxa"/>
            <w:vAlign w:val="bottom"/>
            <w:tcBorders>
              <w:bottom w:val="single" w:sz="8" w:color="auto"/>
            </w:tcBorders>
            <w:gridSpan w:val="5"/>
          </w:tcPr>
          <w:p>
            <w:pPr>
              <w:jc w:val="right"/>
              <w:ind w:right="572"/>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580" w:type="dxa"/>
            <w:vAlign w:val="bottom"/>
            <w:gridSpan w:val="2"/>
            <w:shd w:val="clear" w:color="auto" w:fill="CFF0FC"/>
          </w:tcPr>
          <w:p>
            <w:pPr>
              <w:jc w:val="right"/>
              <w:ind w:right="5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462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Agricultural Real Estate</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Agriculture</w:t>
            </w:r>
          </w:p>
        </w:tc>
        <w:tc>
          <w:tcPr>
            <w:tcW w:w="1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8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700" w:type="dxa"/>
            <w:vAlign w:val="bottom"/>
            <w:vMerge w:val="continue"/>
            <w:shd w:val="clear" w:color="auto" w:fill="CFF0FC"/>
          </w:tcPr>
          <w:p>
            <w:pPr>
              <w:spacing w:after="0"/>
              <w:rPr>
                <w:sz w:val="18"/>
                <w:szCs w:val="18"/>
                <w:color w:val="auto"/>
              </w:rPr>
            </w:pPr>
          </w:p>
        </w:tc>
        <w:tc>
          <w:tcPr>
            <w:tcW w:w="2580" w:type="dxa"/>
            <w:vAlign w:val="bottom"/>
            <w:gridSpan w:val="2"/>
            <w:shd w:val="clear" w:color="auto" w:fill="CFF0FC"/>
          </w:tcPr>
          <w:p>
            <w:pPr>
              <w:jc w:val="right"/>
              <w:ind w:right="5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542</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risk ratings are described as follows.</w:t>
      </w:r>
    </w:p>
    <w:p>
      <w:pPr>
        <w:spacing w:after="0" w:line="109" w:lineRule="exact"/>
        <w:rPr>
          <w:sz w:val="20"/>
          <w:szCs w:val="20"/>
          <w:color w:val="auto"/>
        </w:rPr>
      </w:pPr>
    </w:p>
    <w:p>
      <w:pPr>
        <w:ind w:left="1780" w:hanging="563"/>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109" w:lineRule="exact"/>
        <w:rPr>
          <w:rFonts w:ascii="Arial" w:cs="Arial" w:eastAsia="Arial" w:hAnsi="Arial"/>
          <w:sz w:val="18"/>
          <w:szCs w:val="18"/>
          <w:color w:val="auto"/>
        </w:rPr>
      </w:pPr>
    </w:p>
    <w:p>
      <w:pPr>
        <w:jc w:val="both"/>
        <w:ind w:left="1780" w:hanging="563"/>
        <w:spacing w:after="0" w:line="283" w:lineRule="auto"/>
        <w:tabs>
          <w:tab w:leader="none" w:pos="1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61" w:lineRule="exact"/>
        <w:rPr>
          <w:rFonts w:ascii="Arial" w:cs="Arial" w:eastAsia="Arial" w:hAnsi="Arial"/>
          <w:sz w:val="16"/>
          <w:szCs w:val="16"/>
          <w:color w:val="auto"/>
        </w:rPr>
      </w:pPr>
    </w:p>
    <w:p>
      <w:pPr>
        <w:jc w:val="both"/>
        <w:ind w:left="1780" w:hanging="563"/>
        <w:spacing w:after="0" w:line="248"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89" w:lineRule="exact"/>
        <w:rPr>
          <w:rFonts w:ascii="Arial" w:cs="Arial" w:eastAsia="Arial" w:hAnsi="Arial"/>
          <w:sz w:val="18"/>
          <w:szCs w:val="18"/>
          <w:color w:val="auto"/>
        </w:rPr>
      </w:pPr>
    </w:p>
    <w:p>
      <w:pPr>
        <w:jc w:val="both"/>
        <w:ind w:left="1780" w:hanging="563"/>
        <w:spacing w:after="0" w:line="253" w:lineRule="auto"/>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1780"/>
        <w:spacing w:after="0" w:line="262" w:lineRule="auto"/>
        <w:rPr>
          <w:sz w:val="20"/>
          <w:szCs w:val="20"/>
          <w:color w:val="auto"/>
        </w:rPr>
      </w:pPr>
      <w:r>
        <w:rPr>
          <w:rFonts w:ascii="Arial" w:cs="Arial" w:eastAsia="Arial" w:hAnsi="Arial"/>
          <w:sz w:val="18"/>
          <w:szCs w:val="18"/>
          <w:color w:val="auto"/>
        </w:rPr>
        <w:t>position less than 2.00. May be some weakness but with offsetting features of other support readily available. Loans are meeting the terms of repayment.</w:t>
      </w:r>
    </w:p>
    <w:p>
      <w:pPr>
        <w:spacing w:after="0" w:line="75" w:lineRule="exact"/>
        <w:rPr>
          <w:sz w:val="20"/>
          <w:szCs w:val="20"/>
          <w:color w:val="auto"/>
        </w:rPr>
      </w:pPr>
    </w:p>
    <w:p>
      <w:pPr>
        <w:ind w:left="1780"/>
        <w:spacing w:after="0" w:line="262" w:lineRule="auto"/>
        <w:rPr>
          <w:sz w:val="20"/>
          <w:szCs w:val="20"/>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spacing w:after="0" w:line="75"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109" w:lineRule="exact"/>
        <w:rPr>
          <w:sz w:val="20"/>
          <w:szCs w:val="20"/>
          <w:color w:val="auto"/>
        </w:rPr>
      </w:pPr>
    </w:p>
    <w:p>
      <w:pPr>
        <w:ind w:left="2340" w:hanging="557"/>
        <w:spacing w:after="0"/>
        <w:tabs>
          <w:tab w:leader="none" w:pos="2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At inception, the loan was secured with collateral possessing a loan-to-value adequate to protect the Bank from loss;</w:t>
      </w:r>
    </w:p>
    <w:p>
      <w:pPr>
        <w:spacing w:after="0" w:line="132" w:lineRule="exact"/>
        <w:rPr>
          <w:rFonts w:ascii="Arial" w:cs="Arial" w:eastAsia="Arial" w:hAnsi="Arial"/>
          <w:sz w:val="16"/>
          <w:szCs w:val="16"/>
          <w:color w:val="auto"/>
        </w:rPr>
      </w:pPr>
    </w:p>
    <w:p>
      <w:pPr>
        <w:ind w:left="2340" w:hanging="557"/>
        <w:spacing w:after="0"/>
        <w:tabs>
          <w:tab w:leader="none" w:pos="23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loan exhibited two or more years of satisfactory repayment with a reasonable reduction of the principal balance;</w:t>
      </w:r>
    </w:p>
    <w:p>
      <w:pPr>
        <w:spacing w:after="0" w:line="132" w:lineRule="exact"/>
        <w:rPr>
          <w:rFonts w:ascii="Arial" w:cs="Arial" w:eastAsia="Arial" w:hAnsi="Arial"/>
          <w:sz w:val="16"/>
          <w:szCs w:val="16"/>
          <w:color w:val="auto"/>
        </w:rPr>
      </w:pPr>
    </w:p>
    <w:p>
      <w:pPr>
        <w:jc w:val="both"/>
        <w:ind w:left="2340" w:hanging="557"/>
        <w:spacing w:after="0" w:line="327" w:lineRule="auto"/>
        <w:tabs>
          <w:tab w:leader="none" w:pos="2340" w:val="left"/>
        </w:tabs>
        <w:numPr>
          <w:ilvl w:val="1"/>
          <w:numId w:val="17"/>
        </w:numPr>
        <w:rPr>
          <w:rFonts w:ascii="Arial" w:cs="Arial" w:eastAsia="Arial" w:hAnsi="Arial"/>
          <w:sz w:val="15"/>
          <w:szCs w:val="15"/>
          <w:color w:val="auto"/>
        </w:rPr>
      </w:pPr>
      <w:r>
        <w:rPr>
          <w:rFonts w:ascii="Arial" w:cs="Arial" w:eastAsia="Arial" w:hAnsi="Arial"/>
          <w:sz w:val="15"/>
          <w:szCs w:val="15"/>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32" w:lineRule="exact"/>
        <w:rPr>
          <w:rFonts w:ascii="Arial" w:cs="Arial" w:eastAsia="Arial" w:hAnsi="Arial"/>
          <w:sz w:val="15"/>
          <w:szCs w:val="15"/>
          <w:color w:val="auto"/>
        </w:rPr>
      </w:pPr>
    </w:p>
    <w:p>
      <w:pPr>
        <w:jc w:val="both"/>
        <w:ind w:left="1780" w:hanging="563"/>
        <w:spacing w:after="0" w:line="291" w:lineRule="auto"/>
        <w:tabs>
          <w:tab w:leader="none" w:pos="1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55" w:lineRule="exact"/>
        <w:rPr>
          <w:rFonts w:ascii="Arial" w:cs="Arial" w:eastAsia="Arial" w:hAnsi="Arial"/>
          <w:sz w:val="16"/>
          <w:szCs w:val="16"/>
          <w:color w:val="auto"/>
        </w:rPr>
      </w:pPr>
    </w:p>
    <w:p>
      <w:pPr>
        <w:jc w:val="both"/>
        <w:ind w:left="1780" w:hanging="563"/>
        <w:spacing w:after="0" w:line="291" w:lineRule="auto"/>
        <w:tabs>
          <w:tab w:leader="none" w:pos="1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55" w:lineRule="exact"/>
        <w:rPr>
          <w:rFonts w:ascii="Arial" w:cs="Arial" w:eastAsia="Arial" w:hAnsi="Arial"/>
          <w:sz w:val="16"/>
          <w:szCs w:val="16"/>
          <w:color w:val="auto"/>
        </w:rPr>
      </w:pPr>
    </w:p>
    <w:p>
      <w:pPr>
        <w:ind w:left="1780" w:hanging="563"/>
        <w:spacing w:after="0"/>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109" w:lineRule="exact"/>
        <w:rPr>
          <w:rFonts w:ascii="Arial" w:cs="Arial" w:eastAsia="Arial" w:hAnsi="Arial"/>
          <w:sz w:val="18"/>
          <w:szCs w:val="18"/>
          <w:color w:val="auto"/>
        </w:rPr>
      </w:pPr>
    </w:p>
    <w:p>
      <w:pPr>
        <w:jc w:val="both"/>
        <w:ind w:left="2340" w:hanging="557"/>
        <w:spacing w:after="0" w:line="253" w:lineRule="auto"/>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82" w:lineRule="exact"/>
        <w:rPr>
          <w:rFonts w:ascii="Arial" w:cs="Arial" w:eastAsia="Arial" w:hAnsi="Arial"/>
          <w:sz w:val="18"/>
          <w:szCs w:val="18"/>
          <w:color w:val="auto"/>
        </w:rPr>
      </w:pPr>
    </w:p>
    <w:p>
      <w:pPr>
        <w:ind w:left="2340" w:hanging="557"/>
        <w:spacing w:after="0"/>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109" w:lineRule="exact"/>
        <w:rPr>
          <w:rFonts w:ascii="Arial" w:cs="Arial" w:eastAsia="Arial" w:hAnsi="Arial"/>
          <w:sz w:val="18"/>
          <w:szCs w:val="18"/>
          <w:color w:val="auto"/>
        </w:rPr>
      </w:pPr>
    </w:p>
    <w:p>
      <w:pPr>
        <w:ind w:left="2340" w:hanging="557"/>
        <w:spacing w:after="0" w:line="262" w:lineRule="auto"/>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spacing w:after="0" w:line="74" w:lineRule="exact"/>
        <w:rPr>
          <w:rFonts w:ascii="Arial" w:cs="Arial" w:eastAsia="Arial" w:hAnsi="Arial"/>
          <w:sz w:val="18"/>
          <w:szCs w:val="18"/>
          <w:color w:val="auto"/>
        </w:rPr>
      </w:pPr>
    </w:p>
    <w:p>
      <w:pPr>
        <w:ind w:left="2340" w:hanging="557"/>
        <w:spacing w:after="0"/>
        <w:tabs>
          <w:tab w:leader="none" w:pos="23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132" w:lineRule="exact"/>
        <w:rPr>
          <w:rFonts w:ascii="Arial" w:cs="Arial" w:eastAsia="Arial" w:hAnsi="Arial"/>
          <w:sz w:val="16"/>
          <w:szCs w:val="16"/>
          <w:color w:val="auto"/>
        </w:rPr>
      </w:pPr>
    </w:p>
    <w:p>
      <w:pPr>
        <w:ind w:left="2340" w:hanging="557"/>
        <w:spacing w:after="0"/>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borrower is not generating enough cash flow to repay loan principal but continues to make interest payments.</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lender is forced into a subordinate position or unsecured collateral position due to flaws in documentation.</w:t>
      </w:r>
    </w:p>
    <w:p>
      <w:pPr>
        <w:spacing w:after="0" w:line="109" w:lineRule="exact"/>
        <w:rPr>
          <w:rFonts w:ascii="Arial" w:cs="Arial" w:eastAsia="Arial" w:hAnsi="Arial"/>
          <w:sz w:val="18"/>
          <w:szCs w:val="18"/>
          <w:color w:val="auto"/>
        </w:rPr>
      </w:pPr>
    </w:p>
    <w:p>
      <w:pPr>
        <w:ind w:left="2340" w:hanging="557"/>
        <w:spacing w:after="0" w:line="262" w:lineRule="auto"/>
        <w:tabs>
          <w:tab w:leader="none" w:pos="23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308" w:lineRule="exact"/>
        <w:rPr>
          <w:sz w:val="20"/>
          <w:szCs w:val="20"/>
          <w:color w:val="auto"/>
        </w:rPr>
      </w:pPr>
    </w:p>
    <w:p>
      <w:pPr>
        <w:ind w:left="2340" w:hanging="557"/>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109" w:lineRule="exact"/>
        <w:rPr>
          <w:rFonts w:ascii="Arial" w:cs="Arial" w:eastAsia="Arial" w:hAnsi="Arial"/>
          <w:sz w:val="18"/>
          <w:szCs w:val="18"/>
          <w:color w:val="auto"/>
        </w:rPr>
      </w:pPr>
    </w:p>
    <w:p>
      <w:pPr>
        <w:ind w:left="2340" w:hanging="557"/>
        <w:spacing w:after="0"/>
        <w:tabs>
          <w:tab w:leader="none" w:pos="23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There is significant deterioration in the market conditions and the borrower is highly vulnerable to these conditions.</w:t>
      </w:r>
    </w:p>
    <w:p>
      <w:pPr>
        <w:spacing w:after="0" w:line="109" w:lineRule="exact"/>
        <w:rPr>
          <w:rFonts w:ascii="Arial" w:cs="Arial" w:eastAsia="Arial" w:hAnsi="Arial"/>
          <w:sz w:val="18"/>
          <w:szCs w:val="18"/>
          <w:color w:val="auto"/>
        </w:rPr>
      </w:pPr>
    </w:p>
    <w:p>
      <w:pPr>
        <w:ind w:left="1780" w:hanging="563"/>
        <w:spacing w:after="0"/>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109" w:lineRule="exact"/>
        <w:rPr>
          <w:rFonts w:ascii="Arial" w:cs="Arial" w:eastAsia="Arial" w:hAnsi="Arial"/>
          <w:sz w:val="18"/>
          <w:szCs w:val="18"/>
          <w:color w:val="auto"/>
        </w:rPr>
      </w:pPr>
    </w:p>
    <w:p>
      <w:pPr>
        <w:ind w:left="2340" w:right="20" w:hanging="557"/>
        <w:spacing w:after="0" w:line="262" w:lineRule="auto"/>
        <w:tabs>
          <w:tab w:leader="none" w:pos="23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spacing w:after="0" w:line="74" w:lineRule="exact"/>
        <w:rPr>
          <w:rFonts w:ascii="Arial" w:cs="Arial" w:eastAsia="Arial" w:hAnsi="Arial"/>
          <w:sz w:val="18"/>
          <w:szCs w:val="18"/>
          <w:color w:val="auto"/>
        </w:rPr>
      </w:pPr>
    </w:p>
    <w:p>
      <w:pPr>
        <w:ind w:left="2340" w:hanging="557"/>
        <w:spacing w:after="0"/>
        <w:tabs>
          <w:tab w:leader="none" w:pos="234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primary source of repayment is gone, and there is considerable doubt as to the quality of the secondary source of repayment.</w:t>
      </w:r>
    </w:p>
    <w:p>
      <w:pPr>
        <w:spacing w:after="0" w:line="143" w:lineRule="exact"/>
        <w:rPr>
          <w:rFonts w:ascii="Arial" w:cs="Arial" w:eastAsia="Arial" w:hAnsi="Arial"/>
          <w:sz w:val="15"/>
          <w:szCs w:val="15"/>
          <w:color w:val="auto"/>
        </w:rPr>
      </w:pPr>
    </w:p>
    <w:p>
      <w:pPr>
        <w:jc w:val="both"/>
        <w:ind w:left="2340" w:right="20" w:hanging="557"/>
        <w:spacing w:after="0" w:line="253" w:lineRule="auto"/>
        <w:tabs>
          <w:tab w:leader="none" w:pos="23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82" w:lineRule="exact"/>
        <w:rPr>
          <w:rFonts w:ascii="Arial" w:cs="Arial" w:eastAsia="Arial" w:hAnsi="Arial"/>
          <w:sz w:val="18"/>
          <w:szCs w:val="18"/>
          <w:color w:val="auto"/>
        </w:rPr>
      </w:pPr>
    </w:p>
    <w:p>
      <w:pPr>
        <w:jc w:val="both"/>
        <w:ind w:left="1780" w:right="20" w:hanging="563"/>
        <w:spacing w:after="0" w:line="299" w:lineRule="auto"/>
        <w:tabs>
          <w:tab w:leader="none" w:pos="1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50"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following table represents the risk category of loans by portfolio class, net of deferred fees, based on the most recent analysis performed as of the time periods shown of December 31, 2018 and December 31, 2017.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5"/>
          </w:tcPr>
          <w:p>
            <w:pPr>
              <w:ind w:left="180"/>
              <w:spacing w:after="0" w:line="205" w:lineRule="exact"/>
              <w:rPr>
                <w:sz w:val="20"/>
                <w:szCs w:val="20"/>
                <w:color w:val="auto"/>
              </w:rPr>
            </w:pPr>
            <w:r>
              <w:rPr>
                <w:rFonts w:ascii="Arial" w:cs="Arial" w:eastAsia="Arial" w:hAnsi="Arial"/>
                <w:sz w:val="18"/>
                <w:szCs w:val="18"/>
                <w:color w:val="auto"/>
              </w:rPr>
              <w:t>Commercial and</w:t>
            </w:r>
          </w:p>
        </w:tc>
        <w:tc>
          <w:tcPr>
            <w:tcW w:w="1880" w:type="dxa"/>
            <w:vAlign w:val="bottom"/>
            <w:gridSpan w:val="6"/>
          </w:tcPr>
          <w:p>
            <w:pPr>
              <w:ind w:left="80"/>
              <w:spacing w:after="0" w:line="205" w:lineRule="exact"/>
              <w:rPr>
                <w:sz w:val="20"/>
                <w:szCs w:val="20"/>
                <w:color w:val="auto"/>
              </w:rPr>
            </w:pPr>
            <w:r>
              <w:rPr>
                <w:rFonts w:ascii="Arial" w:cs="Arial" w:eastAsia="Arial" w:hAnsi="Arial"/>
                <w:sz w:val="18"/>
                <w:szCs w:val="18"/>
                <w:color w:val="auto"/>
                <w:w w:val="96"/>
              </w:rPr>
              <w:t>Industrial Development</w:t>
            </w:r>
          </w:p>
        </w:tc>
      </w:tr>
      <w:tr>
        <w:trPr>
          <w:trHeight w:val="223"/>
        </w:trPr>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5"/>
          </w:tcPr>
          <w:p>
            <w:pPr>
              <w:spacing w:after="0"/>
              <w:rPr>
                <w:sz w:val="20"/>
                <w:szCs w:val="20"/>
                <w:color w:val="auto"/>
              </w:rPr>
            </w:pPr>
            <w:r>
              <w:rPr>
                <w:rFonts w:ascii="Arial" w:cs="Arial" w:eastAsia="Arial" w:hAnsi="Arial"/>
                <w:sz w:val="18"/>
                <w:szCs w:val="18"/>
                <w:color w:val="auto"/>
              </w:rPr>
              <w:t>Agricultural Real Estate</w:t>
            </w:r>
          </w:p>
        </w:tc>
        <w:tc>
          <w:tcPr>
            <w:tcW w:w="160" w:type="dxa"/>
            <w:vAlign w:val="bottom"/>
          </w:tcPr>
          <w:p>
            <w:pPr>
              <w:spacing w:after="0"/>
              <w:rPr>
                <w:sz w:val="19"/>
                <w:szCs w:val="19"/>
                <w:color w:val="auto"/>
              </w:rPr>
            </w:pPr>
          </w:p>
        </w:tc>
        <w:tc>
          <w:tcPr>
            <w:tcW w:w="1740" w:type="dxa"/>
            <w:vAlign w:val="bottom"/>
            <w:gridSpan w:val="4"/>
          </w:tcPr>
          <w:p>
            <w:pPr>
              <w:jc w:val="right"/>
              <w:ind w:right="432"/>
              <w:spacing w:after="0"/>
              <w:rPr>
                <w:sz w:val="20"/>
                <w:szCs w:val="20"/>
                <w:color w:val="auto"/>
              </w:rPr>
            </w:pPr>
            <w:r>
              <w:rPr>
                <w:rFonts w:ascii="Arial" w:cs="Arial" w:eastAsia="Arial" w:hAnsi="Arial"/>
                <w:sz w:val="18"/>
                <w:szCs w:val="18"/>
                <w:color w:val="auto"/>
              </w:rPr>
              <w:t>Agricultural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4"/>
          </w:tcPr>
          <w:p>
            <w:pPr>
              <w:jc w:val="right"/>
              <w:ind w:right="12"/>
              <w:spacing w:after="0"/>
              <w:rPr>
                <w:sz w:val="20"/>
                <w:szCs w:val="20"/>
                <w:color w:val="auto"/>
              </w:rPr>
            </w:pPr>
            <w:r>
              <w:rPr>
                <w:rFonts w:ascii="Arial" w:cs="Arial" w:eastAsia="Arial" w:hAnsi="Arial"/>
                <w:sz w:val="18"/>
                <w:szCs w:val="18"/>
                <w:color w:val="auto"/>
                <w:w w:val="87"/>
              </w:rPr>
              <w:t>Commercial Real Estate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Industrial</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Bonds</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720" w:type="dxa"/>
            <w:vAlign w:val="bottom"/>
            <w:tcBorders>
              <w:bottom w:val="single" w:sz="8" w:color="CFF0FC"/>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2017</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2018</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2017</w:t>
            </w:r>
          </w:p>
        </w:tc>
        <w:tc>
          <w:tcPr>
            <w:tcW w:w="24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2017</w:t>
            </w:r>
          </w:p>
        </w:tc>
        <w:tc>
          <w:tcPr>
            <w:tcW w:w="2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2018</w:t>
            </w:r>
          </w:p>
        </w:tc>
        <w:tc>
          <w:tcPr>
            <w:tcW w:w="22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2017</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2018</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4"/>
              </w:rPr>
              <w:t>2017</w:t>
            </w:r>
          </w:p>
        </w:tc>
        <w:tc>
          <w:tcPr>
            <w:tcW w:w="60" w:type="dxa"/>
            <w:vAlign w:val="bottom"/>
            <w:tcBorders>
              <w:bottom w:val="single" w:sz="8" w:color="CFF0FC"/>
            </w:tcBorders>
          </w:tcPr>
          <w:p>
            <w:pPr>
              <w:spacing w:after="0"/>
              <w:rPr>
                <w:sz w:val="18"/>
                <w:szCs w:val="18"/>
                <w:color w:val="auto"/>
              </w:rPr>
            </w:pPr>
          </w:p>
        </w:tc>
      </w:tr>
      <w:tr>
        <w:trPr>
          <w:trHeight w:val="217"/>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1-2</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4,442</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5,753</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38,852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37,267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64,341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32,498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15,277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3,489</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4</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49,596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63,380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346,072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359,600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100,644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99,581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68,588</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64,044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108,616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95,238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419,131</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409,953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121,863</w:t>
            </w:r>
          </w:p>
        </w:tc>
        <w:tc>
          <w:tcPr>
            <w:tcW w:w="22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126,372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5,889</w:t>
            </w:r>
          </w:p>
        </w:tc>
        <w:tc>
          <w:tcPr>
            <w:tcW w:w="22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6,415</w:t>
            </w:r>
          </w:p>
        </w:tc>
        <w:tc>
          <w:tcPr>
            <w:tcW w:w="60" w:type="dxa"/>
            <w:vAlign w:val="bottom"/>
          </w:tcPr>
          <w:p>
            <w:pPr>
              <w:spacing w:after="0"/>
              <w:rPr>
                <w:sz w:val="18"/>
                <w:szCs w:val="18"/>
                <w:color w:val="auto"/>
              </w:rPr>
            </w:pPr>
          </w:p>
        </w:tc>
      </w:tr>
      <w:tr>
        <w:trPr>
          <w:trHeight w:val="20"/>
        </w:trPr>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which was previously stated, and by payment activity. The following tables present the recorded investment in those classes based on payment activity and assigned risk grading as of December 31, 2018 and December 31, 2017.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right"/>
              <w:ind w:right="440"/>
              <w:spacing w:after="0"/>
              <w:rPr>
                <w:sz w:val="20"/>
                <w:szCs w:val="20"/>
                <w:color w:val="auto"/>
              </w:rPr>
            </w:pPr>
            <w:r>
              <w:rPr>
                <w:rFonts w:ascii="Arial" w:cs="Arial" w:eastAsia="Arial" w:hAnsi="Arial"/>
                <w:sz w:val="18"/>
                <w:szCs w:val="18"/>
                <w:color w:val="auto"/>
                <w:w w:val="91"/>
              </w:rPr>
              <w:t>Consumer Real Estate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740" w:type="dxa"/>
            <w:vAlign w:val="bottom"/>
            <w:tcBorders>
              <w:bottom w:val="single" w:sz="8" w:color="CFF0FC"/>
            </w:tcBorders>
          </w:tcPr>
          <w:p>
            <w:pPr>
              <w:spacing w:after="0"/>
              <w:rPr>
                <w:sz w:val="18"/>
                <w:szCs w:val="18"/>
                <w:color w:val="auto"/>
              </w:rPr>
            </w:pPr>
          </w:p>
        </w:tc>
        <w:tc>
          <w:tcPr>
            <w:tcW w:w="29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2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Pass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79,121</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82,300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Special mention (5)</w:t>
            </w:r>
          </w:p>
        </w:tc>
        <w:tc>
          <w:tcPr>
            <w:tcW w:w="2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Substandard (6)</w:t>
            </w:r>
          </w:p>
        </w:tc>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Doubtful (7)</w:t>
            </w:r>
          </w:p>
        </w:tc>
        <w:tc>
          <w:tcPr>
            <w:tcW w:w="2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80,232</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83,200</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20" w:type="dxa"/>
            <w:vAlign w:val="bottom"/>
            <w:vMerge w:val="restart"/>
          </w:tcPr>
          <w:p>
            <w:pPr>
              <w:jc w:val="right"/>
              <w:ind w:right="1512"/>
              <w:spacing w:after="0"/>
              <w:rPr>
                <w:sz w:val="20"/>
                <w:szCs w:val="20"/>
                <w:color w:val="auto"/>
              </w:rPr>
            </w:pPr>
            <w:r>
              <w:rPr>
                <w:rFonts w:ascii="Arial" w:cs="Arial" w:eastAsia="Arial" w:hAnsi="Arial"/>
                <w:sz w:val="18"/>
                <w:szCs w:val="18"/>
                <w:color w:val="auto"/>
              </w:rPr>
              <w:t>65</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Note 4 – Loans (Continued)</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right"/>
              <w:ind w:right="232"/>
              <w:spacing w:after="0"/>
              <w:rPr>
                <w:sz w:val="20"/>
                <w:szCs w:val="20"/>
                <w:color w:val="auto"/>
              </w:rPr>
            </w:pPr>
            <w:r>
              <w:rPr>
                <w:rFonts w:ascii="Arial" w:cs="Arial" w:eastAsia="Arial" w:hAnsi="Arial"/>
                <w:sz w:val="18"/>
                <w:szCs w:val="18"/>
                <w:color w:val="auto"/>
                <w:w w:val="92"/>
              </w:rPr>
              <w:t>Consumer - Credit Card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5"/>
          </w:tcPr>
          <w:p>
            <w:pPr>
              <w:ind w:left="320"/>
              <w:spacing w:after="0"/>
              <w:rPr>
                <w:sz w:val="20"/>
                <w:szCs w:val="20"/>
                <w:color w:val="auto"/>
              </w:rPr>
            </w:pPr>
            <w:r>
              <w:rPr>
                <w:rFonts w:ascii="Arial" w:cs="Arial" w:eastAsia="Arial" w:hAnsi="Arial"/>
                <w:sz w:val="18"/>
                <w:szCs w:val="18"/>
                <w:color w:val="auto"/>
              </w:rPr>
              <w:t>Consumer - Other</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400" w:type="dxa"/>
            <w:vAlign w:val="bottom"/>
            <w:tcBorders>
              <w:bottom w:val="single" w:sz="8" w:color="CFF0FC"/>
            </w:tcBorders>
          </w:tcPr>
          <w:p>
            <w:pPr>
              <w:spacing w:after="0"/>
              <w:rPr>
                <w:sz w:val="18"/>
                <w:szCs w:val="18"/>
                <w:color w:val="auto"/>
              </w:rPr>
            </w:pPr>
          </w:p>
        </w:tc>
        <w:tc>
          <w:tcPr>
            <w:tcW w:w="19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38,073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80" w:type="dxa"/>
            <w:vAlign w:val="bottom"/>
            <w:gridSpan w:val="2"/>
          </w:tcPr>
          <w:p>
            <w:pPr>
              <w:ind w:left="580"/>
              <w:spacing w:after="0"/>
              <w:rPr>
                <w:sz w:val="20"/>
                <w:szCs w:val="20"/>
                <w:color w:val="auto"/>
              </w:rPr>
            </w:pPr>
            <w:r>
              <w:rPr>
                <w:rFonts w:ascii="Arial" w:cs="Arial" w:eastAsia="Arial" w:hAnsi="Arial"/>
                <w:sz w:val="18"/>
                <w:szCs w:val="18"/>
                <w:color w:val="auto"/>
              </w:rPr>
              <w:t>Nonperforming</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3400" w:type="dxa"/>
            <w:vAlign w:val="bottom"/>
            <w:vMerge w:val="continue"/>
            <w:shd w:val="clear" w:color="auto" w:fill="CFF0FC"/>
          </w:tcPr>
          <w:p>
            <w:pPr>
              <w:spacing w:after="0"/>
              <w:rPr>
                <w:sz w:val="18"/>
                <w:szCs w:val="18"/>
                <w:color w:val="auto"/>
              </w:rPr>
            </w:pPr>
          </w:p>
        </w:tc>
        <w:tc>
          <w:tcPr>
            <w:tcW w:w="2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4,108</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00" w:type="dxa"/>
            <w:vAlign w:val="bottom"/>
            <w:tcBorders>
              <w:top w:val="single" w:sz="8" w:color="CFF0FC"/>
            </w:tcBorders>
          </w:tcPr>
          <w:p>
            <w:pPr>
              <w:spacing w:after="0" w:line="20" w:lineRule="exact"/>
              <w:rPr>
                <w:sz w:val="1"/>
                <w:szCs w:val="1"/>
                <w:color w:val="auto"/>
              </w:rPr>
            </w:pPr>
          </w:p>
        </w:tc>
        <w:tc>
          <w:tcPr>
            <w:tcW w:w="1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Information about impaired loans as of and for the years ended December 31, 2018 and 2017 are as follows:</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color w:val="auto"/>
                <w:w w:val="94"/>
              </w:rPr>
              <w:t>(In Thousands)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2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FF0FC"/>
            </w:tcBorders>
          </w:tcPr>
          <w:p>
            <w:pPr>
              <w:spacing w:after="0"/>
              <w:rPr>
                <w:sz w:val="18"/>
                <w:szCs w:val="18"/>
                <w:color w:val="auto"/>
              </w:rPr>
            </w:pPr>
          </w:p>
        </w:tc>
        <w:tc>
          <w:tcPr>
            <w:tcW w:w="106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600" w:type="dxa"/>
            <w:vAlign w:val="bottom"/>
            <w:gridSpan w:val="2"/>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00" w:type="dxa"/>
            <w:vAlign w:val="bottom"/>
            <w:gridSpan w:val="2"/>
          </w:tcPr>
          <w:p>
            <w:pPr>
              <w:ind w:left="560"/>
              <w:spacing w:after="0"/>
              <w:rPr>
                <w:sz w:val="20"/>
                <w:szCs w:val="20"/>
                <w:color w:val="auto"/>
              </w:rPr>
            </w:pPr>
            <w:r>
              <w:rPr>
                <w:rFonts w:ascii="Arial" w:cs="Arial" w:eastAsia="Arial" w:hAnsi="Arial"/>
                <w:sz w:val="18"/>
                <w:szCs w:val="18"/>
                <w:color w:val="auto"/>
              </w:rPr>
              <w:t>Impaired loans with a valuation allowance</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600" w:type="dxa"/>
            <w:vAlign w:val="bottom"/>
            <w:gridSpan w:val="2"/>
            <w:shd w:val="clear" w:color="auto" w:fill="CFF0FC"/>
          </w:tcPr>
          <w:p>
            <w:pPr>
              <w:jc w:val="right"/>
              <w:ind w:right="2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2"/>
            <w:vMerge w:val="restart"/>
          </w:tcPr>
          <w:p>
            <w:pPr>
              <w:ind w:left="560"/>
              <w:spacing w:after="0"/>
              <w:rPr>
                <w:sz w:val="20"/>
                <w:szCs w:val="20"/>
                <w:color w:val="auto"/>
              </w:rPr>
            </w:pPr>
            <w:r>
              <w:rPr>
                <w:rFonts w:ascii="Arial" w:cs="Arial" w:eastAsia="Arial" w:hAnsi="Arial"/>
                <w:sz w:val="18"/>
                <w:szCs w:val="18"/>
                <w:color w:val="auto"/>
              </w:rPr>
              <w:t>Valuation allowance related to impaired loans</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31</w:t>
            </w:r>
          </w:p>
        </w:tc>
        <w:tc>
          <w:tcPr>
            <w:tcW w:w="600" w:type="dxa"/>
            <w:vAlign w:val="bottom"/>
            <w:gridSpan w:val="2"/>
          </w:tcPr>
          <w:p>
            <w:pPr>
              <w:jc w:val="right"/>
              <w:ind w:right="21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92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00"/>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542</w:t>
            </w:r>
          </w:p>
        </w:tc>
        <w:tc>
          <w:tcPr>
            <w:tcW w:w="600" w:type="dxa"/>
            <w:vAlign w:val="bottom"/>
            <w:gridSpan w:val="2"/>
            <w:shd w:val="clear" w:color="auto" w:fill="CFF0FC"/>
          </w:tcPr>
          <w:p>
            <w:pPr>
              <w:jc w:val="right"/>
              <w:ind w:right="212"/>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1,003</w:t>
            </w:r>
          </w:p>
        </w:tc>
        <w:tc>
          <w:tcPr>
            <w:tcW w:w="80" w:type="dxa"/>
            <w:vAlign w:val="bottom"/>
            <w:shd w:val="clear" w:color="auto" w:fill="CFF0FC"/>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2"/>
            <w:vMerge w:val="restart"/>
          </w:tcPr>
          <w:p>
            <w:pPr>
              <w:ind w:left="560"/>
              <w:spacing w:after="0"/>
              <w:rPr>
                <w:sz w:val="20"/>
                <w:szCs w:val="20"/>
                <w:color w:val="auto"/>
              </w:rPr>
            </w:pPr>
            <w:r>
              <w:rPr>
                <w:rFonts w:ascii="Arial" w:cs="Arial" w:eastAsia="Arial" w:hAnsi="Arial"/>
                <w:sz w:val="18"/>
                <w:szCs w:val="18"/>
                <w:color w:val="auto"/>
              </w:rPr>
              <w:t>Total loans past-due ninety days or more and still accruing</w:t>
            </w: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ind w:left="400"/>
              <w:spacing w:after="0" w:line="203"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12"/>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color w:val="auto"/>
                <w:w w:val="95"/>
              </w:rPr>
              <w:t>(In Thousands)</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Borders>
              <w:bottom w:val="single" w:sz="8" w:color="CFF0FC"/>
            </w:tcBorders>
          </w:tcPr>
          <w:p>
            <w:pPr>
              <w:spacing w:after="0"/>
              <w:rPr>
                <w:sz w:val="18"/>
                <w:szCs w:val="18"/>
                <w:color w:val="auto"/>
              </w:rPr>
            </w:pPr>
          </w:p>
        </w:tc>
        <w:tc>
          <w:tcPr>
            <w:tcW w:w="49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Average investment in impaired loans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8"/>
                <w:szCs w:val="18"/>
                <w:color w:val="auto"/>
                <w:w w:val="84"/>
              </w:rPr>
              <w:t>1,958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Interest income recognized on impaired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vMerge w:val="continue"/>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ind w:left="640"/>
              <w:spacing w:after="0" w:line="203" w:lineRule="exact"/>
              <w:rPr>
                <w:sz w:val="20"/>
                <w:szCs w:val="20"/>
                <w:color w:val="auto"/>
              </w:rPr>
            </w:pPr>
            <w:r>
              <w:rPr>
                <w:rFonts w:ascii="Arial" w:cs="Arial" w:eastAsia="Arial" w:hAnsi="Arial"/>
                <w:sz w:val="18"/>
                <w:szCs w:val="18"/>
                <w:color w:val="auto"/>
                <w:w w:val="79"/>
              </w:rPr>
              <w:t>69</w:t>
            </w:r>
          </w:p>
        </w:tc>
        <w:tc>
          <w:tcPr>
            <w:tcW w:w="660" w:type="dxa"/>
            <w:vAlign w:val="bottom"/>
            <w:gridSpan w:val="2"/>
          </w:tcPr>
          <w:p>
            <w:pPr>
              <w:ind w:left="220"/>
              <w:spacing w:after="0" w:line="203" w:lineRule="exact"/>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580" w:type="dxa"/>
            <w:vAlign w:val="bottom"/>
            <w:gridSpan w:val="2"/>
          </w:tcPr>
          <w:p>
            <w:pPr>
              <w:jc w:val="right"/>
              <w:ind w:right="312"/>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500" w:type="dxa"/>
            <w:vAlign w:val="bottom"/>
            <w:tcBorders>
              <w:top w:val="single" w:sz="8" w:color="CFF0FC"/>
            </w:tcBorders>
            <w:gridSpan w:val="2"/>
            <w:shd w:val="clear" w:color="auto" w:fill="CFF0FC"/>
          </w:tcPr>
          <w:p>
            <w:pPr>
              <w:spacing w:after="0" w:line="191" w:lineRule="exact"/>
              <w:rPr>
                <w:sz w:val="20"/>
                <w:szCs w:val="20"/>
                <w:color w:val="auto"/>
              </w:rPr>
            </w:pPr>
            <w:r>
              <w:rPr>
                <w:rFonts w:ascii="Arial" w:cs="Arial" w:eastAsia="Arial" w:hAnsi="Arial"/>
                <w:sz w:val="18"/>
                <w:szCs w:val="18"/>
                <w:color w:val="auto"/>
              </w:rPr>
              <w:t>Interest income recognized on a cash basis on impaired</w:t>
            </w:r>
          </w:p>
        </w:tc>
        <w:tc>
          <w:tcPr>
            <w:tcW w:w="20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right w:val="single" w:sz="8" w:color="CFF0FC"/>
            </w:tcBorders>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79"/>
              </w:rPr>
              <w:t>17</w:t>
            </w:r>
          </w:p>
        </w:tc>
        <w:tc>
          <w:tcPr>
            <w:tcW w:w="6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CFF0FC"/>
            </w:tcBorders>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Additional funds of $7 thousand are committed to be advanced in connection with impaired loans.</w:t>
      </w:r>
    </w:p>
    <w:p>
      <w:pPr>
        <w:spacing w:after="0" w:line="109"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Bank had approximately $178 thousand and $0.7 million of its impaired loans classified as troubled debt restructured as of December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49795" cy="584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9795" cy="58420"/>
                    </a:xfrm>
                    <a:prstGeom prst="rect">
                      <a:avLst/>
                    </a:prstGeom>
                    <a:noFill/>
                  </pic:spPr>
                </pic:pic>
              </a:graphicData>
            </a:graphic>
          </wp:anchor>
        </w:drawing>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represents the years ended December 31, 2018 and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20"/>
                <w:szCs w:val="20"/>
                <w:color w:val="auto"/>
              </w:rPr>
            </w:pPr>
            <w:r>
              <w:rPr>
                <w:rFonts w:ascii="Arial" w:cs="Arial" w:eastAsia="Arial" w:hAnsi="Arial"/>
                <w:sz w:val="18"/>
                <w:szCs w:val="18"/>
                <w:color w:val="auto"/>
              </w:rPr>
              <w:t>December 31, 2018</w:t>
            </w: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60" w:type="dxa"/>
            <w:vAlign w:val="bottom"/>
            <w:gridSpan w:val="4"/>
          </w:tcPr>
          <w:p>
            <w:pPr>
              <w:ind w:left="480"/>
              <w:spacing w:after="0"/>
              <w:rPr>
                <w:sz w:val="20"/>
                <w:szCs w:val="20"/>
                <w:color w:val="auto"/>
              </w:rPr>
            </w:pPr>
            <w:r>
              <w:rPr>
                <w:rFonts w:ascii="Arial" w:cs="Arial" w:eastAsia="Arial" w:hAnsi="Arial"/>
                <w:sz w:val="18"/>
                <w:szCs w:val="18"/>
                <w:color w:val="auto"/>
              </w:rPr>
              <w:t>(In thousands)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4"/>
          </w:tcPr>
          <w:p>
            <w:pPr>
              <w:ind w:left="480"/>
              <w:spacing w:after="0"/>
              <w:rPr>
                <w:sz w:val="20"/>
                <w:szCs w:val="20"/>
                <w:color w:val="auto"/>
              </w:rPr>
            </w:pPr>
            <w:r>
              <w:rPr>
                <w:rFonts w:ascii="Arial" w:cs="Arial" w:eastAsia="Arial" w:hAnsi="Arial"/>
                <w:sz w:val="18"/>
                <w:szCs w:val="18"/>
                <w:color w:val="auto"/>
              </w:rPr>
              <w:t>(In thousands)</w:t>
            </w:r>
          </w:p>
        </w:tc>
      </w:tr>
      <w:tr>
        <w:trPr>
          <w:trHeight w:val="212"/>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Pre-</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Post-</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Pre-</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Post-</w:t>
            </w: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Number of</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5"/>
              </w:rPr>
              <w:t>Modification</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Number of</w:t>
            </w:r>
          </w:p>
        </w:tc>
        <w:tc>
          <w:tcPr>
            <w:tcW w:w="10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Modification</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Modification</w:t>
            </w: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Contracts</w:t>
            </w: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Outstanding</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Outstanding</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Contracts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Outstanding</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Outstanding</w:t>
            </w:r>
          </w:p>
        </w:tc>
      </w:tr>
      <w:tr>
        <w:trPr>
          <w:trHeight w:val="211"/>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Modified in the</w:t>
            </w:r>
          </w:p>
        </w:tc>
        <w:tc>
          <w:tcPr>
            <w:tcW w:w="16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Recorded</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Recorded</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Modified in the</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Recorded</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Recorded</w:t>
            </w:r>
          </w:p>
        </w:tc>
      </w:tr>
      <w:tr>
        <w:trPr>
          <w:trHeight w:val="223"/>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Troubled Debt Restructurings</w:t>
            </w:r>
          </w:p>
        </w:tc>
        <w:tc>
          <w:tcPr>
            <w:tcW w:w="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Troubled Debt Restructurings</w:t>
            </w:r>
          </w:p>
        </w:tc>
        <w:tc>
          <w:tcPr>
            <w:tcW w:w="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12 Months</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Investment</w:t>
            </w: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Investment</w:t>
            </w:r>
          </w:p>
        </w:tc>
        <w:tc>
          <w:tcPr>
            <w:tcW w:w="60" w:type="dxa"/>
            <w:vAlign w:val="bottom"/>
            <w:tcBorders>
              <w:bottom w:val="single" w:sz="8" w:color="CFF0FC"/>
            </w:tcBorders>
          </w:tcPr>
          <w:p>
            <w:pPr>
              <w:spacing w:after="0"/>
              <w:rPr>
                <w:sz w:val="19"/>
                <w:szCs w:val="19"/>
                <w:color w:val="auto"/>
              </w:rPr>
            </w:pPr>
          </w:p>
        </w:tc>
      </w:tr>
      <w:tr>
        <w:trPr>
          <w:trHeight w:val="217"/>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80" w:type="dxa"/>
            <w:vAlign w:val="bottom"/>
            <w:gridSpan w:val="2"/>
            <w:shd w:val="clear" w:color="auto" w:fill="CFF0FC"/>
          </w:tcPr>
          <w:p>
            <w:pPr>
              <w:jc w:val="right"/>
              <w:ind w:right="37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jc w:val="right"/>
              <w:ind w:right="352"/>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years ended December 31, 2018 and 2017, there were no TDR’s that subsequently defaulted after modification.</w:t>
      </w:r>
    </w:p>
    <w:p>
      <w:pPr>
        <w:spacing w:after="0" w:line="109" w:lineRule="exact"/>
        <w:rPr>
          <w:sz w:val="20"/>
          <w:szCs w:val="20"/>
          <w:color w:val="auto"/>
        </w:rPr>
      </w:pPr>
    </w:p>
    <w:p>
      <w:pPr>
        <w:jc w:val="both"/>
        <w:ind w:left="600"/>
        <w:spacing w:after="0" w:line="248" w:lineRule="auto"/>
        <w:rPr>
          <w:sz w:val="20"/>
          <w:szCs w:val="20"/>
          <w:color w:val="auto"/>
        </w:rPr>
      </w:pPr>
      <w:r>
        <w:rPr>
          <w:rFonts w:ascii="Arial" w:cs="Arial" w:eastAsia="Arial" w:hAnsi="Arial"/>
          <w:sz w:val="18"/>
          <w:szCs w:val="18"/>
          <w:color w:val="auto"/>
        </w:rPr>
        <w:t>For the Bank’s impaired TDR loans, the Bank may utilize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89" w:lineRule="exact"/>
        <w:rPr>
          <w:sz w:val="20"/>
          <w:szCs w:val="20"/>
          <w:color w:val="auto"/>
        </w:rPr>
      </w:pPr>
    </w:p>
    <w:p>
      <w:pPr>
        <w:jc w:val="both"/>
        <w:ind w:left="600"/>
        <w:spacing w:after="0" w:line="28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tables present loans individually evaluated for impairment by portfolio class of loans as of December 31, 2018 and 2017:</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80"/>
              <w:spacing w:after="0" w:line="205" w:lineRule="exact"/>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Recorded</w:t>
            </w: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Recognized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Investment</w:t>
            </w: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Balance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Recognized</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Cash Basis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338</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1,103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1,103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883</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60" w:type="dxa"/>
            <w:vAlign w:val="bottom"/>
          </w:tcPr>
          <w:p>
            <w:pPr>
              <w:spacing w:after="0"/>
              <w:rPr>
                <w:sz w:val="20"/>
                <w:szCs w:val="20"/>
                <w:color w:val="auto"/>
              </w:rPr>
            </w:pPr>
            <w:r>
              <w:rPr>
                <w:rFonts w:ascii="Arial" w:cs="Arial" w:eastAsia="Arial" w:hAnsi="Arial"/>
                <w:sz w:val="18"/>
                <w:szCs w:val="18"/>
                <w:b w:val="1"/>
                <w:bCs w:val="1"/>
                <w:color w:val="auto"/>
              </w:rPr>
              <w:t>Note 4 – Loans (Continued)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3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center"/>
              <w:ind w:right="280"/>
              <w:spacing w:after="0" w:line="205" w:lineRule="exact"/>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11"/>
        </w:trPr>
        <w:tc>
          <w:tcPr>
            <w:tcW w:w="3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Unpaid</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Interest</w:t>
            </w:r>
          </w:p>
        </w:tc>
        <w:tc>
          <w:tcPr>
            <w:tcW w:w="1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11"/>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2017</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84"/>
              </w:rPr>
              <w:t>Recorded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Principal</w:t>
            </w:r>
          </w:p>
        </w:tc>
        <w:tc>
          <w:tcPr>
            <w:tcW w:w="14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90"/>
              </w:rPr>
              <w:t>Related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2"/>
              <w:spacing w:after="0"/>
              <w:rPr>
                <w:sz w:val="20"/>
                <w:szCs w:val="20"/>
                <w:color w:val="auto"/>
              </w:rPr>
            </w:pPr>
            <w:r>
              <w:rPr>
                <w:rFonts w:ascii="Arial" w:cs="Arial" w:eastAsia="Arial" w:hAnsi="Arial"/>
                <w:sz w:val="18"/>
                <w:szCs w:val="18"/>
                <w:color w:val="auto"/>
                <w:w w:val="87"/>
              </w:rPr>
              <w:t>Recorded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Income</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6"/>
              </w:rPr>
              <w:t>Recognized</w:t>
            </w:r>
          </w:p>
        </w:tc>
        <w:tc>
          <w:tcPr>
            <w:tcW w:w="0" w:type="dxa"/>
            <w:vAlign w:val="bottom"/>
          </w:tcPr>
          <w:p>
            <w:pPr>
              <w:spacing w:after="0"/>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3"/>
              </w:rPr>
              <w:t>Investment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Balance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Allowance</w:t>
            </w:r>
          </w:p>
        </w:tc>
        <w:tc>
          <w:tcPr>
            <w:tcW w:w="22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8"/>
              </w:rPr>
              <w:t>Investment</w:t>
            </w:r>
          </w:p>
        </w:tc>
        <w:tc>
          <w:tcPr>
            <w:tcW w:w="220" w:type="dxa"/>
            <w:vAlign w:val="bottom"/>
          </w:tcPr>
          <w:p>
            <w:pPr>
              <w:spacing w:after="0"/>
              <w:rPr>
                <w:sz w:val="19"/>
                <w:szCs w:val="19"/>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Recognized</w:t>
            </w: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85"/>
              </w:rPr>
              <w:t>Cash Basis</w:t>
            </w:r>
          </w:p>
        </w:tc>
        <w:tc>
          <w:tcPr>
            <w:tcW w:w="0" w:type="dxa"/>
            <w:vAlign w:val="bottom"/>
          </w:tcPr>
          <w:p>
            <w:pPr>
              <w:spacing w:after="0"/>
              <w:rPr>
                <w:sz w:val="1"/>
                <w:szCs w:val="1"/>
                <w:color w:val="auto"/>
              </w:rPr>
            </w:pPr>
          </w:p>
        </w:tc>
      </w:tr>
      <w:tr>
        <w:trPr>
          <w:trHeight w:val="217"/>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1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60" w:type="dxa"/>
            <w:vAlign w:val="bottom"/>
          </w:tcPr>
          <w:p>
            <w:pPr>
              <w:ind w:left="240"/>
              <w:spacing w:after="0"/>
              <w:rPr>
                <w:sz w:val="20"/>
                <w:szCs w:val="20"/>
                <w:color w:val="auto"/>
              </w:rPr>
            </w:pPr>
            <w:r>
              <w:rPr>
                <w:rFonts w:ascii="Arial" w:cs="Arial" w:eastAsia="Arial" w:hAnsi="Arial"/>
                <w:sz w:val="18"/>
                <w:szCs w:val="18"/>
                <w:color w:val="auto"/>
              </w:rPr>
              <w:t>Consumer Real Estate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Agricultural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101</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Agricultural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Commercial Real Estate</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625</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625</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537</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Commercial and Industrial</w:t>
            </w: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60" w:type="dxa"/>
            <w:vAlign w:val="bottom"/>
            <w:vMerge w:val="continue"/>
          </w:tcPr>
          <w:p>
            <w:pPr>
              <w:spacing w:after="0"/>
              <w:rPr>
                <w:sz w:val="19"/>
                <w:szCs w:val="19"/>
                <w:color w:val="auto"/>
              </w:rPr>
            </w:pPr>
          </w:p>
        </w:tc>
        <w:tc>
          <w:tcPr>
            <w:tcW w:w="1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444</w:t>
            </w:r>
          </w:p>
        </w:tc>
        <w:tc>
          <w:tcPr>
            <w:tcW w:w="3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444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3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199</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Consumer</w:t>
            </w: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vMerge w:val="continue"/>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right="20"/>
        <w:spacing w:after="0" w:line="287" w:lineRule="auto"/>
        <w:rPr>
          <w:sz w:val="20"/>
          <w:szCs w:val="20"/>
          <w:color w:val="auto"/>
        </w:rPr>
      </w:pPr>
      <w:r>
        <w:rPr>
          <w:rFonts w:ascii="Arial" w:cs="Arial" w:eastAsia="Arial" w:hAnsi="Arial"/>
          <w:sz w:val="16"/>
          <w:szCs w:val="16"/>
          <w:color w:val="auto"/>
        </w:rPr>
        <w:t>As of December 31, 2018 the Company had $61 thousand of foreclosed residential real estate property obtained by physical possession and $278 thousand of consumer mortgage loans secured by residential real estate properties for which foreclosure proceedings are in process according to local jurisdictions. This compares to the Company having $25 thousand of foreclosed residential real estate property obtained by physical possession and $55 thousand of consumer mortgage loans secured by residential real estate properties for which foreclosure proceedings are in process according to local jurisdictions as of December 31, 2017.</w:t>
      </w:r>
    </w:p>
    <w:p>
      <w:pPr>
        <w:spacing w:after="0" w:line="59"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is an analysis of the allowance for credit losses for the years ended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5"/>
              </w:rPr>
              <w:t>(In Thousands)</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82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Losses</w:t>
            </w: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6,868</w:t>
            </w:r>
          </w:p>
        </w:tc>
        <w:tc>
          <w:tcPr>
            <w:tcW w:w="140" w:type="dxa"/>
            <w:vAlign w:val="bottom"/>
          </w:tcPr>
          <w:p>
            <w:pPr>
              <w:spacing w:after="0"/>
              <w:rPr>
                <w:sz w:val="19"/>
                <w:szCs w:val="19"/>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6,784</w:t>
            </w:r>
          </w:p>
        </w:tc>
        <w:tc>
          <w:tcPr>
            <w:tcW w:w="14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16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gridSpan w:val="2"/>
          </w:tcPr>
          <w:p>
            <w:pPr>
              <w:ind w:left="1160"/>
              <w:spacing w:after="0"/>
              <w:rPr>
                <w:sz w:val="20"/>
                <w:szCs w:val="20"/>
                <w:color w:val="auto"/>
              </w:rPr>
            </w:pPr>
            <w:r>
              <w:rPr>
                <w:rFonts w:ascii="Arial" w:cs="Arial" w:eastAsia="Arial" w:hAnsi="Arial"/>
                <w:sz w:val="18"/>
                <w:szCs w:val="18"/>
                <w:color w:val="auto"/>
              </w:rPr>
              <w:t>Balance at ending of year</w:t>
            </w:r>
          </w:p>
        </w:tc>
        <w:tc>
          <w:tcPr>
            <w:tcW w:w="18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6,775</w:t>
            </w:r>
          </w:p>
        </w:tc>
        <w:tc>
          <w:tcPr>
            <w:tcW w:w="140" w:type="dxa"/>
            <w:vAlign w:val="bottom"/>
          </w:tcPr>
          <w:p>
            <w:pPr>
              <w:spacing w:after="0"/>
              <w:rPr>
                <w:sz w:val="22"/>
                <w:szCs w:val="22"/>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6,868</w:t>
            </w:r>
          </w:p>
        </w:tc>
        <w:tc>
          <w:tcPr>
            <w:tcW w:w="140" w:type="dxa"/>
            <w:vAlign w:val="bottom"/>
          </w:tcPr>
          <w:p>
            <w:pPr>
              <w:spacing w:after="0"/>
              <w:rPr>
                <w:sz w:val="22"/>
                <w:szCs w:val="22"/>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6,784</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38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Allowance for Unfunded Loan Commitments</w:t>
            </w:r>
          </w:p>
        </w:tc>
        <w:tc>
          <w:tcPr>
            <w:tcW w:w="16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w:t>
            </w: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2"/>
            <w:vMerge w:val="restart"/>
          </w:tcPr>
          <w:p>
            <w:pPr>
              <w:ind w:left="1160"/>
              <w:spacing w:after="0"/>
              <w:rPr>
                <w:sz w:val="20"/>
                <w:szCs w:val="20"/>
                <w:color w:val="auto"/>
              </w:rPr>
            </w:pPr>
            <w:r>
              <w:rPr>
                <w:rFonts w:ascii="Arial" w:cs="Arial" w:eastAsia="Arial" w:hAnsi="Arial"/>
                <w:sz w:val="18"/>
                <w:szCs w:val="18"/>
                <w:color w:val="auto"/>
              </w:rPr>
              <w:t>Total Allowance for Credit Losses</w:t>
            </w: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vMerge w:val="continue"/>
          </w:tcPr>
          <w:p>
            <w:pPr>
              <w:spacing w:after="0"/>
              <w:rPr>
                <w:sz w:val="17"/>
                <w:szCs w:val="17"/>
                <w:color w:val="auto"/>
              </w:rPr>
            </w:pPr>
          </w:p>
        </w:tc>
        <w:tc>
          <w:tcPr>
            <w:tcW w:w="1880" w:type="dxa"/>
            <w:vAlign w:val="bottom"/>
            <w:gridSpan w:val="2"/>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7,049</w:t>
            </w:r>
          </w:p>
        </w:tc>
        <w:tc>
          <w:tcPr>
            <w:tcW w:w="140" w:type="dxa"/>
            <w:vAlign w:val="bottom"/>
          </w:tcPr>
          <w:p>
            <w:pPr>
              <w:spacing w:after="0"/>
              <w:rPr>
                <w:sz w:val="17"/>
                <w:szCs w:val="17"/>
                <w:color w:val="auto"/>
              </w:rPr>
            </w:pPr>
          </w:p>
        </w:tc>
        <w:tc>
          <w:tcPr>
            <w:tcW w:w="30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7,095</w:t>
            </w:r>
          </w:p>
        </w:tc>
        <w:tc>
          <w:tcPr>
            <w:tcW w:w="140" w:type="dxa"/>
            <w:vAlign w:val="bottom"/>
          </w:tcPr>
          <w:p>
            <w:pPr>
              <w:spacing w:after="0"/>
              <w:rPr>
                <w:sz w:val="17"/>
                <w:szCs w:val="17"/>
                <w:color w:val="auto"/>
              </w:rPr>
            </w:pPr>
          </w:p>
        </w:tc>
        <w:tc>
          <w:tcPr>
            <w:tcW w:w="3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7,001</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vMerge w:val="restart"/>
          </w:tcPr>
          <w:p>
            <w:pPr>
              <w:jc w:val="right"/>
              <w:ind w:right="752"/>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11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0" w:lineRule="exact"/>
        <w:rPr>
          <w:sz w:val="20"/>
          <w:szCs w:val="20"/>
          <w:color w:val="auto"/>
        </w:rPr>
      </w:pPr>
    </w:p>
    <w:p>
      <w:pPr>
        <w:spacing w:after="0" w:line="213" w:lineRule="exact"/>
        <w:rPr>
          <w:sz w:val="20"/>
          <w:szCs w:val="20"/>
          <w:color w:val="auto"/>
        </w:rPr>
      </w:pPr>
    </w:p>
    <w:p>
      <w:pPr>
        <w:ind w:left="820"/>
        <w:spacing w:after="0" w:line="324" w:lineRule="auto"/>
        <w:rPr>
          <w:sz w:val="20"/>
          <w:szCs w:val="20"/>
          <w:color w:val="auto"/>
        </w:rPr>
      </w:pPr>
      <w:r>
        <w:rPr>
          <w:rFonts w:ascii="Arial" w:cs="Arial" w:eastAsia="Arial" w:hAnsi="Arial"/>
          <w:sz w:val="16"/>
          <w:szCs w:val="16"/>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30"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on the consolidated balance sheet. The ACL presented above represents the full amount of reserves available to absorb possible credit losses.</w:t>
      </w:r>
    </w:p>
    <w:p>
      <w:pPr>
        <w:spacing w:after="0" w:line="75"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63500</wp:posOffset>
            </wp:positionV>
            <wp:extent cx="6731635" cy="75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31635" cy="75565"/>
                    </a:xfrm>
                    <a:prstGeom prst="rect">
                      <a:avLst/>
                    </a:prstGeom>
                    <a:noFill/>
                  </pic:spPr>
                </pic:pic>
              </a:graphicData>
            </a:graphic>
          </wp:anchor>
        </w:drawing>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Loans (Continued)</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Additional analysis related to the allowance for credit losses as of December 31, 2018 and 2017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89"/>
              </w:rPr>
              <w:t>Unfunded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89"/>
              </w:rPr>
              <w:t>Loan</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0"/>
              <w:spacing w:after="0"/>
              <w:rPr>
                <w:sz w:val="20"/>
                <w:szCs w:val="20"/>
                <w:color w:val="auto"/>
              </w:rPr>
            </w:pPr>
            <w:r>
              <w:rPr>
                <w:rFonts w:ascii="Arial" w:cs="Arial" w:eastAsia="Arial" w:hAnsi="Arial"/>
                <w:sz w:val="18"/>
                <w:szCs w:val="18"/>
                <w:color w:val="auto"/>
                <w:w w:val="90"/>
              </w:rPr>
              <w:t>Commitment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2018</w:t>
            </w:r>
          </w:p>
        </w:tc>
        <w:tc>
          <w:tcPr>
            <w:tcW w:w="980" w:type="dxa"/>
            <w:vAlign w:val="bottom"/>
            <w:gridSpan w:val="3"/>
          </w:tcPr>
          <w:p>
            <w:pPr>
              <w:ind w:left="20"/>
              <w:spacing w:after="0"/>
              <w:rPr>
                <w:sz w:val="20"/>
                <w:szCs w:val="20"/>
                <w:color w:val="auto"/>
              </w:rPr>
            </w:pPr>
            <w:r>
              <w:rPr>
                <w:rFonts w:ascii="Arial" w:cs="Arial" w:eastAsia="Arial" w:hAnsi="Arial"/>
                <w:sz w:val="18"/>
                <w:szCs w:val="18"/>
                <w:color w:val="auto"/>
              </w:rPr>
              <w:t>Consumer</w:t>
            </w:r>
          </w:p>
        </w:tc>
        <w:tc>
          <w:tcPr>
            <w:tcW w:w="1020" w:type="dxa"/>
            <w:vAlign w:val="bottom"/>
            <w:gridSpan w:val="3"/>
          </w:tcPr>
          <w:p>
            <w:pPr>
              <w:ind w:left="140"/>
              <w:spacing w:after="0"/>
              <w:rPr>
                <w:sz w:val="20"/>
                <w:szCs w:val="20"/>
                <w:color w:val="auto"/>
              </w:rPr>
            </w:pPr>
            <w:r>
              <w:rPr>
                <w:rFonts w:ascii="Arial" w:cs="Arial" w:eastAsia="Arial" w:hAnsi="Arial"/>
                <w:sz w:val="18"/>
                <w:szCs w:val="18"/>
                <w:color w:val="auto"/>
                <w:w w:val="95"/>
              </w:rPr>
              <w:t>Agricultural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Commercial</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w w:val="93"/>
              </w:rPr>
              <w:t>Commercial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3"/>
              </w:rPr>
              <w:t>&amp; Letters of</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vMerge w:val="continue"/>
          </w:tcPr>
          <w:p>
            <w:pPr>
              <w:spacing w:after="0"/>
              <w:rPr>
                <w:sz w:val="19"/>
                <w:szCs w:val="19"/>
                <w:color w:val="auto"/>
              </w:rPr>
            </w:pPr>
          </w:p>
        </w:tc>
        <w:tc>
          <w:tcPr>
            <w:tcW w:w="980" w:type="dxa"/>
            <w:vAlign w:val="bottom"/>
            <w:gridSpan w:val="3"/>
          </w:tcPr>
          <w:p>
            <w:pPr>
              <w:spacing w:after="0"/>
              <w:rPr>
                <w:sz w:val="20"/>
                <w:szCs w:val="20"/>
                <w:color w:val="auto"/>
              </w:rPr>
            </w:pPr>
            <w:r>
              <w:rPr>
                <w:rFonts w:ascii="Arial" w:cs="Arial" w:eastAsia="Arial" w:hAnsi="Arial"/>
                <w:sz w:val="18"/>
                <w:szCs w:val="18"/>
                <w:color w:val="auto"/>
              </w:rPr>
              <w:t>Real Estate</w:t>
            </w: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88"/>
              </w:rPr>
              <w:t>Real Estate</w:t>
            </w:r>
          </w:p>
        </w:tc>
        <w:tc>
          <w:tcPr>
            <w:tcW w:w="1180" w:type="dxa"/>
            <w:vAlign w:val="bottom"/>
            <w:gridSpan w:val="4"/>
          </w:tcPr>
          <w:p>
            <w:pPr>
              <w:ind w:left="160"/>
              <w:spacing w:after="0"/>
              <w:rPr>
                <w:sz w:val="20"/>
                <w:szCs w:val="20"/>
                <w:color w:val="auto"/>
              </w:rPr>
            </w:pPr>
            <w:r>
              <w:rPr>
                <w:rFonts w:ascii="Arial" w:cs="Arial" w:eastAsia="Arial" w:hAnsi="Arial"/>
                <w:sz w:val="18"/>
                <w:szCs w:val="18"/>
                <w:color w:val="auto"/>
              </w:rPr>
              <w:t>Agricultural</w:t>
            </w:r>
          </w:p>
        </w:tc>
        <w:tc>
          <w:tcPr>
            <w:tcW w:w="1040" w:type="dxa"/>
            <w:vAlign w:val="bottom"/>
            <w:gridSpan w:val="3"/>
          </w:tcPr>
          <w:p>
            <w:pPr>
              <w:ind w:left="40"/>
              <w:spacing w:after="0"/>
              <w:rPr>
                <w:sz w:val="20"/>
                <w:szCs w:val="20"/>
                <w:color w:val="auto"/>
              </w:rPr>
            </w:pPr>
            <w:r>
              <w:rPr>
                <w:rFonts w:ascii="Arial" w:cs="Arial" w:eastAsia="Arial" w:hAnsi="Arial"/>
                <w:sz w:val="18"/>
                <w:szCs w:val="18"/>
                <w:color w:val="auto"/>
              </w:rPr>
              <w:t>Real Estate</w:t>
            </w:r>
          </w:p>
        </w:tc>
        <w:tc>
          <w:tcPr>
            <w:tcW w:w="114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40" w:type="dxa"/>
            <w:vAlign w:val="bottom"/>
            <w:gridSpan w:val="3"/>
          </w:tcPr>
          <w:p>
            <w:pPr>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32"/>
              <w:spacing w:after="0"/>
              <w:rPr>
                <w:sz w:val="20"/>
                <w:szCs w:val="20"/>
                <w:color w:val="auto"/>
              </w:rPr>
            </w:pPr>
            <w:r>
              <w:rPr>
                <w:rFonts w:ascii="Arial" w:cs="Arial" w:eastAsia="Arial" w:hAnsi="Arial"/>
                <w:sz w:val="18"/>
                <w:szCs w:val="18"/>
                <w:color w:val="auto"/>
                <w:w w:val="91"/>
              </w:rPr>
              <w:t>Credit</w:t>
            </w:r>
          </w:p>
        </w:tc>
        <w:tc>
          <w:tcPr>
            <w:tcW w:w="1160" w:type="dxa"/>
            <w:vAlign w:val="bottom"/>
            <w:gridSpan w:val="3"/>
          </w:tcPr>
          <w:p>
            <w:pPr>
              <w:ind w:left="320"/>
              <w:spacing w:after="0"/>
              <w:rPr>
                <w:sz w:val="20"/>
                <w:szCs w:val="20"/>
                <w:color w:val="auto"/>
              </w:rPr>
            </w:pPr>
            <w:r>
              <w:rPr>
                <w:rFonts w:ascii="Arial" w:cs="Arial" w:eastAsia="Arial" w:hAnsi="Arial"/>
                <w:sz w:val="18"/>
                <w:szCs w:val="18"/>
                <w:color w:val="auto"/>
                <w:w w:val="86"/>
              </w:rPr>
              <w:t>Unallocated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12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2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tcPr>
          <w:p>
            <w:pPr>
              <w:spacing w:after="0"/>
              <w:rPr>
                <w:sz w:val="20"/>
                <w:szCs w:val="20"/>
                <w:color w:val="auto"/>
              </w:rPr>
            </w:pPr>
            <w:r>
              <w:rPr>
                <w:rFonts w:ascii="Arial" w:cs="Arial" w:eastAsia="Arial" w:hAnsi="Arial"/>
                <w:sz w:val="18"/>
                <w:szCs w:val="18"/>
                <w:color w:val="auto"/>
              </w:rPr>
              <w:t>Beginning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1,546</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2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2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1,305</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7,049</w:t>
            </w: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w w:val="94"/>
              </w:rPr>
              <w:t>Ending balance: collectively</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evaluated for</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acquired with deteriorated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12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12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FINANCING</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80,232</w:t>
            </w:r>
          </w:p>
        </w:tc>
        <w:tc>
          <w:tcPr>
            <w:tcW w:w="180" w:type="dxa"/>
            <w:vAlign w:val="bottom"/>
          </w:tcPr>
          <w:p>
            <w:pPr>
              <w:spacing w:after="0"/>
              <w:rPr>
                <w:sz w:val="22"/>
                <w:szCs w:val="22"/>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68,588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108,616</w:t>
            </w:r>
          </w:p>
        </w:tc>
        <w:tc>
          <w:tcPr>
            <w:tcW w:w="16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419,131</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127,752</w:t>
            </w:r>
          </w:p>
        </w:tc>
        <w:tc>
          <w:tcPr>
            <w:tcW w:w="16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42,055</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846,374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12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individually evaluated for</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w w:val="94"/>
              </w:rPr>
              <w:t>Ending balance: collectively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120" w:type="dxa"/>
            <w:vAlign w:val="bottom"/>
          </w:tcPr>
          <w:p>
            <w:pPr>
              <w:spacing w:after="0"/>
              <w:rPr>
                <w:sz w:val="20"/>
                <w:szCs w:val="20"/>
                <w:color w:val="auto"/>
              </w:rPr>
            </w:pPr>
            <w:r>
              <w:rPr>
                <w:rFonts w:ascii="Arial" w:cs="Arial" w:eastAsia="Arial" w:hAnsi="Arial"/>
                <w:sz w:val="18"/>
                <w:szCs w:val="18"/>
                <w:color w:val="auto"/>
              </w:rPr>
              <w:t>evaluated for</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2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79,475</w:t>
            </w:r>
          </w:p>
        </w:tc>
        <w:tc>
          <w:tcPr>
            <w:tcW w:w="180" w:type="dxa"/>
            <w:vAlign w:val="bottom"/>
          </w:tcPr>
          <w:p>
            <w:pPr>
              <w:spacing w:after="0"/>
              <w:rPr>
                <w:sz w:val="19"/>
                <w:szCs w:val="19"/>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68,588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108,616</w:t>
            </w:r>
          </w:p>
        </w:tc>
        <w:tc>
          <w:tcPr>
            <w:tcW w:w="1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418,937</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126,649</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42,055</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844,320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80" w:type="dxa"/>
            <w:vAlign w:val="bottom"/>
          </w:tcPr>
          <w:p>
            <w:pPr>
              <w:spacing w:after="0"/>
              <w:rPr>
                <w:sz w:val="20"/>
                <w:szCs w:val="20"/>
                <w:color w:val="auto"/>
              </w:rPr>
            </w:pPr>
            <w:r>
              <w:rPr>
                <w:rFonts w:ascii="Arial" w:cs="Arial" w:eastAsia="Arial" w:hAnsi="Arial"/>
                <w:sz w:val="18"/>
                <w:szCs w:val="18"/>
                <w:b w:val="1"/>
                <w:bCs w:val="1"/>
                <w:color w:val="auto"/>
                <w:w w:val="96"/>
              </w:rPr>
              <w:t>Note 4 – Loans (Continued)</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2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80"/>
              <w:spacing w:after="0" w:line="205" w:lineRule="exact"/>
              <w:rPr>
                <w:sz w:val="20"/>
                <w:szCs w:val="20"/>
                <w:color w:val="auto"/>
              </w:rPr>
            </w:pPr>
            <w:r>
              <w:rPr>
                <w:rFonts w:ascii="Arial" w:cs="Arial" w:eastAsia="Arial" w:hAnsi="Arial"/>
                <w:sz w:val="18"/>
                <w:szCs w:val="18"/>
                <w:color w:val="auto"/>
                <w:w w:val="89"/>
              </w:rPr>
              <w:t>Unfunded</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Loan</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60"/>
              <w:spacing w:after="0"/>
              <w:rPr>
                <w:sz w:val="20"/>
                <w:szCs w:val="20"/>
                <w:color w:val="auto"/>
              </w:rPr>
            </w:pPr>
            <w:r>
              <w:rPr>
                <w:rFonts w:ascii="Arial" w:cs="Arial" w:eastAsia="Arial" w:hAnsi="Arial"/>
                <w:sz w:val="18"/>
                <w:szCs w:val="18"/>
                <w:color w:val="auto"/>
              </w:rPr>
              <w:t>Commitment</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2017</w:t>
            </w:r>
          </w:p>
        </w:tc>
        <w:tc>
          <w:tcPr>
            <w:tcW w:w="920" w:type="dxa"/>
            <w:vAlign w:val="bottom"/>
            <w:gridSpan w:val="3"/>
          </w:tcPr>
          <w:p>
            <w:pPr>
              <w:ind w:left="20"/>
              <w:spacing w:after="0"/>
              <w:rPr>
                <w:sz w:val="20"/>
                <w:szCs w:val="20"/>
                <w:color w:val="auto"/>
              </w:rPr>
            </w:pPr>
            <w:r>
              <w:rPr>
                <w:rFonts w:ascii="Arial" w:cs="Arial" w:eastAsia="Arial" w:hAnsi="Arial"/>
                <w:sz w:val="18"/>
                <w:szCs w:val="18"/>
                <w:color w:val="auto"/>
              </w:rPr>
              <w:t>Consumer</w:t>
            </w:r>
          </w:p>
        </w:tc>
        <w:tc>
          <w:tcPr>
            <w:tcW w:w="1120" w:type="dxa"/>
            <w:vAlign w:val="bottom"/>
            <w:gridSpan w:val="4"/>
          </w:tcPr>
          <w:p>
            <w:pPr>
              <w:ind w:left="60"/>
              <w:spacing w:after="0"/>
              <w:rPr>
                <w:sz w:val="20"/>
                <w:szCs w:val="20"/>
                <w:color w:val="auto"/>
              </w:rPr>
            </w:pPr>
            <w:r>
              <w:rPr>
                <w:rFonts w:ascii="Arial" w:cs="Arial" w:eastAsia="Arial" w:hAnsi="Arial"/>
                <w:sz w:val="18"/>
                <w:szCs w:val="18"/>
                <w:color w:val="auto"/>
              </w:rPr>
              <w:t>Agricultural</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Arial" w:cs="Arial" w:eastAsia="Arial" w:hAnsi="Arial"/>
                <w:sz w:val="18"/>
                <w:szCs w:val="18"/>
                <w:color w:val="auto"/>
              </w:rPr>
              <w:t>Commercial</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w w:val="93"/>
              </w:rPr>
              <w:t>Commercial</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&amp; Letters of</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vMerge w:val="continue"/>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8"/>
                <w:szCs w:val="18"/>
                <w:color w:val="auto"/>
                <w:w w:val="96"/>
              </w:rPr>
              <w:t>Real Estate</w:t>
            </w:r>
          </w:p>
        </w:tc>
        <w:tc>
          <w:tcPr>
            <w:tcW w:w="60" w:type="dxa"/>
            <w:vAlign w:val="bottom"/>
          </w:tcPr>
          <w:p>
            <w:pPr>
              <w:spacing w:after="0"/>
              <w:rPr>
                <w:sz w:val="19"/>
                <w:szCs w:val="19"/>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Real Estate</w:t>
            </w:r>
          </w:p>
        </w:tc>
        <w:tc>
          <w:tcPr>
            <w:tcW w:w="860" w:type="dxa"/>
            <w:vAlign w:val="bottom"/>
            <w:gridSpan w:val="2"/>
          </w:tcPr>
          <w:p>
            <w:pPr>
              <w:spacing w:after="0"/>
              <w:rPr>
                <w:sz w:val="20"/>
                <w:szCs w:val="20"/>
                <w:color w:val="auto"/>
              </w:rPr>
            </w:pPr>
            <w:r>
              <w:rPr>
                <w:rFonts w:ascii="Arial" w:cs="Arial" w:eastAsia="Arial" w:hAnsi="Arial"/>
                <w:sz w:val="18"/>
                <w:szCs w:val="18"/>
                <w:color w:val="auto"/>
                <w:w w:val="93"/>
              </w:rPr>
              <w:t>Agricultural</w:t>
            </w:r>
          </w:p>
        </w:tc>
        <w:tc>
          <w:tcPr>
            <w:tcW w:w="180" w:type="dxa"/>
            <w:vAlign w:val="bottom"/>
          </w:tcPr>
          <w:p>
            <w:pPr>
              <w:spacing w:after="0"/>
              <w:rPr>
                <w:sz w:val="19"/>
                <w:szCs w:val="19"/>
                <w:color w:val="auto"/>
              </w:rPr>
            </w:pPr>
          </w:p>
        </w:tc>
        <w:tc>
          <w:tcPr>
            <w:tcW w:w="1060" w:type="dxa"/>
            <w:vAlign w:val="bottom"/>
            <w:gridSpan w:val="3"/>
          </w:tcPr>
          <w:p>
            <w:pPr>
              <w:jc w:val="right"/>
              <w:ind w:right="132"/>
              <w:spacing w:after="0"/>
              <w:rPr>
                <w:sz w:val="20"/>
                <w:szCs w:val="20"/>
                <w:color w:val="auto"/>
              </w:rPr>
            </w:pPr>
            <w:r>
              <w:rPr>
                <w:rFonts w:ascii="Arial" w:cs="Arial" w:eastAsia="Arial" w:hAnsi="Arial"/>
                <w:sz w:val="18"/>
                <w:szCs w:val="18"/>
                <w:color w:val="auto"/>
                <w:w w:val="88"/>
              </w:rPr>
              <w:t>Real Estate</w:t>
            </w:r>
          </w:p>
        </w:tc>
        <w:tc>
          <w:tcPr>
            <w:tcW w:w="1160" w:type="dxa"/>
            <w:vAlign w:val="bottom"/>
            <w:gridSpan w:val="3"/>
          </w:tcPr>
          <w:p>
            <w:pPr>
              <w:spacing w:after="0"/>
              <w:rPr>
                <w:sz w:val="20"/>
                <w:szCs w:val="20"/>
                <w:color w:val="auto"/>
              </w:rPr>
            </w:pPr>
            <w:r>
              <w:rPr>
                <w:rFonts w:ascii="Arial" w:cs="Arial" w:eastAsia="Arial" w:hAnsi="Arial"/>
                <w:sz w:val="18"/>
                <w:szCs w:val="18"/>
                <w:color w:val="auto"/>
              </w:rPr>
              <w:t>and Industrial</w:t>
            </w:r>
          </w:p>
        </w:tc>
        <w:tc>
          <w:tcPr>
            <w:tcW w:w="840" w:type="dxa"/>
            <w:vAlign w:val="bottom"/>
            <w:gridSpan w:val="3"/>
          </w:tcPr>
          <w:p>
            <w:pPr>
              <w:spacing w:after="0"/>
              <w:rPr>
                <w:sz w:val="20"/>
                <w:szCs w:val="20"/>
                <w:color w:val="auto"/>
              </w:rPr>
            </w:pPr>
            <w:r>
              <w:rPr>
                <w:rFonts w:ascii="Arial" w:cs="Arial" w:eastAsia="Arial" w:hAnsi="Arial"/>
                <w:sz w:val="18"/>
                <w:szCs w:val="18"/>
                <w:color w:val="auto"/>
                <w:w w:val="98"/>
              </w:rPr>
              <w:t>Consumer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Credit</w:t>
            </w:r>
          </w:p>
        </w:tc>
        <w:tc>
          <w:tcPr>
            <w:tcW w:w="1040" w:type="dxa"/>
            <w:vAlign w:val="bottom"/>
            <w:gridSpan w:val="3"/>
          </w:tcPr>
          <w:p>
            <w:pPr>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199"/>
        </w:trPr>
        <w:tc>
          <w:tcPr>
            <w:tcW w:w="2280" w:type="dxa"/>
            <w:vAlign w:val="bottom"/>
            <w:tcBorders>
              <w:top w:val="single" w:sz="8" w:color="CFF0FC"/>
            </w:tcBorders>
            <w:shd w:val="clear" w:color="auto" w:fill="CFF0FC"/>
          </w:tcPr>
          <w:p>
            <w:pPr>
              <w:spacing w:after="0" w:line="199" w:lineRule="exact"/>
              <w:rPr>
                <w:sz w:val="20"/>
                <w:szCs w:val="20"/>
                <w:color w:val="auto"/>
              </w:rPr>
            </w:pPr>
            <w:r>
              <w:rPr>
                <w:rFonts w:ascii="Arial" w:cs="Arial" w:eastAsia="Arial" w:hAnsi="Arial"/>
                <w:sz w:val="18"/>
                <w:szCs w:val="18"/>
                <w:b w:val="1"/>
                <w:bCs w:val="1"/>
                <w:color w:val="auto"/>
              </w:rPr>
              <w:t>ALLOWANCE FOR</w:t>
            </w:r>
          </w:p>
        </w:tc>
        <w:tc>
          <w:tcPr>
            <w:tcW w:w="18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CREDIT LOSSES:</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3,250</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1,318</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Charge Offs</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24"/>
        </w:trPr>
        <w:tc>
          <w:tcPr>
            <w:tcW w:w="2280" w:type="dxa"/>
            <w:vAlign w:val="bottom"/>
          </w:tcPr>
          <w:p>
            <w:pPr>
              <w:ind w:left="240"/>
              <w:spacing w:after="0"/>
              <w:rPr>
                <w:sz w:val="20"/>
                <w:szCs w:val="20"/>
                <w:color w:val="auto"/>
              </w:rPr>
            </w:pPr>
            <w:r>
              <w:rPr>
                <w:rFonts w:ascii="Arial" w:cs="Arial" w:eastAsia="Arial" w:hAnsi="Arial"/>
                <w:sz w:val="18"/>
                <w:szCs w:val="18"/>
                <w:color w:val="auto"/>
              </w:rPr>
              <w:t>Recoveries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(Credit)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2"/>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80" w:type="dxa"/>
            <w:vAlign w:val="bottom"/>
          </w:tcPr>
          <w:p>
            <w:pPr>
              <w:ind w:left="240"/>
              <w:spacing w:after="0"/>
              <w:rPr>
                <w:sz w:val="20"/>
                <w:szCs w:val="20"/>
                <w:color w:val="auto"/>
              </w:rPr>
            </w:pPr>
            <w:r>
              <w:rPr>
                <w:rFonts w:ascii="Arial" w:cs="Arial" w:eastAsia="Arial" w:hAnsi="Arial"/>
                <w:sz w:val="18"/>
                <w:szCs w:val="18"/>
                <w:color w:val="auto"/>
              </w:rPr>
              <w:t>Other Non-interest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80" w:type="dxa"/>
            <w:vAlign w:val="bottom"/>
          </w:tcPr>
          <w:p>
            <w:pPr>
              <w:ind w:left="240"/>
              <w:spacing w:after="0"/>
              <w:rPr>
                <w:sz w:val="20"/>
                <w:szCs w:val="20"/>
                <w:color w:val="auto"/>
              </w:rPr>
            </w:pPr>
            <w:r>
              <w:rPr>
                <w:rFonts w:ascii="Arial" w:cs="Arial" w:eastAsia="Arial" w:hAnsi="Arial"/>
                <w:sz w:val="18"/>
                <w:szCs w:val="18"/>
                <w:color w:val="auto"/>
              </w:rPr>
              <w:t>expense related to</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unfunded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individually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evaluated for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2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collectively</w:t>
            </w: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evaluated for</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loans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acquired with deteriorated</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280" w:type="dxa"/>
            <w:vAlign w:val="bottom"/>
          </w:tcPr>
          <w:p>
            <w:pPr>
              <w:ind w:left="140"/>
              <w:spacing w:after="0"/>
              <w:rPr>
                <w:sz w:val="20"/>
                <w:szCs w:val="20"/>
                <w:color w:val="auto"/>
              </w:rPr>
            </w:pPr>
            <w:r>
              <w:rPr>
                <w:rFonts w:ascii="Arial" w:cs="Arial" w:eastAsia="Arial" w:hAnsi="Arial"/>
                <w:sz w:val="18"/>
                <w:szCs w:val="18"/>
                <w:color w:val="auto"/>
              </w:rPr>
              <w:t>credit quality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28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8"/>
                <w:szCs w:val="18"/>
                <w:b w:val="1"/>
                <w:bCs w:val="1"/>
                <w:color w:val="auto"/>
              </w:rPr>
              <w:t>FINANCING</w:t>
            </w: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RECEIVABLES:</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28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83,200</w:t>
            </w:r>
          </w:p>
        </w:tc>
        <w:tc>
          <w:tcPr>
            <w:tcW w:w="120" w:type="dxa"/>
            <w:vAlign w:val="bottom"/>
          </w:tcPr>
          <w:p>
            <w:pPr>
              <w:spacing w:after="0"/>
              <w:rPr>
                <w:sz w:val="22"/>
                <w:szCs w:val="22"/>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64,044</w:t>
            </w:r>
          </w:p>
        </w:tc>
        <w:tc>
          <w:tcPr>
            <w:tcW w:w="20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95,238</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409,953</w:t>
            </w:r>
          </w:p>
        </w:tc>
        <w:tc>
          <w:tcPr>
            <w:tcW w:w="180" w:type="dxa"/>
            <w:vAlign w:val="bottom"/>
          </w:tcPr>
          <w:p>
            <w:pPr>
              <w:spacing w:after="0"/>
              <w:rPr>
                <w:sz w:val="22"/>
                <w:szCs w:val="22"/>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132,787</w:t>
            </w:r>
          </w:p>
        </w:tc>
        <w:tc>
          <w:tcPr>
            <w:tcW w:w="1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37,802</w:t>
            </w:r>
          </w:p>
        </w:tc>
        <w:tc>
          <w:tcPr>
            <w:tcW w:w="120" w:type="dxa"/>
            <w:vAlign w:val="bottom"/>
          </w:tcPr>
          <w:p>
            <w:pPr>
              <w:spacing w:after="0"/>
              <w:rPr>
                <w:sz w:val="22"/>
                <w:szCs w:val="22"/>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823,024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2280" w:type="dxa"/>
            <w:vAlign w:val="bottom"/>
            <w:tcBorders>
              <w:top w:val="single" w:sz="8" w:color="CFF0FC"/>
            </w:tcBorders>
            <w:shd w:val="clear" w:color="auto" w:fill="CFF0FC"/>
          </w:tcPr>
          <w:p>
            <w:pPr>
              <w:spacing w:after="0" w:line="191" w:lineRule="exact"/>
              <w:rPr>
                <w:sz w:val="20"/>
                <w:szCs w:val="20"/>
                <w:color w:val="auto"/>
              </w:rPr>
            </w:pPr>
            <w:r>
              <w:rPr>
                <w:rFonts w:ascii="Arial" w:cs="Arial" w:eastAsia="Arial" w:hAnsi="Arial"/>
                <w:sz w:val="18"/>
                <w:szCs w:val="18"/>
                <w:color w:val="auto"/>
              </w:rPr>
              <w:t>Ending balance: individually</w:t>
            </w:r>
          </w:p>
        </w:tc>
        <w:tc>
          <w:tcPr>
            <w:tcW w:w="1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evaluated for</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 balance: collectively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80" w:type="dxa"/>
            <w:vAlign w:val="bottom"/>
          </w:tcPr>
          <w:p>
            <w:pPr>
              <w:spacing w:after="0"/>
              <w:rPr>
                <w:sz w:val="20"/>
                <w:szCs w:val="20"/>
                <w:color w:val="auto"/>
              </w:rPr>
            </w:pPr>
            <w:r>
              <w:rPr>
                <w:rFonts w:ascii="Arial" w:cs="Arial" w:eastAsia="Arial" w:hAnsi="Arial"/>
                <w:sz w:val="18"/>
                <w:szCs w:val="18"/>
                <w:color w:val="auto"/>
              </w:rPr>
              <w:t>evaluated for</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80" w:type="dxa"/>
            <w:vAlign w:val="bottom"/>
          </w:tcPr>
          <w:p>
            <w:pPr>
              <w:ind w:left="1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82,625</w:t>
            </w:r>
          </w:p>
        </w:tc>
        <w:tc>
          <w:tcPr>
            <w:tcW w:w="12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63,943</w:t>
            </w:r>
          </w:p>
        </w:tc>
        <w:tc>
          <w:tcPr>
            <w:tcW w:w="2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95,238</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409,328</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132,343</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37,802</w:t>
            </w:r>
          </w:p>
        </w:tc>
        <w:tc>
          <w:tcPr>
            <w:tcW w:w="120" w:type="dxa"/>
            <w:vAlign w:val="bottom"/>
          </w:tcPr>
          <w:p>
            <w:pPr>
              <w:spacing w:after="0"/>
              <w:rPr>
                <w:sz w:val="19"/>
                <w:szCs w:val="19"/>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821,279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2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62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64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220" w:type="dxa"/>
            <w:vAlign w:val="bottom"/>
            <w:shd w:val="clear" w:color="auto" w:fill="BFBFBF"/>
          </w:tcPr>
          <w:p>
            <w:pPr>
              <w:spacing w:after="0"/>
              <w:rPr>
                <w:sz w:val="18"/>
                <w:szCs w:val="18"/>
                <w:color w:val="auto"/>
              </w:rPr>
            </w:pPr>
          </w:p>
        </w:tc>
        <w:tc>
          <w:tcPr>
            <w:tcW w:w="64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68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240" w:type="dxa"/>
            <w:vAlign w:val="bottom"/>
            <w:shd w:val="clear" w:color="auto" w:fill="BFBFBF"/>
          </w:tcPr>
          <w:p>
            <w:pPr>
              <w:spacing w:after="0"/>
              <w:rPr>
                <w:sz w:val="18"/>
                <w:szCs w:val="18"/>
                <w:color w:val="auto"/>
              </w:rPr>
            </w:pPr>
          </w:p>
        </w:tc>
        <w:tc>
          <w:tcPr>
            <w:tcW w:w="74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160" w:type="dxa"/>
            <w:vAlign w:val="bottom"/>
            <w:shd w:val="clear" w:color="auto" w:fill="BFBFBF"/>
          </w:tcPr>
          <w:p>
            <w:pPr>
              <w:spacing w:after="0"/>
              <w:rPr>
                <w:sz w:val="18"/>
                <w:szCs w:val="18"/>
                <w:color w:val="auto"/>
              </w:rPr>
            </w:pPr>
          </w:p>
        </w:tc>
        <w:tc>
          <w:tcPr>
            <w:tcW w:w="560" w:type="dxa"/>
            <w:vAlign w:val="bottom"/>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6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84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300" w:type="dxa"/>
            <w:vAlign w:val="bottom"/>
            <w:shd w:val="clear" w:color="auto" w:fill="BFBFBF"/>
          </w:tcPr>
          <w:p>
            <w:pPr>
              <w:spacing w:after="0"/>
              <w:rPr>
                <w:sz w:val="18"/>
                <w:szCs w:val="18"/>
                <w:color w:val="auto"/>
              </w:rPr>
            </w:pPr>
          </w:p>
        </w:tc>
        <w:tc>
          <w:tcPr>
            <w:tcW w:w="56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600" w:type="dxa"/>
            <w:vAlign w:val="bottom"/>
            <w:shd w:val="clear" w:color="auto" w:fill="BFBFBF"/>
          </w:tcPr>
          <w:p>
            <w:pPr>
              <w:spacing w:after="0"/>
              <w:rPr>
                <w:sz w:val="18"/>
                <w:szCs w:val="18"/>
                <w:color w:val="auto"/>
              </w:rPr>
            </w:pPr>
          </w:p>
        </w:tc>
        <w:tc>
          <w:tcPr>
            <w:tcW w:w="80" w:type="dxa"/>
            <w:vAlign w:val="bottom"/>
            <w:shd w:val="clear" w:color="auto" w:fill="BFBFB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Premises and Equipment</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major categories of banking premises and equipment and accumulated depreciation at December 31 are summarized below:</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color w:val="auto"/>
              </w:rPr>
              <w:t>(In Thousands)</w:t>
            </w: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170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5,892</w:t>
            </w:r>
          </w:p>
        </w:tc>
        <w:tc>
          <w:tcPr>
            <w:tcW w:w="80" w:type="dxa"/>
            <w:vAlign w:val="bottom"/>
            <w:shd w:val="clear" w:color="auto" w:fill="CFF0FC"/>
          </w:tcPr>
          <w:p>
            <w:pPr>
              <w:spacing w:after="0"/>
              <w:rPr>
                <w:sz w:val="18"/>
                <w:szCs w:val="18"/>
                <w:color w:val="auto"/>
              </w:rPr>
            </w:pPr>
          </w:p>
        </w:tc>
      </w:tr>
      <w:tr>
        <w:trPr>
          <w:trHeight w:val="224"/>
        </w:trPr>
        <w:tc>
          <w:tcPr>
            <w:tcW w:w="3980" w:type="dxa"/>
            <w:vAlign w:val="bottom"/>
            <w:gridSpan w:val="2"/>
          </w:tcPr>
          <w:p>
            <w:pPr>
              <w:spacing w:after="0"/>
              <w:rPr>
                <w:sz w:val="20"/>
                <w:szCs w:val="20"/>
                <w:color w:val="auto"/>
              </w:rPr>
            </w:pPr>
            <w:r>
              <w:rPr>
                <w:rFonts w:ascii="Arial" w:cs="Arial" w:eastAsia="Arial" w:hAnsi="Arial"/>
                <w:sz w:val="18"/>
                <w:szCs w:val="18"/>
                <w:color w:val="auto"/>
              </w:rPr>
              <w:t>Buildings (useful life 15-39 years)</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24,489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23,977</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Furnishings (useful life 3-15 years)</w:t>
            </w:r>
          </w:p>
        </w:tc>
        <w:tc>
          <w:tcPr>
            <w:tcW w:w="14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15,203</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13,351</w:t>
            </w:r>
          </w:p>
        </w:tc>
        <w:tc>
          <w:tcPr>
            <w:tcW w:w="80" w:type="dxa"/>
            <w:vAlign w:val="bottom"/>
            <w:shd w:val="clear" w:color="auto" w:fill="CFF0FC"/>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45,609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43,220</w:t>
            </w:r>
          </w:p>
        </w:tc>
        <w:tc>
          <w:tcPr>
            <w:tcW w:w="8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9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Less: Accumulated depreciation</w:t>
            </w: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(22,997)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(21,603)</w:t>
            </w:r>
          </w:p>
        </w:tc>
      </w:tr>
      <w:tr>
        <w:trPr>
          <w:trHeight w:val="217"/>
        </w:trPr>
        <w:tc>
          <w:tcPr>
            <w:tcW w:w="3980" w:type="dxa"/>
            <w:vAlign w:val="bottom"/>
            <w:gridSpan w:val="2"/>
          </w:tcPr>
          <w:p>
            <w:pPr>
              <w:spacing w:after="0"/>
              <w:rPr>
                <w:sz w:val="20"/>
                <w:szCs w:val="20"/>
                <w:color w:val="auto"/>
              </w:rPr>
            </w:pPr>
            <w:r>
              <w:rPr>
                <w:rFonts w:ascii="Arial" w:cs="Arial" w:eastAsia="Arial" w:hAnsi="Arial"/>
                <w:sz w:val="18"/>
                <w:szCs w:val="18"/>
                <w:color w:val="auto"/>
              </w:rPr>
              <w:t>Premises and Equipment (Net)</w:t>
            </w:r>
          </w:p>
        </w:tc>
        <w:tc>
          <w:tcPr>
            <w:tcW w:w="1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Depreciation expense for the years ended December 31, 2018, 2017 and 2016 amounted to $1.7, $1.6, and $1.5 million, respectively.</w:t>
      </w:r>
    </w:p>
    <w:p>
      <w:pPr>
        <w:spacing w:after="0" w:line="132"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Construction in progress of $3 thousand as of December 31, 2018 related to environmental and foundation study expenses incurred for new construction in Fort Wayne, Indiana to be opened in 2019. Construction in progress of $109 thousand as of December 31, 2017 represented remodeling expenses incurred for the Findlay office opened in first quarter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Servicing</w:t>
      </w:r>
    </w:p>
    <w:p>
      <w:pPr>
        <w:spacing w:after="0" w:line="11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Loans serviced for others are not included in the accompanying consolidated balance sheets. The unpaid principal balances of loans serviced for others were $289.2 and $288.6 million at December 31, 2018 and 2017, respectively.</w:t>
      </w:r>
    </w:p>
    <w:p>
      <w:pPr>
        <w:spacing w:after="0" w:line="75" w:lineRule="exact"/>
        <w:rPr>
          <w:sz w:val="20"/>
          <w:szCs w:val="20"/>
          <w:color w:val="auto"/>
        </w:rPr>
      </w:pPr>
    </w:p>
    <w:p>
      <w:pPr>
        <w:jc w:val="both"/>
        <w:ind w:left="820" w:right="20"/>
        <w:spacing w:after="0" w:line="324" w:lineRule="auto"/>
        <w:rPr>
          <w:sz w:val="20"/>
          <w:szCs w:val="20"/>
          <w:color w:val="auto"/>
        </w:rPr>
      </w:pPr>
      <w:r>
        <w:rPr>
          <w:rFonts w:ascii="Arial" w:cs="Arial" w:eastAsia="Arial" w:hAnsi="Arial"/>
          <w:sz w:val="16"/>
          <w:szCs w:val="16"/>
          <w:color w:val="auto"/>
        </w:rPr>
        <w:t>The balance of capitalized servicing rights included in other assets at December 31, 2018 and 2017, was $2.4 and $2.3 million, respectively. The capitalized addition of servicing rights is included in net gain on sale of loans on the consolidated statement of income.</w:t>
      </w:r>
    </w:p>
    <w:p>
      <w:pPr>
        <w:spacing w:after="0" w:line="30"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The fair market value of the capitalized servicing rights as of December 31, 2018 and 2017 was $3.3 million and $3.1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8.9% and 10.4% were utilized for 2018 and 2017, respectively. All stratums showed positive values compared to carrying value using a discount yield of 6.60% for 2018 and 6.07% for 2017.</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summarizes mortgage servicing rights capitalized and amortized during each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87"/>
              </w:rPr>
              <w:t>(In Thousands)</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tcBorders>
              <w:bottom w:val="single" w:sz="8" w:color="CFF0FC"/>
            </w:tcBorders>
          </w:tcPr>
          <w:p>
            <w:pPr>
              <w:spacing w:after="0"/>
              <w:rPr>
                <w:sz w:val="18"/>
                <w:szCs w:val="18"/>
                <w:color w:val="auto"/>
              </w:rPr>
            </w:pPr>
          </w:p>
        </w:tc>
        <w:tc>
          <w:tcPr>
            <w:tcW w:w="2420" w:type="dxa"/>
            <w:vAlign w:val="bottom"/>
            <w:tcBorders>
              <w:bottom w:val="single" w:sz="8" w:color="CFF0FC"/>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84"/>
              </w:rPr>
              <w:t>2017</w:t>
            </w:r>
          </w:p>
        </w:tc>
        <w:tc>
          <w:tcPr>
            <w:tcW w:w="80" w:type="dxa"/>
            <w:vAlign w:val="bottom"/>
            <w:tcBorders>
              <w:bottom w:val="single" w:sz="8" w:color="CFF0F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Beginning Year</w:t>
            </w:r>
          </w:p>
        </w:tc>
        <w:tc>
          <w:tcPr>
            <w:tcW w:w="3180" w:type="dxa"/>
            <w:vAlign w:val="bottom"/>
            <w:gridSpan w:val="2"/>
            <w:shd w:val="clear" w:color="auto" w:fill="CFF0FC"/>
          </w:tcPr>
          <w:p>
            <w:pPr>
              <w:jc w:val="right"/>
              <w:ind w:right="5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2,299</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tcPr>
          <w:p>
            <w:pPr>
              <w:ind w:left="220"/>
              <w:spacing w:after="0"/>
              <w:rPr>
                <w:sz w:val="20"/>
                <w:szCs w:val="20"/>
                <w:color w:val="auto"/>
              </w:rPr>
            </w:pPr>
            <w:r>
              <w:rPr>
                <w:rFonts w:ascii="Arial" w:cs="Arial" w:eastAsia="Arial" w:hAnsi="Arial"/>
                <w:sz w:val="18"/>
                <w:szCs w:val="18"/>
                <w:color w:val="auto"/>
              </w:rPr>
              <w:t>Capitalized Additions</w:t>
            </w:r>
          </w:p>
        </w:tc>
        <w:tc>
          <w:tcPr>
            <w:tcW w:w="2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w:t>
            </w:r>
          </w:p>
        </w:tc>
        <w:tc>
          <w:tcPr>
            <w:tcW w:w="24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282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Valuation Allowance</w:t>
            </w:r>
          </w:p>
        </w:tc>
        <w:tc>
          <w:tcPr>
            <w:tcW w:w="24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3180" w:type="dxa"/>
            <w:vAlign w:val="bottom"/>
            <w:gridSpan w:val="2"/>
            <w:shd w:val="clear" w:color="auto" w:fill="CFF0FC"/>
          </w:tcPr>
          <w:p>
            <w:pPr>
              <w:jc w:val="right"/>
              <w:ind w:right="5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2,385</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80" w:type="dxa"/>
            <w:vAlign w:val="bottom"/>
            <w:shd w:val="clear" w:color="auto" w:fill="CFF0F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82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bottom w:val="single" w:sz="8" w:color="CFF0FC"/>
            </w:tcBorders>
            <w:vMerge w:val="restart"/>
          </w:tcPr>
          <w:p>
            <w:pPr>
              <w:jc w:val="right"/>
              <w:ind w:right="1092"/>
              <w:spacing w:after="0"/>
              <w:rPr>
                <w:sz w:val="20"/>
                <w:szCs w:val="20"/>
                <w:color w:val="auto"/>
              </w:rPr>
            </w:pPr>
            <w:r>
              <w:rPr>
                <w:rFonts w:ascii="Arial" w:cs="Arial" w:eastAsia="Arial" w:hAnsi="Arial"/>
                <w:sz w:val="18"/>
                <w:szCs w:val="18"/>
                <w:color w:val="auto"/>
              </w:rPr>
              <w:t>73</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17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74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Deposits</w:t>
      </w:r>
    </w:p>
    <w:p>
      <w:pPr>
        <w:spacing w:after="0" w:line="115"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5220" w:type="dxa"/>
            <w:vAlign w:val="bottom"/>
            <w:gridSpan w:val="2"/>
          </w:tcPr>
          <w:p>
            <w:pPr>
              <w:spacing w:after="0"/>
              <w:rPr>
                <w:sz w:val="20"/>
                <w:szCs w:val="20"/>
                <w:color w:val="auto"/>
              </w:rPr>
            </w:pPr>
            <w:r>
              <w:rPr>
                <w:rFonts w:ascii="Arial" w:cs="Arial" w:eastAsia="Arial" w:hAnsi="Arial"/>
                <w:sz w:val="18"/>
                <w:szCs w:val="18"/>
                <w:color w:val="auto"/>
              </w:rPr>
              <w:t>Time deposits as of December 31 consist of the following:</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35"/>
        </w:trPr>
        <w:tc>
          <w:tcPr>
            <w:tcW w:w="9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r>
      <w:tr>
        <w:trPr>
          <w:trHeight w:val="217"/>
        </w:trPr>
        <w:tc>
          <w:tcPr>
            <w:tcW w:w="920" w:type="dxa"/>
            <w:vAlign w:val="bottom"/>
          </w:tcPr>
          <w:p>
            <w:pPr>
              <w:spacing w:after="0"/>
              <w:rPr>
                <w:sz w:val="18"/>
                <w:szCs w:val="18"/>
                <w:color w:val="auto"/>
              </w:rPr>
            </w:pPr>
          </w:p>
        </w:tc>
        <w:tc>
          <w:tcPr>
            <w:tcW w:w="43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Time deposits under $250,000</w:t>
            </w:r>
          </w:p>
        </w:tc>
        <w:tc>
          <w:tcPr>
            <w:tcW w:w="136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165,528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165,866</w:t>
            </w:r>
          </w:p>
        </w:tc>
        <w:tc>
          <w:tcPr>
            <w:tcW w:w="80" w:type="dxa"/>
            <w:vAlign w:val="bottom"/>
            <w:shd w:val="clear" w:color="auto" w:fill="CFF0FC"/>
          </w:tcPr>
          <w:p>
            <w:pPr>
              <w:spacing w:after="0"/>
              <w:rPr>
                <w:sz w:val="18"/>
                <w:szCs w:val="18"/>
                <w:color w:val="auto"/>
              </w:rPr>
            </w:pPr>
          </w:p>
        </w:tc>
      </w:tr>
      <w:tr>
        <w:trPr>
          <w:trHeight w:val="224"/>
        </w:trPr>
        <w:tc>
          <w:tcPr>
            <w:tcW w:w="5220" w:type="dxa"/>
            <w:vAlign w:val="bottom"/>
            <w:gridSpan w:val="2"/>
          </w:tcPr>
          <w:p>
            <w:pPr>
              <w:ind w:left="900"/>
              <w:spacing w:after="0"/>
              <w:rPr>
                <w:sz w:val="20"/>
                <w:szCs w:val="20"/>
                <w:color w:val="auto"/>
              </w:rPr>
            </w:pPr>
            <w:r>
              <w:rPr>
                <w:rFonts w:ascii="Arial" w:cs="Arial" w:eastAsia="Arial" w:hAnsi="Arial"/>
                <w:sz w:val="18"/>
                <w:szCs w:val="18"/>
                <w:color w:val="auto"/>
              </w:rPr>
              <w:t>Time deposits of $250,000 or more</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21,700</w:t>
            </w:r>
          </w:p>
        </w:tc>
        <w:tc>
          <w:tcPr>
            <w:tcW w:w="8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7"/>
        </w:trPr>
        <w:tc>
          <w:tcPr>
            <w:tcW w:w="920" w:type="dxa"/>
            <w:vAlign w:val="bottom"/>
          </w:tcPr>
          <w:p>
            <w:pPr>
              <w:spacing w:after="0"/>
              <w:rPr>
                <w:sz w:val="18"/>
                <w:szCs w:val="18"/>
                <w:color w:val="auto"/>
              </w:rPr>
            </w:pPr>
          </w:p>
        </w:tc>
        <w:tc>
          <w:tcPr>
            <w:tcW w:w="4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187,413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187,566</w:t>
            </w:r>
          </w:p>
        </w:tc>
        <w:tc>
          <w:tcPr>
            <w:tcW w:w="80" w:type="dxa"/>
            <w:vAlign w:val="bottom"/>
            <w:shd w:val="clear" w:color="auto" w:fill="CFF0FC"/>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3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222"/>
        </w:trPr>
        <w:tc>
          <w:tcPr>
            <w:tcW w:w="6360" w:type="dxa"/>
            <w:vAlign w:val="bottom"/>
            <w:gridSpan w:val="2"/>
          </w:tcPr>
          <w:p>
            <w:pPr>
              <w:jc w:val="right"/>
              <w:ind w:right="632"/>
              <w:spacing w:after="0"/>
              <w:rPr>
                <w:sz w:val="20"/>
                <w:szCs w:val="20"/>
                <w:color w:val="auto"/>
              </w:rPr>
            </w:pPr>
            <w:r>
              <w:rPr>
                <w:rFonts w:ascii="Arial" w:cs="Arial" w:eastAsia="Arial" w:hAnsi="Arial"/>
                <w:sz w:val="18"/>
                <w:szCs w:val="18"/>
                <w:color w:val="auto"/>
                <w:w w:val="88"/>
              </w:rPr>
              <w:t>At December 31, 2018 the scheduled maturities for time deposits are as follows:</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35"/>
        </w:trPr>
        <w:tc>
          <w:tcPr>
            <w:tcW w:w="1480" w:type="dxa"/>
            <w:vAlign w:val="bottom"/>
          </w:tcPr>
          <w:p>
            <w:pPr>
              <w:spacing w:after="0"/>
              <w:rPr>
                <w:sz w:val="24"/>
                <w:szCs w:val="24"/>
                <w:color w:val="auto"/>
              </w:rPr>
            </w:pPr>
          </w:p>
        </w:tc>
        <w:tc>
          <w:tcPr>
            <w:tcW w:w="488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12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w w:val="89"/>
              </w:rPr>
              <w:t>(In Thousands)</w:t>
            </w:r>
          </w:p>
        </w:tc>
      </w:tr>
      <w:tr>
        <w:trPr>
          <w:trHeight w:val="217"/>
        </w:trPr>
        <w:tc>
          <w:tcPr>
            <w:tcW w:w="1480" w:type="dxa"/>
            <w:vAlign w:val="bottom"/>
          </w:tcPr>
          <w:p>
            <w:pPr>
              <w:spacing w:after="0"/>
              <w:rPr>
                <w:sz w:val="18"/>
                <w:szCs w:val="18"/>
                <w:color w:val="auto"/>
              </w:rPr>
            </w:pPr>
          </w:p>
        </w:tc>
        <w:tc>
          <w:tcPr>
            <w:tcW w:w="4880" w:type="dxa"/>
            <w:vAlign w:val="bottom"/>
            <w:shd w:val="clear" w:color="auto" w:fill="CFF0FC"/>
          </w:tcPr>
          <w:p>
            <w:pPr>
              <w:jc w:val="right"/>
              <w:ind w:right="4212"/>
              <w:spacing w:after="0"/>
              <w:rPr>
                <w:sz w:val="20"/>
                <w:szCs w:val="20"/>
                <w:color w:val="auto"/>
              </w:rPr>
            </w:pPr>
            <w:r>
              <w:rPr>
                <w:rFonts w:ascii="Arial" w:cs="Arial" w:eastAsia="Arial" w:hAnsi="Arial"/>
                <w:sz w:val="18"/>
                <w:szCs w:val="18"/>
                <w:color w:val="auto"/>
              </w:rPr>
              <w:t>2019</w:t>
            </w:r>
          </w:p>
        </w:tc>
        <w:tc>
          <w:tcPr>
            <w:tcW w:w="10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88,388</w:t>
            </w:r>
          </w:p>
        </w:tc>
      </w:tr>
      <w:tr>
        <w:trPr>
          <w:trHeight w:val="224"/>
        </w:trPr>
        <w:tc>
          <w:tcPr>
            <w:tcW w:w="6360" w:type="dxa"/>
            <w:vAlign w:val="bottom"/>
            <w:gridSpan w:val="2"/>
          </w:tcPr>
          <w:p>
            <w:pPr>
              <w:jc w:val="right"/>
              <w:ind w:right="4212"/>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44,517</w:t>
            </w:r>
          </w:p>
        </w:tc>
      </w:tr>
      <w:tr>
        <w:trPr>
          <w:trHeight w:val="224"/>
        </w:trPr>
        <w:tc>
          <w:tcPr>
            <w:tcW w:w="1480" w:type="dxa"/>
            <w:vAlign w:val="bottom"/>
          </w:tcPr>
          <w:p>
            <w:pPr>
              <w:spacing w:after="0"/>
              <w:rPr>
                <w:sz w:val="19"/>
                <w:szCs w:val="19"/>
                <w:color w:val="auto"/>
              </w:rPr>
            </w:pPr>
          </w:p>
        </w:tc>
        <w:tc>
          <w:tcPr>
            <w:tcW w:w="4880" w:type="dxa"/>
            <w:vAlign w:val="bottom"/>
            <w:shd w:val="clear" w:color="auto" w:fill="CFF0FC"/>
          </w:tcPr>
          <w:p>
            <w:pPr>
              <w:jc w:val="right"/>
              <w:ind w:right="4212"/>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27,980</w:t>
            </w:r>
          </w:p>
        </w:tc>
      </w:tr>
      <w:tr>
        <w:trPr>
          <w:trHeight w:val="224"/>
        </w:trPr>
        <w:tc>
          <w:tcPr>
            <w:tcW w:w="6360" w:type="dxa"/>
            <w:vAlign w:val="bottom"/>
            <w:gridSpan w:val="2"/>
          </w:tcPr>
          <w:p>
            <w:pPr>
              <w:jc w:val="right"/>
              <w:ind w:right="4212"/>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16,070</w:t>
            </w:r>
          </w:p>
        </w:tc>
      </w:tr>
      <w:tr>
        <w:trPr>
          <w:trHeight w:val="224"/>
        </w:trPr>
        <w:tc>
          <w:tcPr>
            <w:tcW w:w="1480" w:type="dxa"/>
            <w:vAlign w:val="bottom"/>
          </w:tcPr>
          <w:p>
            <w:pPr>
              <w:spacing w:after="0"/>
              <w:rPr>
                <w:sz w:val="19"/>
                <w:szCs w:val="19"/>
                <w:color w:val="auto"/>
              </w:rPr>
            </w:pPr>
          </w:p>
        </w:tc>
        <w:tc>
          <w:tcPr>
            <w:tcW w:w="4880" w:type="dxa"/>
            <w:vAlign w:val="bottom"/>
            <w:shd w:val="clear" w:color="auto" w:fill="CFF0FC"/>
          </w:tcPr>
          <w:p>
            <w:pPr>
              <w:jc w:val="right"/>
              <w:ind w:right="4212"/>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9,904</w:t>
            </w:r>
          </w:p>
        </w:tc>
      </w:tr>
      <w:tr>
        <w:trPr>
          <w:trHeight w:val="224"/>
        </w:trPr>
        <w:tc>
          <w:tcPr>
            <w:tcW w:w="6360" w:type="dxa"/>
            <w:vAlign w:val="bottom"/>
            <w:gridSpan w:val="2"/>
          </w:tcPr>
          <w:p>
            <w:pPr>
              <w:jc w:val="right"/>
              <w:ind w:right="4072"/>
              <w:spacing w:after="0"/>
              <w:rPr>
                <w:sz w:val="20"/>
                <w:szCs w:val="20"/>
                <w:color w:val="auto"/>
              </w:rPr>
            </w:pPr>
            <w:r>
              <w:rPr>
                <w:rFonts w:ascii="Arial" w:cs="Arial" w:eastAsia="Arial" w:hAnsi="Arial"/>
                <w:sz w:val="18"/>
                <w:szCs w:val="18"/>
                <w:color w:val="auto"/>
              </w:rPr>
              <w:t>Thereafter</w:t>
            </w: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1480" w:type="dxa"/>
            <w:vAlign w:val="bottom"/>
          </w:tcPr>
          <w:p>
            <w:pPr>
              <w:spacing w:after="0" w:line="20" w:lineRule="exact"/>
              <w:rPr>
                <w:sz w:val="1"/>
                <w:szCs w:val="1"/>
                <w:color w:val="auto"/>
              </w:rPr>
            </w:pPr>
          </w:p>
        </w:tc>
        <w:tc>
          <w:tcPr>
            <w:tcW w:w="48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17"/>
        </w:trPr>
        <w:tc>
          <w:tcPr>
            <w:tcW w:w="1480" w:type="dxa"/>
            <w:vAlign w:val="bottom"/>
          </w:tcPr>
          <w:p>
            <w:pPr>
              <w:spacing w:after="0"/>
              <w:rPr>
                <w:sz w:val="18"/>
                <w:szCs w:val="18"/>
                <w:color w:val="auto"/>
              </w:rPr>
            </w:pPr>
          </w:p>
        </w:tc>
        <w:tc>
          <w:tcPr>
            <w:tcW w:w="48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187,413</w:t>
            </w:r>
          </w:p>
        </w:tc>
      </w:tr>
      <w:tr>
        <w:trPr>
          <w:trHeight w:val="20"/>
        </w:trPr>
        <w:tc>
          <w:tcPr>
            <w:tcW w:w="1480" w:type="dxa"/>
            <w:vAlign w:val="bottom"/>
          </w:tcPr>
          <w:p>
            <w:pPr>
              <w:spacing w:after="0" w:line="20" w:lineRule="exact"/>
              <w:rPr>
                <w:sz w:val="1"/>
                <w:szCs w:val="1"/>
                <w:color w:val="auto"/>
              </w:rPr>
            </w:pPr>
          </w:p>
        </w:tc>
        <w:tc>
          <w:tcPr>
            <w:tcW w:w="48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w:t>
      </w:r>
    </w:p>
    <w:p>
      <w:pPr>
        <w:spacing w:after="0" w:line="115" w:lineRule="exact"/>
        <w:rPr>
          <w:sz w:val="20"/>
          <w:szCs w:val="20"/>
          <w:color w:val="auto"/>
        </w:rPr>
      </w:pPr>
    </w:p>
    <w:p>
      <w:pPr>
        <w:jc w:val="both"/>
        <w:ind w:left="820" w:right="20"/>
        <w:spacing w:after="0" w:line="250" w:lineRule="auto"/>
        <w:rPr>
          <w:sz w:val="20"/>
          <w:szCs w:val="20"/>
          <w:color w:val="auto"/>
        </w:rPr>
      </w:pPr>
      <w:r>
        <w:rPr>
          <w:rFonts w:ascii="Arial" w:cs="Arial" w:eastAsia="Arial" w:hAnsi="Arial"/>
          <w:sz w:val="18"/>
          <w:szCs w:val="18"/>
          <w:color w:val="auto"/>
        </w:rPr>
        <w:t>The Bank’s policy requires qualifying securities to be used as collateral for the underlying repurchase agreements. As of December 31, 2018 and 2017 securities with a market value of $34.9 million and $35.9 million, respectively, were pledged to secure the repurchase agreements. The table below presents the daily securities sold under agreement to repurchase and the term repurchase agreements. It does not include the Bank’s Federal Funds purchased.</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222"/>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9"/>
          </w:tcPr>
          <w:p>
            <w:pPr>
              <w:ind w:left="620"/>
              <w:spacing w:after="0"/>
              <w:rPr>
                <w:sz w:val="20"/>
                <w:szCs w:val="20"/>
                <w:color w:val="auto"/>
              </w:rPr>
            </w:pPr>
            <w:r>
              <w:rPr>
                <w:rFonts w:ascii="Arial" w:cs="Arial" w:eastAsia="Arial" w:hAnsi="Arial"/>
                <w:sz w:val="18"/>
                <w:szCs w:val="18"/>
                <w:color w:val="auto"/>
              </w:rPr>
              <w:t>Daily Securities Sold Under Agreement to Repurchase</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48"/>
        </w:trPr>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Approximate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Approximate</w:t>
            </w:r>
          </w:p>
        </w:tc>
      </w:tr>
      <w:tr>
        <w:trPr>
          <w:trHeight w:val="224"/>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Outstanding</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Average</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Weighted Average</w:t>
            </w:r>
          </w:p>
        </w:tc>
      </w:tr>
      <w:tr>
        <w:trPr>
          <w:trHeight w:val="224"/>
        </w:trPr>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at End</w:t>
            </w: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Rate End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Outstanding in</w:t>
            </w: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Interest Rate</w:t>
            </w:r>
          </w:p>
        </w:tc>
      </w:tr>
      <w:tr>
        <w:trPr>
          <w:trHeight w:val="224"/>
        </w:trPr>
        <w:tc>
          <w:tcPr>
            <w:tcW w:w="8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8"/>
              </w:rPr>
              <w:t>of Period (000's)</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Period</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0"/>
              </w:rPr>
              <w:t>Month End (000's)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120" w:type="dxa"/>
            <w:vAlign w:val="bottom"/>
            <w:tcBorders>
              <w:bottom w:val="single" w:sz="8" w:color="CFF0FC"/>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For the Period</w:t>
            </w:r>
          </w:p>
        </w:tc>
        <w:tc>
          <w:tcPr>
            <w:tcW w:w="200" w:type="dxa"/>
            <w:vAlign w:val="bottom"/>
            <w:tcBorders>
              <w:bottom w:val="single" w:sz="8" w:color="CFF0FC"/>
            </w:tcBorders>
          </w:tcPr>
          <w:p>
            <w:pPr>
              <w:spacing w:after="0"/>
              <w:rPr>
                <w:sz w:val="19"/>
                <w:szCs w:val="19"/>
                <w:color w:val="auto"/>
              </w:rPr>
            </w:pPr>
          </w:p>
        </w:tc>
      </w:tr>
      <w:tr>
        <w:trPr>
          <w:trHeight w:val="217"/>
        </w:trPr>
        <w:tc>
          <w:tcPr>
            <w:tcW w:w="880" w:type="dxa"/>
            <w:vAlign w:val="bottom"/>
            <w:shd w:val="clear" w:color="auto" w:fill="CFF0FC"/>
          </w:tcPr>
          <w:p>
            <w:pPr>
              <w:jc w:val="right"/>
              <w:ind w:right="452"/>
              <w:spacing w:after="0"/>
              <w:rPr>
                <w:sz w:val="20"/>
                <w:szCs w:val="20"/>
                <w:color w:val="auto"/>
              </w:rPr>
            </w:pPr>
            <w:r>
              <w:rPr>
                <w:rFonts w:ascii="Arial" w:cs="Arial" w:eastAsia="Arial" w:hAnsi="Arial"/>
                <w:sz w:val="18"/>
                <w:szCs w:val="18"/>
                <w:color w:val="auto"/>
                <w:w w:val="79"/>
              </w:rPr>
              <w:t>2018</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w:t>
            </w:r>
          </w:p>
        </w:tc>
      </w:tr>
      <w:tr>
        <w:trPr>
          <w:trHeight w:val="223"/>
        </w:trPr>
        <w:tc>
          <w:tcPr>
            <w:tcW w:w="880" w:type="dxa"/>
            <w:vAlign w:val="bottom"/>
          </w:tcPr>
          <w:p>
            <w:pPr>
              <w:jc w:val="right"/>
              <w:ind w:right="452"/>
              <w:spacing w:after="0"/>
              <w:rPr>
                <w:sz w:val="20"/>
                <w:szCs w:val="20"/>
                <w:color w:val="auto"/>
              </w:rPr>
            </w:pPr>
            <w:r>
              <w:rPr>
                <w:rFonts w:ascii="Arial" w:cs="Arial" w:eastAsia="Arial" w:hAnsi="Arial"/>
                <w:sz w:val="18"/>
                <w:szCs w:val="18"/>
                <w:color w:val="auto"/>
                <w:w w:val="79"/>
              </w:rPr>
              <w:t>2017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6,145</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14,929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10,253</w:t>
            </w:r>
          </w:p>
        </w:tc>
        <w:tc>
          <w:tcPr>
            <w:tcW w:w="120" w:type="dxa"/>
            <w:vAlign w:val="bottom"/>
          </w:tcPr>
          <w:p>
            <w:pPr>
              <w:spacing w:after="0"/>
              <w:rPr>
                <w:sz w:val="19"/>
                <w:szCs w:val="19"/>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60" w:type="dxa"/>
            <w:vAlign w:val="bottom"/>
            <w:gridSpan w:val="9"/>
          </w:tcPr>
          <w:p>
            <w:pPr>
              <w:ind w:left="800"/>
              <w:spacing w:after="0"/>
              <w:rPr>
                <w:sz w:val="20"/>
                <w:szCs w:val="20"/>
                <w:color w:val="auto"/>
              </w:rPr>
            </w:pPr>
            <w:r>
              <w:rPr>
                <w:rFonts w:ascii="Arial" w:cs="Arial" w:eastAsia="Arial" w:hAnsi="Arial"/>
                <w:sz w:val="18"/>
                <w:szCs w:val="18"/>
                <w:color w:val="auto"/>
              </w:rPr>
              <w:t>Term CD's Sold Under Agreement to Repurchase</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48"/>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Amount</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Weighted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92"/>
              </w:rPr>
              <w:t>Maximum Amount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Approximate</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Approximate</w:t>
            </w:r>
          </w:p>
        </w:tc>
        <w:tc>
          <w:tcPr>
            <w:tcW w:w="620" w:type="dxa"/>
            <w:vAlign w:val="bottom"/>
          </w:tcPr>
          <w:p>
            <w:pPr>
              <w:spacing w:after="0"/>
              <w:rPr>
                <w:sz w:val="24"/>
                <w:szCs w:val="24"/>
                <w:color w:val="auto"/>
              </w:rPr>
            </w:pPr>
          </w:p>
        </w:tc>
      </w:tr>
      <w:tr>
        <w:trPr>
          <w:trHeight w:val="224"/>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Outstanding</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91"/>
              </w:rPr>
              <w:t>Borrowings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Weighted Average</w:t>
            </w:r>
          </w:p>
        </w:tc>
        <w:tc>
          <w:tcPr>
            <w:tcW w:w="620" w:type="dxa"/>
            <w:vAlign w:val="bottom"/>
          </w:tcPr>
          <w:p>
            <w:pPr>
              <w:spacing w:after="0"/>
              <w:rPr>
                <w:sz w:val="19"/>
                <w:szCs w:val="19"/>
                <w:color w:val="auto"/>
              </w:rPr>
            </w:pPr>
          </w:p>
        </w:tc>
      </w:tr>
      <w:tr>
        <w:trPr>
          <w:trHeight w:val="224"/>
        </w:trPr>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at End</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Rate End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center"/>
              <w:ind w:right="72"/>
              <w:spacing w:after="0"/>
              <w:rPr>
                <w:sz w:val="20"/>
                <w:szCs w:val="20"/>
                <w:color w:val="auto"/>
              </w:rPr>
            </w:pPr>
            <w:r>
              <w:rPr>
                <w:rFonts w:ascii="Arial" w:cs="Arial" w:eastAsia="Arial" w:hAnsi="Arial"/>
                <w:sz w:val="18"/>
                <w:szCs w:val="18"/>
                <w:color w:val="auto"/>
                <w:w w:val="88"/>
              </w:rPr>
              <w:t>Outstanding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Outstanding in</w:t>
            </w:r>
          </w:p>
        </w:tc>
        <w:tc>
          <w:tcPr>
            <w:tcW w:w="194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Interest Rate</w:t>
            </w:r>
          </w:p>
        </w:tc>
        <w:tc>
          <w:tcPr>
            <w:tcW w:w="620" w:type="dxa"/>
            <w:vAlign w:val="bottom"/>
          </w:tcPr>
          <w:p>
            <w:pPr>
              <w:spacing w:after="0"/>
              <w:rPr>
                <w:sz w:val="19"/>
                <w:szCs w:val="19"/>
                <w:color w:val="auto"/>
              </w:rPr>
            </w:pPr>
          </w:p>
        </w:tc>
      </w:tr>
      <w:tr>
        <w:trPr>
          <w:trHeight w:val="224"/>
        </w:trPr>
        <w:tc>
          <w:tcPr>
            <w:tcW w:w="620" w:type="dxa"/>
            <w:vAlign w:val="bottom"/>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9"/>
              </w:rPr>
              <w:t>of Period (000's)</w:t>
            </w:r>
          </w:p>
        </w:tc>
        <w:tc>
          <w:tcPr>
            <w:tcW w:w="140" w:type="dxa"/>
            <w:vAlign w:val="bottom"/>
            <w:tcBorders>
              <w:bottom w:val="single" w:sz="8" w:color="CFF0FC"/>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of Period</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0"/>
              </w:rPr>
              <w:t>Month End (000's)</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Period (000's)</w:t>
            </w:r>
          </w:p>
        </w:tc>
        <w:tc>
          <w:tcPr>
            <w:tcW w:w="14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For the Period</w:t>
            </w:r>
          </w:p>
        </w:tc>
        <w:tc>
          <w:tcPr>
            <w:tcW w:w="220" w:type="dxa"/>
            <w:vAlign w:val="bottom"/>
            <w:tcBorders>
              <w:bottom w:val="single" w:sz="8" w:color="CFF0FC"/>
            </w:tcBorders>
          </w:tcPr>
          <w:p>
            <w:pPr>
              <w:spacing w:after="0"/>
              <w:rPr>
                <w:sz w:val="19"/>
                <w:szCs w:val="19"/>
                <w:color w:val="auto"/>
              </w:rPr>
            </w:pPr>
          </w:p>
        </w:tc>
        <w:tc>
          <w:tcPr>
            <w:tcW w:w="620" w:type="dxa"/>
            <w:vAlign w:val="bottom"/>
          </w:tcPr>
          <w:p>
            <w:pPr>
              <w:spacing w:after="0"/>
              <w:rPr>
                <w:sz w:val="19"/>
                <w:szCs w:val="19"/>
                <w:color w:val="auto"/>
              </w:rPr>
            </w:pPr>
          </w:p>
        </w:tc>
      </w:tr>
      <w:tr>
        <w:trPr>
          <w:trHeight w:val="217"/>
        </w:trPr>
        <w:tc>
          <w:tcPr>
            <w:tcW w:w="620" w:type="dxa"/>
            <w:vAlign w:val="bottom"/>
          </w:tcPr>
          <w:p>
            <w:pPr>
              <w:spacing w:after="0"/>
              <w:rPr>
                <w:sz w:val="18"/>
                <w:szCs w:val="18"/>
                <w:color w:val="auto"/>
              </w:rPr>
            </w:pPr>
          </w:p>
        </w:tc>
        <w:tc>
          <w:tcPr>
            <w:tcW w:w="940" w:type="dxa"/>
            <w:vAlign w:val="bottom"/>
            <w:shd w:val="clear" w:color="auto" w:fill="CFF0FC"/>
          </w:tcPr>
          <w:p>
            <w:pPr>
              <w:jc w:val="right"/>
              <w:ind w:right="512"/>
              <w:spacing w:after="0"/>
              <w:rPr>
                <w:sz w:val="20"/>
                <w:szCs w:val="20"/>
                <w:color w:val="auto"/>
              </w:rPr>
            </w:pPr>
            <w:r>
              <w:rPr>
                <w:rFonts w:ascii="Arial" w:cs="Arial" w:eastAsia="Arial" w:hAnsi="Arial"/>
                <w:sz w:val="18"/>
                <w:szCs w:val="18"/>
                <w:color w:val="auto"/>
                <w:w w:val="79"/>
              </w:rPr>
              <w:t>2018</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2.00%</w:t>
            </w:r>
          </w:p>
        </w:tc>
        <w:tc>
          <w:tcPr>
            <w:tcW w:w="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23,793</w:t>
            </w:r>
          </w:p>
        </w:tc>
        <w:tc>
          <w:tcPr>
            <w:tcW w:w="140" w:type="dxa"/>
            <w:vAlign w:val="bottom"/>
            <w:shd w:val="clear" w:color="auto" w:fill="CFF0FC"/>
          </w:tcPr>
          <w:p>
            <w:pPr>
              <w:spacing w:after="0"/>
              <w:rPr>
                <w:sz w:val="18"/>
                <w:szCs w:val="18"/>
                <w:color w:val="auto"/>
              </w:rPr>
            </w:pP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1.87%</w:t>
            </w:r>
          </w:p>
        </w:tc>
        <w:tc>
          <w:tcPr>
            <w:tcW w:w="620" w:type="dxa"/>
            <w:vAlign w:val="bottom"/>
          </w:tcPr>
          <w:p>
            <w:pPr>
              <w:spacing w:after="0"/>
              <w:rPr>
                <w:sz w:val="18"/>
                <w:szCs w:val="18"/>
                <w:color w:val="auto"/>
              </w:rPr>
            </w:pPr>
          </w:p>
        </w:tc>
      </w:tr>
      <w:tr>
        <w:trPr>
          <w:trHeight w:val="223"/>
        </w:trPr>
        <w:tc>
          <w:tcPr>
            <w:tcW w:w="1560" w:type="dxa"/>
            <w:vAlign w:val="bottom"/>
            <w:gridSpan w:val="2"/>
          </w:tcPr>
          <w:p>
            <w:pPr>
              <w:jc w:val="right"/>
              <w:ind w:right="512"/>
              <w:spacing w:after="0"/>
              <w:rPr>
                <w:sz w:val="20"/>
                <w:szCs w:val="20"/>
                <w:color w:val="auto"/>
              </w:rPr>
            </w:pPr>
            <w:r>
              <w:rPr>
                <w:rFonts w:ascii="Arial" w:cs="Arial" w:eastAsia="Arial" w:hAnsi="Arial"/>
                <w:sz w:val="18"/>
                <w:szCs w:val="18"/>
                <w:color w:val="auto"/>
              </w:rPr>
              <w:t>2017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22,925</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22,925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21,172</w:t>
            </w:r>
          </w:p>
        </w:tc>
        <w:tc>
          <w:tcPr>
            <w:tcW w:w="14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620" w:type="dxa"/>
            <w:vAlign w:val="bottom"/>
          </w:tcPr>
          <w:p>
            <w:pPr>
              <w:spacing w:after="0"/>
              <w:rPr>
                <w:sz w:val="19"/>
                <w:szCs w:val="19"/>
                <w:color w:val="auto"/>
              </w:rPr>
            </w:pPr>
          </w:p>
        </w:tc>
      </w:tr>
      <w:tr>
        <w:trPr>
          <w:trHeight w:val="843"/>
        </w:trPr>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292"/>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Federal Funds Purchased and Securities Sold Under Agreement to Repurchase (Continued)</w:t>
      </w:r>
    </w:p>
    <w:p>
      <w:pPr>
        <w:spacing w:after="0" w:line="203"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Company had $6.5 and $10.4 million of Federal Funds Purchased as of December 31, 2018 and December 31, 2017 respectively. The $25.7 million in Securities Sold Under Agreements to Repurchase were comprised of U.S. Treasuries and government agency securities. The table below shows the remaining contractual maturity in the repurchase agreements and the collateral pledged as of December 31, 2018.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7"/>
              </w:rPr>
              <w:t>December 31, 2018</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0"/>
              </w:rPr>
              <w:t>Remaining Contractual Maturity of the Agreements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5300" w:type="dxa"/>
            <w:vAlign w:val="bottom"/>
          </w:tcPr>
          <w:p>
            <w:pPr>
              <w:spacing w:after="0"/>
              <w:rPr>
                <w:sz w:val="17"/>
                <w:szCs w:val="17"/>
                <w:color w:val="auto"/>
              </w:rPr>
            </w:pPr>
          </w:p>
        </w:tc>
        <w:tc>
          <w:tcPr>
            <w:tcW w:w="10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6"/>
              </w:rPr>
              <w:t>Overnight &amp;</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jc w:val="center"/>
              <w:ind w:right="240"/>
              <w:spacing w:after="0" w:line="205" w:lineRule="exact"/>
              <w:rPr>
                <w:sz w:val="20"/>
                <w:szCs w:val="20"/>
                <w:color w:val="auto"/>
              </w:rPr>
            </w:pPr>
            <w:r>
              <w:rPr>
                <w:rFonts w:ascii="Arial" w:cs="Arial" w:eastAsia="Arial" w:hAnsi="Arial"/>
                <w:sz w:val="18"/>
                <w:szCs w:val="18"/>
                <w:color w:val="auto"/>
                <w:w w:val="87"/>
              </w:rPr>
              <w:t>Greater Than</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w w:val="85"/>
              </w:rPr>
              <w:t>Continuous</w:t>
            </w:r>
          </w:p>
        </w:tc>
        <w:tc>
          <w:tcPr>
            <w:tcW w:w="2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8"/>
                <w:szCs w:val="18"/>
                <w:color w:val="auto"/>
                <w:w w:val="89"/>
              </w:rPr>
              <w:t>Up to 30 days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30-90 days</w:t>
            </w:r>
          </w:p>
        </w:tc>
        <w:tc>
          <w:tcPr>
            <w:tcW w:w="16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90 days</w:t>
            </w:r>
          </w:p>
        </w:tc>
        <w:tc>
          <w:tcPr>
            <w:tcW w:w="200" w:type="dxa"/>
            <w:vAlign w:val="bottom"/>
          </w:tcPr>
          <w:p>
            <w:pPr>
              <w:spacing w:after="0"/>
              <w:rPr>
                <w:sz w:val="19"/>
                <w:szCs w:val="19"/>
                <w:color w:val="auto"/>
              </w:rPr>
            </w:pP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7"/>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5300" w:type="dxa"/>
            <w:vAlign w:val="bottom"/>
          </w:tcPr>
          <w:p>
            <w:pPr>
              <w:spacing w:after="0"/>
              <w:rPr>
                <w:sz w:val="20"/>
                <w:szCs w:val="20"/>
                <w:color w:val="auto"/>
              </w:rPr>
            </w:pPr>
            <w:r>
              <w:rPr>
                <w:rFonts w:ascii="Arial" w:cs="Arial" w:eastAsia="Arial" w:hAnsi="Arial"/>
                <w:sz w:val="18"/>
                <w:szCs w:val="18"/>
                <w:color w:val="auto"/>
              </w:rPr>
              <w:t>Repurchase agreements</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Treasury &amp; agency securities</w:t>
            </w: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25,695</w:t>
            </w:r>
          </w:p>
        </w:tc>
        <w:tc>
          <w:tcPr>
            <w:tcW w:w="100" w:type="dxa"/>
            <w:vAlign w:val="bottom"/>
            <w:shd w:val="clear" w:color="auto" w:fill="CFF0FC"/>
          </w:tcPr>
          <w:p>
            <w:pPr>
              <w:spacing w:after="0"/>
              <w:rPr>
                <w:sz w:val="19"/>
                <w:szCs w:val="19"/>
                <w:color w:val="auto"/>
              </w:rPr>
            </w:pP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7,292</w:t>
            </w: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24,889</w:t>
            </w:r>
          </w:p>
        </w:tc>
        <w:tc>
          <w:tcPr>
            <w:tcW w:w="22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Federal Home Loan Bank Advances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Long term debit consists of various loans from the Federal Home Loan Bank. Repayment structures vary, ranging from monthly installments, annual payments or upon maturity. Interest payments are due monthly. Total borrowings were $0.0 million and $5.0 million for December 31, 2018 and 2017, respectively. The advances were secured by $14.9 and $17.3 million of mortgage loans as of December 31, 2018 and 2017, respectively under a blanket collateral agreement.</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advances are subject to pre-payment penalties and the provisions and conditions of the credit policy of the Federal Home Loan Bank.</w:t>
      </w:r>
    </w:p>
    <w:p>
      <w:pPr>
        <w:spacing w:after="0" w:line="237"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Bank had access to $69 million unsecured borrowings through correspondent banks as of both December 31, 2018 and December 31, 2017. $73.7 million and $94.6 million at the end of the same time periods, respectively, were unpledged securities which could be sold or used as collateral. An additional $9.0 million at December 31, 2018, and $5.7 million at December 31, 2017, were available from the Federal Home Loan Bank based on current pledging, with up to $119.0 million and $116.8 million, respectively, available provided adequate collateral is pledged.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w:t>
      </w:r>
    </w:p>
    <w:p>
      <w:pPr>
        <w:spacing w:after="0" w:line="115"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The Tax Cuts and Jobs Act was enacted on December 22, 2017. Among other things, the new law (i) establishes a new, flat corporate federal statutory income tax rate of 21%, (ii) eliminates the corporate alternative minimum tax and allows the use of any such carryforwards to offset regular tax liability for any taxable year, (iii) limits the deduction for net interest expense incurred by U.S. corporations, (iv) allows businesses to immediately expense, for tax purposes, the cost of new investments in certain qualified depreciable assets, (v) eliminates or reduces certain deductions related to meals and entertainment expenses, (vi) modifies the limitation on excessive employee remuneration to eliminate the exception for performance-based compensation and clarifies the definition of a covered employee and (vii) limits the deductibility of deposit insurance premiums. The Tax Cuts and Jobs Act also significantly changes U.S. tax law related to foreign operations, however, such changes do not currently impact us.</w:t>
      </w:r>
    </w:p>
    <w:p>
      <w:pPr>
        <w:spacing w:after="0" w:line="62"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As stated above, as a result of the enactment of the Tax Cuts and Jobs Act on December 22, 2017, we remeasured our deferred tax assets and liabilities based upon the newly enacted U.S. statutory federal income tax rate of 21%, which is the tax rate at which these assets and liabilities are expected to reverse in the future. We recognized a net tax benefit related to the remeasurement of our deferred tax assets and liabilities totaling $8 thousand in 2017.</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Federal Income Taxes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components of income tax expense (benefit) for the years ended December 31 are as follows:</w:t>
      </w:r>
    </w:p>
    <w:p>
      <w:pPr>
        <w:spacing w:after="0" w:line="228" w:lineRule="exact"/>
        <w:rPr>
          <w:sz w:val="20"/>
          <w:szCs w:val="20"/>
          <w:color w:val="auto"/>
        </w:rPr>
      </w:pPr>
    </w:p>
    <w:tbl>
      <w:tblPr>
        <w:tblLayout w:type="fixed"/>
        <w:tblInd w:w="820" w:type="dxa"/>
        <w:tblCellMar>
          <w:top w:w="0" w:type="dxa"/>
          <w:left w:w="0" w:type="dxa"/>
          <w:bottom w:w="0" w:type="dxa"/>
          <w:right w:w="0" w:type="dxa"/>
        </w:tblCellMar>
      </w:tblPr>
      <w:tr>
        <w:trPr>
          <w:trHeight w:val="223"/>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7"/>
              </w:rPr>
              <w:t>(In Thousands)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160" w:type="dxa"/>
            <w:vAlign w:val="bottom"/>
            <w:gridSpan w:val="5"/>
          </w:tcPr>
          <w:p>
            <w:pPr>
              <w:jc w:val="center"/>
              <w:spacing w:after="0"/>
              <w:rPr>
                <w:sz w:val="20"/>
                <w:szCs w:val="20"/>
                <w:color w:val="auto"/>
              </w:rPr>
            </w:pPr>
            <w:r>
              <w:rPr>
                <w:rFonts w:ascii="Arial" w:cs="Arial" w:eastAsia="Arial" w:hAnsi="Arial"/>
                <w:sz w:val="18"/>
                <w:szCs w:val="18"/>
                <w:color w:val="auto"/>
                <w:w w:val="84"/>
              </w:rPr>
              <w:t>2017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48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w:t>
            </w:r>
          </w:p>
        </w:tc>
        <w:tc>
          <w:tcPr>
            <w:tcW w:w="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5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5,162</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Federal</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Federal - impact of enacted changes in tax law</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8"/>
                <w:szCs w:val="18"/>
                <w:color w:val="auto"/>
              </w:rPr>
            </w:pPr>
          </w:p>
        </w:tc>
        <w:tc>
          <w:tcPr>
            <w:tcW w:w="56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5,183</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Pr>
          <w:p>
            <w:pPr>
              <w:spacing w:after="0"/>
              <w:rPr>
                <w:sz w:val="18"/>
                <w:szCs w:val="18"/>
                <w:color w:val="auto"/>
              </w:rPr>
            </w:pPr>
          </w:p>
        </w:tc>
      </w:tr>
      <w:tr>
        <w:trPr>
          <w:trHeight w:val="20"/>
        </w:trPr>
        <w:tc>
          <w:tcPr>
            <w:tcW w:w="920" w:type="dxa"/>
            <w:vAlign w:val="bottom"/>
            <w:gridSpan w:val="2"/>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6920" w:type="dxa"/>
            <w:vAlign w:val="bottom"/>
            <w:gridSpan w:val="8"/>
          </w:tcPr>
          <w:p>
            <w:pPr>
              <w:spacing w:after="0"/>
              <w:rPr>
                <w:sz w:val="20"/>
                <w:szCs w:val="20"/>
                <w:color w:val="auto"/>
              </w:rPr>
            </w:pPr>
            <w:r>
              <w:rPr>
                <w:rFonts w:ascii="Arial" w:cs="Arial" w:eastAsia="Arial" w:hAnsi="Arial"/>
                <w:sz w:val="18"/>
                <w:szCs w:val="18"/>
                <w:color w:val="auto"/>
                <w:w w:val="91"/>
              </w:rPr>
              <w:t>The following is a reconciliation of the statutory federal income tax rate to the effective tax rate:</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color w:val="auto"/>
                <w:w w:val="87"/>
              </w:rPr>
              <w:t>(In Thousands)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428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4"/>
              </w:rPr>
              <w:t>2017</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4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tax at statutory rates</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6,045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100" w:type="dxa"/>
            <w:vAlign w:val="bottom"/>
            <w:shd w:val="clear" w:color="auto" w:fill="CFF0FC"/>
          </w:tcPr>
          <w:p>
            <w:pPr>
              <w:spacing w:after="0"/>
              <w:rPr>
                <w:sz w:val="18"/>
                <w:szCs w:val="18"/>
                <w:color w:val="auto"/>
              </w:rPr>
            </w:pPr>
          </w:p>
        </w:tc>
      </w:tr>
      <w:tr>
        <w:trPr>
          <w:trHeight w:val="224"/>
        </w:trPr>
        <w:tc>
          <w:tcPr>
            <w:tcW w:w="5200" w:type="dxa"/>
            <w:vAlign w:val="bottom"/>
            <w:gridSpan w:val="3"/>
          </w:tcPr>
          <w:p>
            <w:pPr>
              <w:ind w:left="340"/>
              <w:spacing w:after="0"/>
              <w:rPr>
                <w:sz w:val="20"/>
                <w:szCs w:val="20"/>
                <w:color w:val="auto"/>
              </w:rPr>
            </w:pPr>
            <w:r>
              <w:rPr>
                <w:rFonts w:ascii="Arial" w:cs="Arial" w:eastAsia="Arial" w:hAnsi="Arial"/>
                <w:sz w:val="18"/>
                <w:szCs w:val="18"/>
                <w:color w:val="auto"/>
              </w:rPr>
              <w:t>Decrease resulting from:</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Tax exempt interest</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(468)</w:t>
            </w:r>
          </w:p>
        </w:tc>
      </w:tr>
      <w:tr>
        <w:trPr>
          <w:trHeight w:val="211"/>
        </w:trPr>
        <w:tc>
          <w:tcPr>
            <w:tcW w:w="340" w:type="dxa"/>
            <w:vAlign w:val="bottom"/>
          </w:tcPr>
          <w:p>
            <w:pPr>
              <w:spacing w:after="0"/>
              <w:rPr>
                <w:sz w:val="18"/>
                <w:szCs w:val="18"/>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Adjustment of deferred taxes for enacted changes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in tax law</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Section 831 deduction</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(351)</w:t>
            </w:r>
          </w:p>
        </w:tc>
      </w:tr>
      <w:tr>
        <w:trPr>
          <w:trHeight w:val="224"/>
        </w:trPr>
        <w:tc>
          <w:tcPr>
            <w:tcW w:w="340" w:type="dxa"/>
            <w:vAlign w:val="bottom"/>
          </w:tcPr>
          <w:p>
            <w:pPr>
              <w:spacing w:after="0"/>
              <w:rPr>
                <w:sz w:val="19"/>
                <w:szCs w:val="19"/>
                <w:color w:val="auto"/>
              </w:rPr>
            </w:pPr>
          </w:p>
        </w:tc>
        <w:tc>
          <w:tcPr>
            <w:tcW w:w="4860" w:type="dxa"/>
            <w:vAlign w:val="bottom"/>
            <w:gridSpan w:val="2"/>
          </w:tcPr>
          <w:p>
            <w:pPr>
              <w:ind w:left="240"/>
              <w:spacing w:after="0"/>
              <w:rPr>
                <w:sz w:val="20"/>
                <w:szCs w:val="20"/>
                <w:color w:val="auto"/>
              </w:rPr>
            </w:pPr>
            <w:r>
              <w:rPr>
                <w:rFonts w:ascii="Arial" w:cs="Arial" w:eastAsia="Arial" w:hAnsi="Arial"/>
                <w:sz w:val="18"/>
                <w:szCs w:val="18"/>
                <w:color w:val="auto"/>
              </w:rPr>
              <w:t>Change in other</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(46)</w:t>
            </w:r>
          </w:p>
        </w:tc>
      </w:tr>
      <w:tr>
        <w:trPr>
          <w:trHeight w:val="20"/>
        </w:trPr>
        <w:tc>
          <w:tcPr>
            <w:tcW w:w="340" w:type="dxa"/>
            <w:vAlign w:val="bottom"/>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2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3,227</w:t>
            </w: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12"/>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5,183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4,656</w:t>
            </w:r>
          </w:p>
        </w:tc>
        <w:tc>
          <w:tcPr>
            <w:tcW w:w="100" w:type="dxa"/>
            <w:vAlign w:val="bottom"/>
            <w:shd w:val="clear" w:color="auto" w:fill="CFF0FC"/>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480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01"/>
        </w:trPr>
        <w:tc>
          <w:tcPr>
            <w:tcW w:w="5940" w:type="dxa"/>
            <w:vAlign w:val="bottom"/>
            <w:gridSpan w:val="5"/>
          </w:tcPr>
          <w:p>
            <w:pPr>
              <w:spacing w:after="0"/>
              <w:rPr>
                <w:sz w:val="20"/>
                <w:szCs w:val="20"/>
                <w:color w:val="auto"/>
              </w:rPr>
            </w:pPr>
            <w:r>
              <w:rPr>
                <w:rFonts w:ascii="Arial" w:cs="Arial" w:eastAsia="Arial" w:hAnsi="Arial"/>
                <w:sz w:val="18"/>
                <w:szCs w:val="18"/>
                <w:color w:val="auto"/>
                <w:w w:val="91"/>
              </w:rPr>
              <w:t>Deferred tax assets and liabilities at December 31 are comprised of the following:</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5"/>
        </w:trPr>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8"/>
                <w:szCs w:val="18"/>
                <w:color w:val="auto"/>
                <w:w w:val="89"/>
              </w:rPr>
              <w:t>(In Thousands)</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5"/>
          </w:tcPr>
          <w:p>
            <w:pPr>
              <w:jc w:val="right"/>
              <w:ind w:right="312"/>
              <w:spacing w:after="0"/>
              <w:rPr>
                <w:sz w:val="20"/>
                <w:szCs w:val="20"/>
                <w:color w:val="auto"/>
              </w:rPr>
            </w:pPr>
            <w:r>
              <w:rPr>
                <w:rFonts w:ascii="Arial" w:cs="Arial" w:eastAsia="Arial" w:hAnsi="Arial"/>
                <w:sz w:val="18"/>
                <w:szCs w:val="18"/>
                <w:color w:val="auto"/>
              </w:rPr>
              <w:t>2018</w:t>
            </w:r>
          </w:p>
        </w:tc>
        <w:tc>
          <w:tcPr>
            <w:tcW w:w="1340" w:type="dxa"/>
            <w:vAlign w:val="bottom"/>
            <w:gridSpan w:val="6"/>
          </w:tcPr>
          <w:p>
            <w:pPr>
              <w:jc w:val="right"/>
              <w:ind w:right="332"/>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5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Allowance for loan losses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1,444</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1,464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Net unrealized loss on available-for-sale securities</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deferred tax assets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2,751</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2,444</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4860" w:type="dxa"/>
            <w:vAlign w:val="bottom"/>
            <w:gridSpan w:val="2"/>
          </w:tcPr>
          <w:p>
            <w:pPr>
              <w:ind w:left="560"/>
              <w:spacing w:after="0"/>
              <w:rPr>
                <w:sz w:val="20"/>
                <w:szCs w:val="20"/>
                <w:color w:val="auto"/>
              </w:rPr>
            </w:pPr>
            <w:r>
              <w:rPr>
                <w:rFonts w:ascii="Arial" w:cs="Arial" w:eastAsia="Arial" w:hAnsi="Arial"/>
                <w:sz w:val="18"/>
                <w:szCs w:val="18"/>
                <w:color w:val="auto"/>
              </w:rPr>
              <w:t>Deferred Tax Liabilities: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Accreted discounts on bonds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FHLB stock dividends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Mortgage servicing rights</w:t>
            </w: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4"/>
        </w:trPr>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1,185</w:t>
            </w:r>
          </w:p>
        </w:tc>
        <w:tc>
          <w:tcPr>
            <w:tcW w:w="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shd w:val="clear" w:color="auto" w:fill="CFF0FC"/>
          </w:tcPr>
          <w:p>
            <w:pPr>
              <w:ind w:left="220"/>
              <w:spacing w:after="0" w:line="203" w:lineRule="exact"/>
              <w:rPr>
                <w:sz w:val="20"/>
                <w:szCs w:val="20"/>
                <w:color w:val="auto"/>
              </w:rPr>
            </w:pPr>
            <w:r>
              <w:rPr>
                <w:rFonts w:ascii="Arial" w:cs="Arial" w:eastAsia="Arial" w:hAnsi="Arial"/>
                <w:sz w:val="18"/>
                <w:szCs w:val="18"/>
                <w:color w:val="auto"/>
              </w:rPr>
              <w:t>Total deferred tax liabilities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2,192</w:t>
            </w:r>
          </w:p>
        </w:tc>
        <w:tc>
          <w:tcPr>
            <w:tcW w:w="80" w:type="dxa"/>
            <w:vAlign w:val="bottom"/>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80" w:type="dxa"/>
            <w:vAlign w:val="bottom"/>
          </w:tcPr>
          <w:p>
            <w:pPr>
              <w:ind w:left="460"/>
              <w:spacing w:after="0"/>
              <w:rPr>
                <w:sz w:val="20"/>
                <w:szCs w:val="20"/>
                <w:color w:val="auto"/>
              </w:rPr>
            </w:pPr>
            <w:r>
              <w:rPr>
                <w:rFonts w:ascii="Arial" w:cs="Arial" w:eastAsia="Arial" w:hAnsi="Arial"/>
                <w:sz w:val="18"/>
                <w:szCs w:val="18"/>
                <w:color w:val="auto"/>
              </w:rPr>
              <w:t>Net Deferred Tax Asset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115" w:lineRule="exact"/>
        <w:rPr>
          <w:sz w:val="20"/>
          <w:szCs w:val="20"/>
          <w:color w:val="auto"/>
        </w:rPr>
      </w:pPr>
    </w:p>
    <w:p>
      <w:pPr>
        <w:jc w:val="both"/>
        <w:ind w:left="820"/>
        <w:spacing w:after="0" w:line="284" w:lineRule="auto"/>
        <w:rPr>
          <w:sz w:val="20"/>
          <w:szCs w:val="20"/>
          <w:color w:val="auto"/>
        </w:rPr>
      </w:pPr>
      <w:r>
        <w:rPr>
          <w:rFonts w:ascii="Arial" w:cs="Arial" w:eastAsia="Arial" w:hAnsi="Arial"/>
          <w:sz w:val="16"/>
          <w:szCs w:val="16"/>
          <w:color w:val="auto"/>
        </w:rPr>
        <w:t>The Bank has established a 401(k) profit sharing plan, which allows eligible employees to save at a minimum one percent of eligible compensation on a pre-tax basis, subject to certain Internal Revenue Service limitations. The Bank will match 50% of employee 401(k) contributions up to four percent of total eligible compensation. In addition, the Bank may make a discretionary contribution from time to time. A participant is 100% vested in the participant’s deferral contributions and employer matching contributions. A six-year vesting schedule applies to employer discretionary contributions. Contributions expensed for the 401(k) profit sharing plan for both the employer matching contribution and the discretionary contribution were $1.1 million, $972 thousand and $877 thousand for 2018, 2017 and 2016,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 (Continued)</w:t>
      </w:r>
    </w:p>
    <w:p>
      <w:pPr>
        <w:spacing w:after="0" w:line="200" w:lineRule="exact"/>
        <w:rPr>
          <w:sz w:val="20"/>
          <w:szCs w:val="20"/>
          <w:color w:val="auto"/>
        </w:rPr>
      </w:pPr>
    </w:p>
    <w:p>
      <w:pPr>
        <w:spacing w:after="0" w:line="31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Restricted Stock Awards</w:t>
      </w:r>
    </w:p>
    <w:p>
      <w:pPr>
        <w:spacing w:after="0" w:line="115" w:lineRule="exact"/>
        <w:rPr>
          <w:sz w:val="20"/>
          <w:szCs w:val="20"/>
          <w:color w:val="auto"/>
        </w:rPr>
      </w:pPr>
    </w:p>
    <w:p>
      <w:pPr>
        <w:jc w:val="both"/>
        <w:ind w:left="820"/>
        <w:spacing w:after="0" w:line="281" w:lineRule="auto"/>
        <w:rPr>
          <w:sz w:val="20"/>
          <w:szCs w:val="20"/>
          <w:color w:val="auto"/>
        </w:rPr>
      </w:pPr>
      <w:r>
        <w:rPr>
          <w:rFonts w:ascii="Arial" w:cs="Arial" w:eastAsia="Arial" w:hAnsi="Arial"/>
          <w:sz w:val="16"/>
          <w:szCs w:val="16"/>
          <w:color w:val="auto"/>
        </w:rPr>
        <w:t>The Company has a Long-Term Stock Incentive Plan under which 33,000 shares of restricted stock were issued to 80 employees during 2018, 32,000 shares of restricted stock were issued to 74 employees during 2017 and 32,300 shares of restricted stock were issued to 74 employees during 2016. Under the plan, the shares vest 100% in three years. During the 3 year vesting period, the employees receive dividends or dividend equivalent compensation on the shares. Due to employee termination, there were 2,620, 1,080, and 1,546 forfeited during 2018, 2017 and 2016, respectively. During 2017, one employee retired and received 640 shares from the shares awarded in 2014, 2015 and 2016. During 2016, due to retirement, four employees received 2,394 shares from awards granted in 2013, 2014 and 2015. During 2018, 28,790 shares awarded in 2015 were 100% vested and 56 employees received the stock. During 2017, 24,230 shares awarded in 2014, were vested 100% and 52 employees received the stock. During 2016, 20,050 shares awarded in 2013, were vested 100% and 45 employees received the stock. Compensation expense applicable to the restricted stock awards totaled $745 thousand, $507 thousand and $402 thousand for the years ending December 31, 2018, 2017 and 2016, respectively.</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table below summarizes the details of the restricted shares issued, vested, and forfeited for the years ending December 31, 2018, 2017 and 2016.</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color w:val="auto"/>
                <w:w w:val="86"/>
              </w:rPr>
              <w:t>Year Ended December 31,</w:t>
            </w: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80" w:type="dxa"/>
            <w:vAlign w:val="bottom"/>
          </w:tcPr>
          <w:p>
            <w:pPr>
              <w:spacing w:after="0"/>
              <w:rPr>
                <w:sz w:val="18"/>
                <w:szCs w:val="18"/>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80" w:type="dxa"/>
            <w:vAlign w:val="bottom"/>
          </w:tcPr>
          <w:p>
            <w:pPr>
              <w:spacing w:after="0"/>
              <w:rPr>
                <w:sz w:val="17"/>
                <w:szCs w:val="17"/>
                <w:color w:val="auto"/>
              </w:rPr>
            </w:pPr>
          </w:p>
        </w:tc>
        <w:tc>
          <w:tcPr>
            <w:tcW w:w="126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80" w:type="dxa"/>
            <w:vAlign w:val="bottom"/>
            <w:gridSpan w:val="3"/>
          </w:tcPr>
          <w:p>
            <w:pPr>
              <w:jc w:val="center"/>
              <w:ind w:right="300"/>
              <w:spacing w:after="0" w:line="205" w:lineRule="exact"/>
              <w:rPr>
                <w:sz w:val="20"/>
                <w:szCs w:val="20"/>
                <w:color w:val="auto"/>
              </w:rPr>
            </w:pPr>
            <w:r>
              <w:rPr>
                <w:rFonts w:ascii="Arial" w:cs="Arial" w:eastAsia="Arial" w:hAnsi="Arial"/>
                <w:sz w:val="18"/>
                <w:szCs w:val="18"/>
                <w:color w:val="auto"/>
                <w:w w:val="92"/>
              </w:rPr>
              <w:t>Number of</w:t>
            </w:r>
          </w:p>
        </w:tc>
        <w:tc>
          <w:tcPr>
            <w:tcW w:w="110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c>
          <w:tcPr>
            <w:tcW w:w="1280" w:type="dxa"/>
            <w:vAlign w:val="bottom"/>
            <w:gridSpan w:val="3"/>
          </w:tcPr>
          <w:p>
            <w:pPr>
              <w:jc w:val="center"/>
              <w:ind w:right="320"/>
              <w:spacing w:after="0" w:line="205" w:lineRule="exact"/>
              <w:rPr>
                <w:sz w:val="20"/>
                <w:szCs w:val="20"/>
                <w:color w:val="auto"/>
              </w:rPr>
            </w:pPr>
            <w:r>
              <w:rPr>
                <w:rFonts w:ascii="Arial" w:cs="Arial" w:eastAsia="Arial" w:hAnsi="Arial"/>
                <w:sz w:val="18"/>
                <w:szCs w:val="18"/>
                <w:color w:val="auto"/>
                <w:w w:val="90"/>
              </w:rPr>
              <w:t>Number of</w:t>
            </w:r>
          </w:p>
        </w:tc>
        <w:tc>
          <w:tcPr>
            <w:tcW w:w="1020" w:type="dxa"/>
            <w:vAlign w:val="bottom"/>
            <w:gridSpan w:val="2"/>
          </w:tcPr>
          <w:p>
            <w:pPr>
              <w:ind w:left="20"/>
              <w:spacing w:after="0" w:line="205" w:lineRule="exact"/>
              <w:rPr>
                <w:sz w:val="20"/>
                <w:szCs w:val="20"/>
                <w:color w:val="auto"/>
              </w:rPr>
            </w:pPr>
            <w:r>
              <w:rPr>
                <w:rFonts w:ascii="Arial" w:cs="Arial" w:eastAsia="Arial" w:hAnsi="Arial"/>
                <w:sz w:val="18"/>
                <w:szCs w:val="18"/>
                <w:color w:val="auto"/>
              </w:rPr>
              <w:t>Number of</w:t>
            </w:r>
          </w:p>
        </w:tc>
      </w:tr>
      <w:tr>
        <w:trPr>
          <w:trHeight w:val="222"/>
        </w:trPr>
        <w:tc>
          <w:tcPr>
            <w:tcW w:w="4380" w:type="dxa"/>
            <w:vAlign w:val="bottom"/>
          </w:tcPr>
          <w:p>
            <w:pPr>
              <w:spacing w:after="0"/>
              <w:rPr>
                <w:sz w:val="19"/>
                <w:szCs w:val="19"/>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8"/>
                <w:szCs w:val="18"/>
                <w:color w:val="auto"/>
                <w:w w:val="84"/>
              </w:rPr>
              <w:t>Shares</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Employees</w:t>
            </w: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Shares</w:t>
            </w:r>
          </w:p>
        </w:tc>
        <w:tc>
          <w:tcPr>
            <w:tcW w:w="110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84"/>
              </w:rPr>
              <w:t>Shares</w:t>
            </w:r>
          </w:p>
        </w:tc>
        <w:tc>
          <w:tcPr>
            <w:tcW w:w="1020" w:type="dxa"/>
            <w:vAlign w:val="bottom"/>
            <w:gridSpan w:val="2"/>
          </w:tcPr>
          <w:p>
            <w:pPr>
              <w:spacing w:after="0"/>
              <w:rPr>
                <w:sz w:val="20"/>
                <w:szCs w:val="20"/>
                <w:color w:val="auto"/>
              </w:rPr>
            </w:pPr>
            <w:r>
              <w:rPr>
                <w:rFonts w:ascii="Arial" w:cs="Arial" w:eastAsia="Arial" w:hAnsi="Arial"/>
                <w:sz w:val="18"/>
                <w:szCs w:val="18"/>
                <w:color w:val="auto"/>
              </w:rPr>
              <w:t>Employees</w:t>
            </w:r>
          </w:p>
        </w:tc>
      </w:tr>
      <w:tr>
        <w:trPr>
          <w:trHeight w:val="217"/>
        </w:trPr>
        <w:tc>
          <w:tcPr>
            <w:tcW w:w="4380" w:type="dxa"/>
            <w:vAlign w:val="bottom"/>
          </w:tcPr>
          <w:p>
            <w:pPr>
              <w:spacing w:after="0"/>
              <w:rPr>
                <w:sz w:val="20"/>
                <w:szCs w:val="20"/>
                <w:color w:val="auto"/>
              </w:rPr>
            </w:pPr>
            <w:r>
              <w:rPr>
                <w:rFonts w:ascii="Arial" w:cs="Arial" w:eastAsia="Arial" w:hAnsi="Arial"/>
                <w:sz w:val="18"/>
                <w:szCs w:val="18"/>
                <w:color w:val="auto"/>
              </w:rPr>
              <w:t>Restricted shares issued</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32,000</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32,300</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vested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28,790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24,230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Restricted shares awarded due to retirement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24"/>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Restricted shares forfeited</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summarizes the activity of restricted stock awards as of December 31: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6"/>
              </w:rPr>
              <w:t>Year Ended December 31,</w:t>
            </w:r>
          </w:p>
        </w:tc>
        <w:tc>
          <w:tcPr>
            <w:tcW w:w="10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436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2017</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5"/>
        </w:trPr>
        <w:tc>
          <w:tcPr>
            <w:tcW w:w="4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320"/>
              <w:spacing w:after="0" w:line="205" w:lineRule="exact"/>
              <w:rPr>
                <w:sz w:val="20"/>
                <w:szCs w:val="20"/>
                <w:color w:val="auto"/>
              </w:rPr>
            </w:pPr>
            <w:r>
              <w:rPr>
                <w:rFonts w:ascii="Arial" w:cs="Arial" w:eastAsia="Arial" w:hAnsi="Arial"/>
                <w:sz w:val="18"/>
                <w:szCs w:val="18"/>
                <w:color w:val="auto"/>
                <w:w w:val="86"/>
              </w:rPr>
              <w:t>Weighted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320"/>
              <w:spacing w:after="0" w:line="205" w:lineRule="exact"/>
              <w:rPr>
                <w:sz w:val="20"/>
                <w:szCs w:val="20"/>
                <w:color w:val="auto"/>
              </w:rPr>
            </w:pPr>
            <w:r>
              <w:rPr>
                <w:rFonts w:ascii="Arial" w:cs="Arial" w:eastAsia="Arial" w:hAnsi="Arial"/>
                <w:sz w:val="18"/>
                <w:szCs w:val="18"/>
                <w:color w:val="auto"/>
                <w:w w:val="89"/>
              </w:rPr>
              <w:t>Weighted</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40"/>
              <w:spacing w:after="0" w:line="205" w:lineRule="exact"/>
              <w:rPr>
                <w:sz w:val="20"/>
                <w:szCs w:val="20"/>
                <w:color w:val="auto"/>
              </w:rPr>
            </w:pPr>
            <w:r>
              <w:rPr>
                <w:rFonts w:ascii="Arial" w:cs="Arial" w:eastAsia="Arial" w:hAnsi="Arial"/>
                <w:sz w:val="18"/>
                <w:szCs w:val="18"/>
                <w:color w:val="auto"/>
                <w:w w:val="89"/>
              </w:rPr>
              <w:t>Weighted</w:t>
            </w:r>
          </w:p>
        </w:tc>
      </w:tr>
      <w:tr>
        <w:trPr>
          <w:trHeight w:val="211"/>
        </w:trPr>
        <w:tc>
          <w:tcPr>
            <w:tcW w:w="4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2"/>
              </w:rPr>
              <w:t>average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r>
      <w:tr>
        <w:trPr>
          <w:trHeight w:val="211"/>
        </w:trPr>
        <w:tc>
          <w:tcPr>
            <w:tcW w:w="4360" w:type="dxa"/>
            <w:vAlign w:val="bottom"/>
          </w:tcPr>
          <w:p>
            <w:pPr>
              <w:spacing w:after="0"/>
              <w:rPr>
                <w:sz w:val="18"/>
                <w:szCs w:val="18"/>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Number of</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 value</w:t>
            </w:r>
          </w:p>
        </w:tc>
        <w:tc>
          <w:tcPr>
            <w:tcW w:w="128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Number of</w:t>
            </w: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fair value</w:t>
            </w: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Number of</w:t>
            </w: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fair value</w:t>
            </w:r>
          </w:p>
        </w:tc>
      </w:tr>
      <w:tr>
        <w:trPr>
          <w:trHeight w:val="223"/>
        </w:trPr>
        <w:tc>
          <w:tcPr>
            <w:tcW w:w="4360" w:type="dxa"/>
            <w:vAlign w:val="bottom"/>
          </w:tcPr>
          <w:p>
            <w:pPr>
              <w:spacing w:after="0"/>
              <w:rPr>
                <w:sz w:val="19"/>
                <w:szCs w:val="19"/>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8"/>
                <w:szCs w:val="18"/>
                <w:color w:val="auto"/>
                <w:w w:val="80"/>
              </w:rPr>
              <w:t>Shares</w:t>
            </w: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per award</w:t>
            </w: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80"/>
              </w:rPr>
              <w:t>Shares</w:t>
            </w: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color w:val="auto"/>
                <w:w w:val="84"/>
              </w:rPr>
              <w:t>per award</w:t>
            </w:r>
          </w:p>
        </w:tc>
        <w:tc>
          <w:tcPr>
            <w:tcW w:w="1320" w:type="dxa"/>
            <w:vAlign w:val="bottom"/>
            <w:gridSpan w:val="3"/>
          </w:tcPr>
          <w:p>
            <w:pPr>
              <w:jc w:val="center"/>
              <w:ind w:right="340"/>
              <w:spacing w:after="0"/>
              <w:rPr>
                <w:sz w:val="20"/>
                <w:szCs w:val="20"/>
                <w:color w:val="auto"/>
              </w:rPr>
            </w:pPr>
            <w:r>
              <w:rPr>
                <w:rFonts w:ascii="Arial" w:cs="Arial" w:eastAsia="Arial" w:hAnsi="Arial"/>
                <w:sz w:val="18"/>
                <w:szCs w:val="18"/>
                <w:color w:val="auto"/>
                <w:w w:val="80"/>
              </w:rPr>
              <w:t>Shares</w:t>
            </w: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per award</w:t>
            </w:r>
          </w:p>
        </w:tc>
      </w:tr>
      <w:tr>
        <w:trPr>
          <w:trHeight w:val="217"/>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92,350</w:t>
            </w: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86,300</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77,990</w:t>
            </w: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33,000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9"/>
                <w:szCs w:val="19"/>
                <w:color w:val="auto"/>
              </w:rPr>
            </w:pPr>
          </w:p>
        </w:tc>
      </w:tr>
      <w:tr>
        <w:trPr>
          <w:trHeight w:val="224"/>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(28,790)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(24,870)</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(22,444)</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FF0FC"/>
          </w:tcPr>
          <w:p>
            <w:pPr>
              <w:spacing w:after="0"/>
              <w:rPr>
                <w:sz w:val="19"/>
                <w:szCs w:val="19"/>
                <w:color w:val="auto"/>
              </w:rPr>
            </w:pPr>
          </w:p>
        </w:tc>
      </w:tr>
      <w:tr>
        <w:trPr>
          <w:trHeight w:val="224"/>
        </w:trPr>
        <w:tc>
          <w:tcPr>
            <w:tcW w:w="436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37.06</w:t>
            </w: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19"/>
                <w:szCs w:val="19"/>
                <w:color w:val="auto"/>
              </w:rPr>
            </w:pPr>
          </w:p>
        </w:tc>
      </w:tr>
      <w:tr>
        <w:trPr>
          <w:trHeight w:val="217"/>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end of period</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19.17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86,300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820"/>
        <w:spacing w:after="0" w:line="262" w:lineRule="auto"/>
        <w:rPr>
          <w:sz w:val="20"/>
          <w:szCs w:val="20"/>
          <w:color w:val="auto"/>
        </w:rPr>
      </w:pPr>
      <w:r>
        <w:rPr>
          <w:rFonts w:ascii="Arial" w:cs="Arial" w:eastAsia="Arial" w:hAnsi="Arial"/>
          <w:sz w:val="18"/>
          <w:szCs w:val="18"/>
          <w:color w:val="auto"/>
        </w:rPr>
        <w:t>As of December 31, 2018, there was $1.9 million of unrecognized compensation cost related to the nonvested portion of restricted stock awards under the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15" w:lineRule="exact"/>
        <w:rPr>
          <w:sz w:val="20"/>
          <w:szCs w:val="20"/>
          <w:color w:val="auto"/>
        </w:rPr>
      </w:pPr>
    </w:p>
    <w:p>
      <w:pPr>
        <w:jc w:val="both"/>
        <w:ind w:left="820"/>
        <w:spacing w:after="0" w:line="280" w:lineRule="auto"/>
        <w:rPr>
          <w:sz w:val="20"/>
          <w:szCs w:val="20"/>
          <w:color w:val="auto"/>
        </w:rPr>
      </w:pPr>
      <w:r>
        <w:rPr>
          <w:rFonts w:ascii="Arial" w:cs="Arial" w:eastAsia="Arial" w:hAnsi="Arial"/>
          <w:sz w:val="16"/>
          <w:szCs w:val="16"/>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table below presents basic and diluted earnings per share for the years ended December 31, 2018, 2017, and 2016.</w:t>
      </w:r>
    </w:p>
    <w:p>
      <w:pPr>
        <w:spacing w:after="0" w:line="228" w:lineRule="exact"/>
        <w:rPr>
          <w:sz w:val="20"/>
          <w:szCs w:val="20"/>
          <w:color w:val="auto"/>
        </w:rPr>
      </w:pPr>
    </w:p>
    <w:tbl>
      <w:tblPr>
        <w:tblLayout w:type="fixed"/>
        <w:tblInd w:w="1160" w:type="dxa"/>
        <w:tblCellMar>
          <w:top w:w="0" w:type="dxa"/>
          <w:left w:w="0" w:type="dxa"/>
          <w:bottom w:w="0" w:type="dxa"/>
          <w:right w:w="0" w:type="dxa"/>
        </w:tblCellMar>
      </w:tblPr>
      <w:tr>
        <w:trPr>
          <w:trHeight w:val="223"/>
        </w:trPr>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6"/>
              </w:rPr>
              <w:t>Year Ended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December 31,</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4"/>
        </w:trPr>
        <w:tc>
          <w:tcPr>
            <w:tcW w:w="456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2017</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14,949</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12,720</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11,664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1"/>
        </w:trPr>
        <w:tc>
          <w:tcPr>
            <w:tcW w:w="456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securities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8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60" w:type="dxa"/>
            <w:vAlign w:val="bottom"/>
            <w:vMerge w:val="continue"/>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14,799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6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120"/>
              <w:spacing w:after="0"/>
              <w:rPr>
                <w:sz w:val="20"/>
                <w:szCs w:val="20"/>
                <w:color w:val="auto"/>
              </w:rPr>
            </w:pPr>
            <w:r>
              <w:rPr>
                <w:rFonts w:ascii="Arial" w:cs="Arial" w:eastAsia="Arial" w:hAnsi="Arial"/>
                <w:sz w:val="18"/>
                <w:szCs w:val="18"/>
                <w:color w:val="auto"/>
              </w:rPr>
              <w:t>including participating securities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9,272,964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9,250,825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9,224,230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Less: average unvested restricted shares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(93,000)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(88,664)</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(79,964)</w:t>
            </w:r>
          </w:p>
        </w:tc>
        <w:tc>
          <w:tcPr>
            <w:tcW w:w="0" w:type="dxa"/>
            <w:vAlign w:val="bottom"/>
          </w:tcPr>
          <w:p>
            <w:pPr>
              <w:spacing w:after="0"/>
              <w:rPr>
                <w:sz w:val="1"/>
                <w:szCs w:val="1"/>
                <w:color w:val="auto"/>
              </w:rPr>
            </w:pPr>
          </w:p>
        </w:tc>
      </w:tr>
      <w:tr>
        <w:trPr>
          <w:trHeight w:val="257"/>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w:t>
            </w:r>
          </w:p>
        </w:tc>
        <w:tc>
          <w:tcPr>
            <w:tcW w:w="8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9,179,964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9,162,161</w:t>
            </w:r>
          </w:p>
        </w:tc>
        <w:tc>
          <w:tcPr>
            <w:tcW w:w="20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9,144,266</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Basic and diluted earnings per share</w:t>
            </w:r>
          </w:p>
        </w:tc>
        <w:tc>
          <w:tcPr>
            <w:tcW w:w="1020" w:type="dxa"/>
            <w:vAlign w:val="bottom"/>
            <w:gridSpan w:val="2"/>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1.61</w:t>
            </w:r>
          </w:p>
        </w:tc>
        <w:tc>
          <w:tcPr>
            <w:tcW w:w="14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1.38</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In the ordinary course of business, the Bank has granted loans to senior officers and directors and their affiliated companies amounting to $1.5 million and $1.5 million at December 31, 2018 and 2017, respectively. Two new loans were approved during 2018 of which no additional borrowings were utilized. During 2018, subsequent advances totaled $9.4 million and payments of $9.5 million were received. The difference in related borrowings amounted to $45 thousand, net decrease. Deposits of directors, executive officers and companies in which they have a direct or indirect ownership as of December 31, 2018 and 2017, amounted to $26.1 million and $23.4 million,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w:t>
      </w:r>
    </w:p>
    <w:p>
      <w:pPr>
        <w:spacing w:after="0" w:line="10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Credit Related Financial Instruments</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Off Balance Sheet Activities (Continued)</w:t>
      </w:r>
    </w:p>
    <w:p>
      <w:pPr>
        <w:spacing w:after="0" w:line="308"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December 31, 2018 and 2017 was $274 thousand and $227 thousand, respectively.</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 December 31, 2018 and 2017, the following financial instruments were outstanding whose contract amounts represent credit risk:</w:t>
      </w:r>
    </w:p>
    <w:p>
      <w:pPr>
        <w:spacing w:after="0" w:line="228" w:lineRule="exact"/>
        <w:rPr>
          <w:sz w:val="20"/>
          <w:szCs w:val="20"/>
          <w:color w:val="auto"/>
        </w:rPr>
      </w:pPr>
    </w:p>
    <w:tbl>
      <w:tblPr>
        <w:tblLayout w:type="fixed"/>
        <w:tblInd w:w="172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ind w:left="440"/>
              <w:spacing w:after="0"/>
              <w:rPr>
                <w:sz w:val="20"/>
                <w:szCs w:val="20"/>
                <w:color w:val="auto"/>
              </w:rPr>
            </w:pPr>
            <w:r>
              <w:rPr>
                <w:rFonts w:ascii="Arial" w:cs="Arial" w:eastAsia="Arial" w:hAnsi="Arial"/>
                <w:sz w:val="18"/>
                <w:szCs w:val="18"/>
                <w:color w:val="auto"/>
              </w:rPr>
              <w:t>(In Thousands)</w:t>
            </w:r>
          </w:p>
        </w:tc>
      </w:tr>
      <w:tr>
        <w:trPr>
          <w:trHeight w:val="217"/>
        </w:trPr>
        <w:tc>
          <w:tcPr>
            <w:tcW w:w="20" w:type="dxa"/>
            <w:vAlign w:val="bottom"/>
          </w:tcPr>
          <w:p>
            <w:pPr>
              <w:spacing w:after="0"/>
              <w:rPr>
                <w:sz w:val="18"/>
                <w:szCs w:val="18"/>
                <w:color w:val="auto"/>
              </w:rPr>
            </w:pPr>
          </w:p>
        </w:tc>
        <w:tc>
          <w:tcPr>
            <w:tcW w:w="3780" w:type="dxa"/>
            <w:vAlign w:val="bottom"/>
            <w:tcBorders>
              <w:bottom w:val="single" w:sz="8" w:color="CFF0FC"/>
            </w:tcBorders>
          </w:tcPr>
          <w:p>
            <w:pPr>
              <w:spacing w:after="0"/>
              <w:rPr>
                <w:sz w:val="18"/>
                <w:szCs w:val="18"/>
                <w:color w:val="auto"/>
              </w:rPr>
            </w:pPr>
          </w:p>
        </w:tc>
        <w:tc>
          <w:tcPr>
            <w:tcW w:w="16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Commitments to extend credit</w:t>
            </w:r>
          </w:p>
        </w:tc>
        <w:tc>
          <w:tcPr>
            <w:tcW w:w="1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267,166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237,774</w:t>
            </w:r>
          </w:p>
        </w:tc>
        <w:tc>
          <w:tcPr>
            <w:tcW w:w="80" w:type="dxa"/>
            <w:vAlign w:val="bottom"/>
            <w:shd w:val="clear" w:color="auto" w:fill="CFF0FC"/>
          </w:tcPr>
          <w:p>
            <w:pPr>
              <w:spacing w:after="0"/>
              <w:rPr>
                <w:sz w:val="18"/>
                <w:szCs w:val="18"/>
                <w:color w:val="auto"/>
              </w:rPr>
            </w:pPr>
          </w:p>
        </w:tc>
      </w:tr>
      <w:tr>
        <w:trPr>
          <w:trHeight w:val="224"/>
        </w:trPr>
        <w:tc>
          <w:tcPr>
            <w:tcW w:w="3800" w:type="dxa"/>
            <w:vAlign w:val="bottom"/>
            <w:gridSpan w:val="2"/>
          </w:tcPr>
          <w:p>
            <w:pPr>
              <w:spacing w:after="0"/>
              <w:rPr>
                <w:sz w:val="20"/>
                <w:szCs w:val="20"/>
                <w:color w:val="auto"/>
              </w:rPr>
            </w:pPr>
            <w:r>
              <w:rPr>
                <w:rFonts w:ascii="Arial" w:cs="Arial" w:eastAsia="Arial" w:hAnsi="Arial"/>
                <w:sz w:val="18"/>
                <w:szCs w:val="18"/>
                <w:color w:val="auto"/>
              </w:rPr>
              <w:t>Credit card arrangements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20,993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20,184</w:t>
            </w:r>
          </w:p>
        </w:tc>
        <w:tc>
          <w:tcPr>
            <w:tcW w:w="80" w:type="dxa"/>
            <w:vAlign w:val="bottom"/>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Standby letters of credit</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80" w:type="dxa"/>
            <w:vAlign w:val="bottom"/>
            <w:shd w:val="clear" w:color="auto" w:fill="CFF0FC"/>
          </w:tcPr>
          <w:p>
            <w:pPr>
              <w:spacing w:after="0"/>
              <w:rPr>
                <w:sz w:val="19"/>
                <w:szCs w:val="19"/>
                <w:color w:val="auto"/>
              </w:rPr>
            </w:pPr>
          </w:p>
        </w:tc>
      </w:tr>
    </w:tbl>
    <w:p>
      <w:pPr>
        <w:spacing w:after="0" w:line="198"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Collateral Requirements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Legal Contingencies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w:t>
      </w:r>
    </w:p>
    <w:p>
      <w:pPr>
        <w:spacing w:after="0" w:line="115"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Company (on a consolidated basis)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and Bank's financial statements. Under capital adequacy guidelines and the regulatory framework for prompt corrective action, the Company and the Bank must meet specific capital guidelines that involve quantitative measures of their assets, liabilities and certain off balance-sheet items as calculated under regulatory accounting practices.</w:t>
      </w:r>
    </w:p>
    <w:p>
      <w:pPr>
        <w:spacing w:after="0" w:line="59"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7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Basel III Capital Rules, a new comprehensive capital framework for U.S. banking organizations, became effective for on January 1, 2015 (subject to a phase-in period for certain provisions). Quantitative measures established by the Basel III Capital Rules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56"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7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Common Equity Tier 1 is reduced by, goodwill and other intangible assets, net of associated deferred tax liabilities, and subject to transition provisions.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308"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Common Equity Tier 1 (beginning in 2015),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56" w:lineRule="exact"/>
        <w:rPr>
          <w:sz w:val="20"/>
          <w:szCs w:val="20"/>
          <w:color w:val="auto"/>
        </w:rPr>
      </w:pPr>
    </w:p>
    <w:p>
      <w:pPr>
        <w:jc w:val="both"/>
        <w:ind w:left="820"/>
        <w:spacing w:after="0" w:line="282" w:lineRule="auto"/>
        <w:rPr>
          <w:sz w:val="20"/>
          <w:szCs w:val="20"/>
          <w:color w:val="auto"/>
        </w:rPr>
      </w:pPr>
      <w:r>
        <w:rPr>
          <w:rFonts w:ascii="Arial" w:cs="Arial" w:eastAsia="Arial" w:hAnsi="Arial"/>
          <w:sz w:val="16"/>
          <w:szCs w:val="16"/>
          <w:color w:val="auto"/>
        </w:rPr>
        <w:t>When fully phased in on January 1, 2019, the Basel III Capital Rules will require the Bank to maintain (i) a minimum ratio of Common Equity Tier 1 capital to risk-weighted assets of at least 4.5%, plus a 2.5% “capital conservation buffer” (which is added to the 4.5% Common Equity Tier 1 capital ratio as that buffer is phased in, effectively resulting in a minimum ratio of Common Equity Tier 1 capital to risk-weighted assets of at least 7.0% upon full implementation), (ii) a minimum ratio of Tier 1 capital to risk-weighted assets of at least 6.0%, plus the capital conservation buffer (which is added to the 6.0% Tier 1 capital ratio as that buffer is phased in, effectively resulting in a minimum Tier 1 capital ratio of 8.5% upon full implementation), (iii) a minimum ratio of Total capital (that is, Tier 1 plus Tier 2) to risk-weighted assets of at least 8.0%, plus the capital conservation buffer (which is added to the 8.0% total capital ratio as that buffer is phased in, effectively resulting in a minimum total capital ratio of 10.5% upon full implementation) and (iv) a minimum leverage ratio of 4.0%, calculated as the ratio of Tier 1 capital to average quarterly assets.</w:t>
      </w:r>
    </w:p>
    <w:p>
      <w:pPr>
        <w:spacing w:after="0" w:line="61" w:lineRule="exact"/>
        <w:rPr>
          <w:sz w:val="20"/>
          <w:szCs w:val="20"/>
          <w:color w:val="auto"/>
        </w:rPr>
      </w:pPr>
    </w:p>
    <w:p>
      <w:pPr>
        <w:jc w:val="both"/>
        <w:ind w:left="820"/>
        <w:spacing w:after="0" w:line="246" w:lineRule="auto"/>
        <w:rPr>
          <w:sz w:val="20"/>
          <w:szCs w:val="20"/>
          <w:color w:val="auto"/>
        </w:rPr>
      </w:pPr>
      <w:r>
        <w:rPr>
          <w:rFonts w:ascii="Arial" w:cs="Arial" w:eastAsia="Arial" w:hAnsi="Arial"/>
          <w:sz w:val="18"/>
          <w:szCs w:val="18"/>
          <w:color w:val="auto"/>
        </w:rPr>
        <w:t>The implementation of the capital conservation buffer began on January 1, 2016 at the 0.625% level and will be phased in over a four-year period (increasing by that amount on each subsequent January 1, until it reaches 2.5% on January 1, 2019). The capital conservation buffer was 1.875% at December 31, 2018. The Basel III Capital Rules also provide for a “countercyclical capital buffer” that is applicable to only certain covered institutions and does not have any current applicability to the Company or Bank. 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and, if applicable, the countercyclical capital buffer) will face constraints on dividends, equity repurchases and compensation based on the amount of the shortfall.</w:t>
      </w:r>
    </w:p>
    <w:p>
      <w:pPr>
        <w:spacing w:after="0" w:line="9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Management believes, as of December 31, 2018, that the Bank meets all the capital adequacy requirements to which it is subject.</w:t>
      </w:r>
    </w:p>
    <w:p>
      <w:pPr>
        <w:spacing w:after="0" w:line="109"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As of December 31, 2018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Tier 1 and Tier I leverage ratios as disclosed in the table to follow. There are no conditions or events since the most recent notification that management believes have changed the Bank’s prompt corrective action category.</w:t>
      </w:r>
    </w:p>
    <w:p>
      <w:pPr>
        <w:spacing w:after="0" w:line="56"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following tables present actual and required capital ratios as of December 31, 2018 and December 31, 2017 under the Basel III Capital Rules. The minimum required capital amounts presented include the minimum required capital levels as of December 31, 2018 and December 31, 2017. Capital levels required to be considered well capitalized are based upon prompt corrective action regulations, as amended to reflect the changes under the Basel III Capital Rules.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Minimum Regulatory Capital Requirements (Continued)</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and the Bank’s actual and required capital amounts and ratios as of December 31, 2018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Required to be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Considered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6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Well-Capitalized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As of December 31, 2018</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Ratio</w:t>
            </w: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Ratio</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Ratio</w:t>
            </w:r>
          </w:p>
        </w:tc>
      </w:tr>
      <w:tr>
        <w:trPr>
          <w:trHeight w:val="205"/>
        </w:trPr>
        <w:tc>
          <w:tcPr>
            <w:tcW w:w="36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r>
      <w:tr>
        <w:trPr>
          <w:trHeight w:val="211"/>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114,978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12.67%</w:t>
            </w:r>
          </w:p>
        </w:tc>
        <w:tc>
          <w:tcPr>
            <w:tcW w:w="1540" w:type="dxa"/>
            <w:vAlign w:val="bottom"/>
          </w:tcPr>
          <w:p>
            <w:pPr>
              <w:jc w:val="right"/>
              <w:spacing w:after="0"/>
              <w:rPr>
                <w:sz w:val="20"/>
                <w:szCs w:val="20"/>
                <w:color w:val="auto"/>
              </w:rPr>
            </w:pPr>
            <w:r>
              <w:rPr>
                <w:rFonts w:ascii="Arial" w:cs="Arial" w:eastAsia="Arial" w:hAnsi="Arial"/>
                <w:sz w:val="18"/>
                <w:szCs w:val="18"/>
                <w:color w:val="auto"/>
              </w:rPr>
              <w:t>40,834</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4.50%</w:t>
            </w:r>
          </w:p>
        </w:tc>
        <w:tc>
          <w:tcPr>
            <w:tcW w:w="1540" w:type="dxa"/>
            <w:vAlign w:val="bottom"/>
          </w:tcPr>
          <w:p>
            <w:pPr>
              <w:jc w:val="right"/>
              <w:spacing w:after="0"/>
              <w:rPr>
                <w:sz w:val="20"/>
                <w:szCs w:val="20"/>
                <w:color w:val="auto"/>
              </w:rPr>
            </w:pPr>
            <w:r>
              <w:rPr>
                <w:rFonts w:ascii="Arial" w:cs="Arial" w:eastAsia="Arial" w:hAnsi="Arial"/>
                <w:sz w:val="18"/>
                <w:szCs w:val="18"/>
                <w:color w:val="auto"/>
              </w:rPr>
              <w:t>58,983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Risk-Based Capital (to Risk</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Assets) Consolidated</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122,027</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13.45%</w:t>
            </w:r>
          </w:p>
        </w:tc>
        <w:tc>
          <w:tcPr>
            <w:tcW w:w="1540" w:type="dxa"/>
            <w:vAlign w:val="bottom"/>
          </w:tcPr>
          <w:p>
            <w:pPr>
              <w:jc w:val="right"/>
              <w:spacing w:after="0"/>
              <w:rPr>
                <w:sz w:val="20"/>
                <w:szCs w:val="20"/>
                <w:color w:val="auto"/>
              </w:rPr>
            </w:pPr>
            <w:r>
              <w:rPr>
                <w:rFonts w:ascii="Arial" w:cs="Arial" w:eastAsia="Arial" w:hAnsi="Arial"/>
                <w:sz w:val="18"/>
                <w:szCs w:val="18"/>
                <w:color w:val="auto"/>
              </w:rPr>
              <w:t>72,594</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8.00%</w:t>
            </w:r>
          </w:p>
        </w:tc>
        <w:tc>
          <w:tcPr>
            <w:tcW w:w="1540" w:type="dxa"/>
            <w:vAlign w:val="bottom"/>
          </w:tcPr>
          <w:p>
            <w:pPr>
              <w:jc w:val="right"/>
              <w:spacing w:after="0"/>
              <w:rPr>
                <w:sz w:val="20"/>
                <w:szCs w:val="20"/>
                <w:color w:val="auto"/>
              </w:rPr>
            </w:pPr>
            <w:r>
              <w:rPr>
                <w:rFonts w:ascii="Arial" w:cs="Arial" w:eastAsia="Arial" w:hAnsi="Arial"/>
                <w:sz w:val="18"/>
                <w:szCs w:val="18"/>
                <w:color w:val="auto"/>
              </w:rPr>
              <w:t>90,743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 Consolidated</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114,978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12.67%</w:t>
            </w:r>
          </w:p>
        </w:tc>
        <w:tc>
          <w:tcPr>
            <w:tcW w:w="1540" w:type="dxa"/>
            <w:vAlign w:val="bottom"/>
          </w:tcPr>
          <w:p>
            <w:pPr>
              <w:jc w:val="right"/>
              <w:spacing w:after="0"/>
              <w:rPr>
                <w:sz w:val="20"/>
                <w:szCs w:val="20"/>
                <w:color w:val="auto"/>
              </w:rPr>
            </w:pPr>
            <w:r>
              <w:rPr>
                <w:rFonts w:ascii="Arial" w:cs="Arial" w:eastAsia="Arial" w:hAnsi="Arial"/>
                <w:sz w:val="18"/>
                <w:szCs w:val="18"/>
                <w:color w:val="auto"/>
              </w:rPr>
              <w:t>54,446</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6.00%</w:t>
            </w:r>
          </w:p>
        </w:tc>
        <w:tc>
          <w:tcPr>
            <w:tcW w:w="1540" w:type="dxa"/>
            <w:vAlign w:val="bottom"/>
          </w:tcPr>
          <w:p>
            <w:pPr>
              <w:jc w:val="right"/>
              <w:spacing w:after="0"/>
              <w:rPr>
                <w:sz w:val="20"/>
                <w:szCs w:val="20"/>
                <w:color w:val="auto"/>
              </w:rPr>
            </w:pPr>
            <w:r>
              <w:rPr>
                <w:rFonts w:ascii="Arial" w:cs="Arial" w:eastAsia="Arial" w:hAnsi="Arial"/>
                <w:sz w:val="18"/>
                <w:szCs w:val="18"/>
                <w:color w:val="auto"/>
              </w:rPr>
              <w:t>72,594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 Capital (to</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1"/>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Adjusted Total Assets)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N/A</w:t>
            </w: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114,978</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10.54%</w:t>
            </w:r>
          </w:p>
        </w:tc>
        <w:tc>
          <w:tcPr>
            <w:tcW w:w="1540" w:type="dxa"/>
            <w:vAlign w:val="bottom"/>
          </w:tcPr>
          <w:p>
            <w:pPr>
              <w:jc w:val="right"/>
              <w:spacing w:after="0"/>
              <w:rPr>
                <w:sz w:val="20"/>
                <w:szCs w:val="20"/>
                <w:color w:val="auto"/>
              </w:rPr>
            </w:pPr>
            <w:r>
              <w:rPr>
                <w:rFonts w:ascii="Arial" w:cs="Arial" w:eastAsia="Arial" w:hAnsi="Arial"/>
                <w:sz w:val="18"/>
                <w:szCs w:val="18"/>
                <w:color w:val="auto"/>
              </w:rPr>
              <w:t>43,644</w:t>
            </w:r>
          </w:p>
        </w:tc>
        <w:tc>
          <w:tcPr>
            <w:tcW w:w="240" w:type="dxa"/>
            <w:vAlign w:val="bottom"/>
          </w:tcPr>
          <w:p>
            <w:pPr>
              <w:spacing w:after="0"/>
              <w:rPr>
                <w:sz w:val="19"/>
                <w:szCs w:val="19"/>
                <w:color w:val="auto"/>
              </w:rPr>
            </w:pP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4.00%</w:t>
            </w:r>
          </w:p>
        </w:tc>
        <w:tc>
          <w:tcPr>
            <w:tcW w:w="1540" w:type="dxa"/>
            <w:vAlign w:val="bottom"/>
          </w:tcPr>
          <w:p>
            <w:pPr>
              <w:jc w:val="right"/>
              <w:spacing w:after="0"/>
              <w:rPr>
                <w:sz w:val="20"/>
                <w:szCs w:val="20"/>
                <w:color w:val="auto"/>
              </w:rPr>
            </w:pPr>
            <w:r>
              <w:rPr>
                <w:rFonts w:ascii="Arial" w:cs="Arial" w:eastAsia="Arial" w:hAnsi="Arial"/>
                <w:sz w:val="18"/>
                <w:szCs w:val="18"/>
                <w:color w:val="auto"/>
              </w:rPr>
              <w:t>54,555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With the enactment of the Economic Growth, Regulatory Relief and Consumer Protection Act on May 24, 2018, the Company is no longer required to file the FR Y-9C consolidated financial statements for holding companies but will file the FR Y-9SP parent company only financial statements for small holding companies. As a result, the consolidated amounts and ratios are no longer required beginning in 2018.</w:t>
      </w:r>
    </w:p>
    <w:p>
      <w:pPr>
        <w:spacing w:after="0" w:line="15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the Company and the Bank’s actual and required capital amounts and ratios as of December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Required to be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3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Minimum Capital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Considered</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3640" w:type="dxa"/>
            <w:vAlign w:val="bottom"/>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Actual</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0"/>
              </w:rPr>
              <w:t>Required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0"/>
              </w:rPr>
              <w:t>Well-Capitalized</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36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(000's)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(000's)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As of December 31, 2017</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Amount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Ratio</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Ratio</w:t>
            </w:r>
          </w:p>
        </w:tc>
        <w:tc>
          <w:tcPr>
            <w:tcW w:w="120" w:type="dxa"/>
            <w:vAlign w:val="bottom"/>
          </w:tcPr>
          <w:p>
            <w:pPr>
              <w:spacing w:after="0"/>
              <w:rPr>
                <w:sz w:val="19"/>
                <w:szCs w:val="19"/>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Ratio</w:t>
            </w:r>
          </w:p>
        </w:tc>
      </w:tr>
      <w:tr>
        <w:trPr>
          <w:trHeight w:val="205"/>
        </w:trPr>
        <w:tc>
          <w:tcPr>
            <w:tcW w:w="36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Common Equity Tier 1 Capital (to</w:t>
            </w:r>
          </w:p>
        </w:tc>
        <w:tc>
          <w:tcPr>
            <w:tcW w:w="8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r>
      <w:tr>
        <w:trPr>
          <w:trHeight w:val="211"/>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Risk Weighted Assets)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  131,493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14.73%</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40,177</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107,006</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39,992</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57,767</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Risk-Based Capital (to Risk</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Assets) Consolidated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138,588</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15.52%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71,426</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114,101</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71,098</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88,872</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Capital (to Risk Weighted</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Assets) Consolidated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53,569</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107,006</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53,323</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71,098</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2"/>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Tier 1 Leverage Capital (to</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1"/>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Adjusted Total Assets)</w:t>
            </w: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23"/>
        </w:trPr>
        <w:tc>
          <w:tcPr>
            <w:tcW w:w="3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Consolidated</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131,493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43,765</w:t>
            </w: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N/A</w:t>
            </w: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Farmers &amp; Merchants State Bank</w:t>
            </w:r>
          </w:p>
        </w:tc>
        <w:tc>
          <w:tcPr>
            <w:tcW w:w="800" w:type="dxa"/>
            <w:vAlign w:val="bottom"/>
          </w:tcPr>
          <w:p>
            <w:pPr>
              <w:jc w:val="right"/>
              <w:spacing w:after="0"/>
              <w:rPr>
                <w:sz w:val="20"/>
                <w:szCs w:val="20"/>
                <w:color w:val="auto"/>
              </w:rPr>
            </w:pPr>
            <w:r>
              <w:rPr>
                <w:rFonts w:ascii="Arial" w:cs="Arial" w:eastAsia="Arial" w:hAnsi="Arial"/>
                <w:sz w:val="18"/>
                <w:szCs w:val="18"/>
                <w:color w:val="auto"/>
              </w:rPr>
              <w:t>107,006</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43,148</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53,935</w:t>
            </w: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1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above tables exclude the capital conservation buffer requirements.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Restrictions of Dividends &amp; Inter-company Borrowings</w:t>
      </w:r>
    </w:p>
    <w:p>
      <w:pPr>
        <w:spacing w:after="0" w:line="115" w:lineRule="exact"/>
        <w:rPr>
          <w:sz w:val="20"/>
          <w:szCs w:val="20"/>
          <w:color w:val="auto"/>
        </w:rPr>
      </w:pPr>
    </w:p>
    <w:p>
      <w:pPr>
        <w:jc w:val="both"/>
        <w:ind w:left="820"/>
        <w:spacing w:after="0" w:line="247" w:lineRule="auto"/>
        <w:rPr>
          <w:sz w:val="20"/>
          <w:szCs w:val="20"/>
          <w:color w:val="auto"/>
        </w:rPr>
      </w:pPr>
      <w:r>
        <w:rPr>
          <w:rFonts w:ascii="Arial" w:cs="Arial" w:eastAsia="Arial" w:hAnsi="Arial"/>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dividends of $18.3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w:t>
      </w:r>
    </w:p>
    <w:p>
      <w:pPr>
        <w:spacing w:after="0" w:line="115"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Cash and Cash Equivalents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25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Interest Bearing Time Deposits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ecurities – Available-for-sale</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securities, excluding Federal Home Loan Bank stock, are based on quoted market price, where available. If quoted market prices are not available, fair values are based on quoted market prices of comparable instruments.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Other Securities</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carrying value of Federal Home Loan Bank stock approximates fair value based on the redemption provisions of the Federal Home Loan Bank.</w:t>
      </w:r>
    </w:p>
    <w:p>
      <w:pPr>
        <w:spacing w:after="0" w:line="33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Held for Sale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Loans, net</w:t>
      </w:r>
    </w:p>
    <w:p>
      <w:pPr>
        <w:spacing w:after="0" w:line="115" w:lineRule="exact"/>
        <w:rPr>
          <w:sz w:val="20"/>
          <w:szCs w:val="20"/>
          <w:color w:val="auto"/>
        </w:rPr>
      </w:pPr>
    </w:p>
    <w:p>
      <w:pPr>
        <w:ind w:left="820" w:right="160"/>
        <w:spacing w:after="0" w:line="253" w:lineRule="auto"/>
        <w:rPr>
          <w:sz w:val="20"/>
          <w:szCs w:val="20"/>
          <w:color w:val="auto"/>
        </w:rPr>
      </w:pPr>
      <w:r>
        <w:rPr>
          <w:rFonts w:ascii="Arial" w:cs="Arial" w:eastAsia="Arial" w:hAnsi="Arial"/>
          <w:sz w:val="18"/>
          <w:szCs w:val="18"/>
          <w:color w:val="auto"/>
        </w:rPr>
        <w:t>For 2018, 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308"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For 2017, the fair values used for net variable-rate loans that reprice frequently, and with no significant change in credit risk, fair values are based on carrying values. The fair values of the fixed rate and all other loans are estimated using discounted cash flow analysis, using interest rates currently being offered for loans with similar terms to borrowers with similar credit quality.</w:t>
      </w:r>
    </w:p>
    <w:p>
      <w:pPr>
        <w:spacing w:after="0" w:line="288"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Deposits</w:t>
      </w:r>
    </w:p>
    <w:p>
      <w:pPr>
        <w:spacing w:after="0" w:line="115"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fair values disclosed for deposits with no defined maturities are equal to their carrying amounts, which represent the amount payable on demand. The carrying amounts for variable-rate, fixed-term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26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Federal Funds Purchased and Securities Sold Under Agreement to Repurchase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value of Federal Funds purchased and securities sold under agreement to repurchase approximates fair values.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FHLB Advances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Accrued Interest Receivable and Payable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carrying amounts of accrued interest approximate fair values.</w:t>
      </w:r>
    </w:p>
    <w:p>
      <w:pPr>
        <w:spacing w:after="0" w:line="3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Off Balance Sheet Financial Instruments</w:t>
      </w:r>
    </w:p>
    <w:p>
      <w:pPr>
        <w:spacing w:after="0" w:line="115"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Fair values for off-balance-sheet, credit related financial instruments are based on fees currently charged to enter into similar agreements, taking into account the remaining terms of the agreements and the counterparties' credit 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03" w:lineRule="exact"/>
        <w:rPr>
          <w:sz w:val="20"/>
          <w:szCs w:val="20"/>
          <w:color w:val="auto"/>
        </w:rPr>
      </w:pPr>
    </w:p>
    <w:p>
      <w:pPr>
        <w:jc w:val="both"/>
        <w:ind w:left="600"/>
        <w:spacing w:after="0" w:line="250"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December 31, 2018 and 2017,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8"/>
                <w:szCs w:val="18"/>
                <w:color w:val="auto"/>
                <w:w w:val="87"/>
              </w:rPr>
              <w:t>December 31, 2018</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right"/>
              <w:ind w:right="452"/>
              <w:spacing w:after="0"/>
              <w:rPr>
                <w:sz w:val="20"/>
                <w:szCs w:val="20"/>
                <w:color w:val="auto"/>
              </w:rPr>
            </w:pPr>
            <w:r>
              <w:rPr>
                <w:rFonts w:ascii="Arial" w:cs="Arial" w:eastAsia="Arial" w:hAnsi="Arial"/>
                <w:sz w:val="18"/>
                <w:szCs w:val="18"/>
                <w:color w:val="auto"/>
              </w:rPr>
              <w:t>December 31, 2017</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Carrying</w:t>
            </w:r>
          </w:p>
        </w:tc>
        <w:tc>
          <w:tcPr>
            <w:tcW w:w="12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Fair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4"/>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19"/>
                <w:szCs w:val="19"/>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8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Level 1</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Level 2</w:t>
            </w:r>
          </w:p>
        </w:tc>
        <w:tc>
          <w:tcPr>
            <w:tcW w:w="9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Level 3</w:t>
            </w: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w w:val="91"/>
              </w:rPr>
              <w:t>Value</w:t>
            </w: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6"/>
              </w:rPr>
              <w:t>Level 1</w:t>
            </w:r>
          </w:p>
        </w:tc>
        <w:tc>
          <w:tcPr>
            <w:tcW w:w="2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9"/>
              </w:rPr>
              <w:t>Level 2</w:t>
            </w:r>
          </w:p>
        </w:tc>
        <w:tc>
          <w:tcPr>
            <w:tcW w:w="220" w:type="dxa"/>
            <w:vAlign w:val="bottom"/>
          </w:tcPr>
          <w:p>
            <w:pPr>
              <w:spacing w:after="0"/>
              <w:rPr>
                <w:sz w:val="19"/>
                <w:szCs w:val="19"/>
                <w:color w:val="auto"/>
              </w:rPr>
            </w:pP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Level 3</w:t>
            </w:r>
          </w:p>
        </w:tc>
      </w:tr>
      <w:tr>
        <w:trPr>
          <w:trHeight w:val="217"/>
        </w:trPr>
        <w:tc>
          <w:tcPr>
            <w:tcW w:w="2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right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w w:val="99"/>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38,365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38,365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38,365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34,467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34,467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34,467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Interest-bearing time deposits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w w:val="92"/>
              </w:rPr>
              <w:t>Securities - available-for-sale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168,447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168,447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36,935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130,085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196,398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196,398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20,978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173,992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1,428</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w:t>
            </w:r>
          </w:p>
        </w:tc>
        <w:tc>
          <w:tcPr>
            <w:tcW w:w="60" w:type="dxa"/>
            <w:vAlign w:val="bottom"/>
            <w:shd w:val="clear" w:color="auto" w:fill="CFF0FC"/>
          </w:tcPr>
          <w:p>
            <w:pPr>
              <w:spacing w:after="0"/>
              <w:rPr>
                <w:sz w:val="19"/>
                <w:szCs w:val="19"/>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839,599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823,914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823,914</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816,156</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819,193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819,193</w:t>
            </w:r>
          </w:p>
        </w:tc>
        <w:tc>
          <w:tcPr>
            <w:tcW w:w="60" w:type="dxa"/>
            <w:vAlign w:val="bottom"/>
            <w:shd w:val="clear" w:color="auto" w:fill="CFF0FC"/>
          </w:tcPr>
          <w:p>
            <w:pPr>
              <w:spacing w:after="0"/>
              <w:rPr>
                <w:sz w:val="19"/>
                <w:szCs w:val="19"/>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4,542</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4,276</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4"/>
        </w:trPr>
        <w:tc>
          <w:tcPr>
            <w:tcW w:w="2400" w:type="dxa"/>
            <w:vAlign w:val="bottom"/>
          </w:tcPr>
          <w:p>
            <w:pPr>
              <w:spacing w:after="0"/>
              <w:rPr>
                <w:sz w:val="20"/>
                <w:szCs w:val="20"/>
                <w:color w:val="auto"/>
              </w:rPr>
            </w:pPr>
            <w:r>
              <w:rPr>
                <w:rFonts w:ascii="Arial" w:cs="Arial" w:eastAsia="Arial" w:hAnsi="Arial"/>
                <w:sz w:val="18"/>
                <w:szCs w:val="18"/>
                <w:color w:val="auto"/>
              </w:rPr>
              <w:t>Financial Liabilities: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525,955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525,955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525,955</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532,660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532,660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532,660</w:t>
            </w:r>
          </w:p>
        </w:tc>
        <w:tc>
          <w:tcPr>
            <w:tcW w:w="60" w:type="dxa"/>
            <w:vAlign w:val="bottom"/>
            <w:shd w:val="clear" w:color="auto" w:fill="CFF0FC"/>
          </w:tcPr>
          <w:p>
            <w:pPr>
              <w:spacing w:after="0"/>
              <w:rPr>
                <w:sz w:val="19"/>
                <w:szCs w:val="19"/>
                <w:color w:val="auto"/>
              </w:rPr>
            </w:pPr>
          </w:p>
        </w:tc>
      </w:tr>
      <w:tr>
        <w:trPr>
          <w:trHeight w:val="224"/>
        </w:trPr>
        <w:tc>
          <w:tcPr>
            <w:tcW w:w="2400" w:type="dxa"/>
            <w:vAlign w:val="bottom"/>
          </w:tcPr>
          <w:p>
            <w:pPr>
              <w:ind w:left="240"/>
              <w:spacing w:after="0"/>
              <w:rPr>
                <w:sz w:val="20"/>
                <w:szCs w:val="20"/>
                <w:color w:val="auto"/>
              </w:rPr>
            </w:pPr>
            <w:r>
              <w:rPr>
                <w:rFonts w:ascii="Arial" w:cs="Arial" w:eastAsia="Arial" w:hAnsi="Arial"/>
                <w:sz w:val="18"/>
                <w:szCs w:val="18"/>
                <w:color w:val="auto"/>
                <w:w w:val="93"/>
              </w:rPr>
              <w:t>Noninterest bearing deposits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199,114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199,114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199,114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187,413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187,545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187,545</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187,566</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188,335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188,335</w:t>
            </w:r>
          </w:p>
        </w:tc>
        <w:tc>
          <w:tcPr>
            <w:tcW w:w="60" w:type="dxa"/>
            <w:vAlign w:val="bottom"/>
            <w:shd w:val="clear" w:color="auto" w:fill="CFF0FC"/>
          </w:tcPr>
          <w:p>
            <w:pPr>
              <w:spacing w:after="0"/>
              <w:rPr>
                <w:sz w:val="19"/>
                <w:szCs w:val="19"/>
                <w:color w:val="auto"/>
              </w:rPr>
            </w:pPr>
          </w:p>
        </w:tc>
      </w:tr>
      <w:tr>
        <w:trPr>
          <w:trHeight w:val="217"/>
        </w:trPr>
        <w:tc>
          <w:tcPr>
            <w:tcW w:w="2400" w:type="dxa"/>
            <w:vAlign w:val="bottom"/>
          </w:tcPr>
          <w:p>
            <w:pPr>
              <w:spacing w:after="0"/>
              <w:rPr>
                <w:sz w:val="20"/>
                <w:szCs w:val="20"/>
                <w:color w:val="auto"/>
              </w:rPr>
            </w:pPr>
            <w:r>
              <w:rPr>
                <w:rFonts w:ascii="Arial" w:cs="Arial" w:eastAsia="Arial" w:hAnsi="Arial"/>
                <w:sz w:val="18"/>
                <w:szCs w:val="18"/>
                <w:color w:val="auto"/>
              </w:rPr>
              <w:t>Total Deposits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928,790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928,922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215,422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713,500</w:t>
            </w: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919,340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920,109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199,114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720,995</w:t>
            </w:r>
          </w:p>
        </w:tc>
        <w:tc>
          <w:tcPr>
            <w:tcW w:w="60" w:type="dxa"/>
            <w:vAlign w:val="bottom"/>
          </w:tcPr>
          <w:p>
            <w:pPr>
              <w:spacing w:after="0"/>
              <w:rPr>
                <w:sz w:val="18"/>
                <w:szCs w:val="18"/>
                <w:color w:val="auto"/>
              </w:rPr>
            </w:pPr>
          </w:p>
        </w:tc>
      </w:tr>
      <w:tr>
        <w:trPr>
          <w:trHeight w:val="212"/>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 funds purchased and</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1"/>
        </w:trPr>
        <w:tc>
          <w:tcPr>
            <w:tcW w:w="2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 sold under</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23"/>
        </w:trPr>
        <w:tc>
          <w:tcPr>
            <w:tcW w:w="240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9"/>
              </w:rPr>
              <w:t>agreement to repurchase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32,181</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39,495</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39,495</w:t>
            </w:r>
          </w:p>
        </w:tc>
        <w:tc>
          <w:tcPr>
            <w:tcW w:w="60" w:type="dxa"/>
            <w:vAlign w:val="bottom"/>
            <w:shd w:val="clear" w:color="auto" w:fill="CFF0FC"/>
          </w:tcPr>
          <w:p>
            <w:pPr>
              <w:spacing w:after="0"/>
              <w:rPr>
                <w:sz w:val="19"/>
                <w:szCs w:val="19"/>
                <w:color w:val="auto"/>
              </w:rPr>
            </w:pPr>
          </w:p>
        </w:tc>
      </w:tr>
      <w:tr>
        <w:trPr>
          <w:trHeight w:val="211"/>
        </w:trPr>
        <w:tc>
          <w:tcPr>
            <w:tcW w:w="2400" w:type="dxa"/>
            <w:vAlign w:val="bottom"/>
          </w:tcPr>
          <w:p>
            <w:pPr>
              <w:ind w:left="240"/>
              <w:spacing w:after="0"/>
              <w:rPr>
                <w:sz w:val="20"/>
                <w:szCs w:val="20"/>
                <w:color w:val="auto"/>
              </w:rPr>
            </w:pPr>
            <w:r>
              <w:rPr>
                <w:rFonts w:ascii="Arial" w:cs="Arial" w:eastAsia="Arial" w:hAnsi="Arial"/>
                <w:sz w:val="18"/>
                <w:szCs w:val="18"/>
                <w:color w:val="auto"/>
              </w:rPr>
              <w:t>Federal Home Loan Bank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00" w:type="dxa"/>
            <w:vAlign w:val="bottom"/>
          </w:tcPr>
          <w:p>
            <w:pPr>
              <w:ind w:left="240"/>
              <w:spacing w:after="0"/>
              <w:rPr>
                <w:sz w:val="20"/>
                <w:szCs w:val="20"/>
                <w:color w:val="auto"/>
              </w:rPr>
            </w:pPr>
            <w:r>
              <w:rPr>
                <w:rFonts w:ascii="Arial" w:cs="Arial" w:eastAsia="Arial" w:hAnsi="Arial"/>
                <w:sz w:val="18"/>
                <w:szCs w:val="18"/>
                <w:color w:val="auto"/>
              </w:rPr>
              <w:t>advances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5,021</w:t>
            </w:r>
          </w:p>
        </w:tc>
        <w:tc>
          <w:tcPr>
            <w:tcW w:w="60" w:type="dxa"/>
            <w:vAlign w:val="bottom"/>
          </w:tcPr>
          <w:p>
            <w:pPr>
              <w:spacing w:after="0"/>
              <w:rPr>
                <w:sz w:val="19"/>
                <w:szCs w:val="19"/>
                <w:color w:val="auto"/>
              </w:rPr>
            </w:pPr>
          </w:p>
        </w:tc>
      </w:tr>
      <w:tr>
        <w:trPr>
          <w:trHeight w:val="224"/>
        </w:trPr>
        <w:tc>
          <w:tcPr>
            <w:tcW w:w="2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payable</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right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2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Fair Value Measurements</w:t>
      </w:r>
    </w:p>
    <w:p>
      <w:pPr>
        <w:spacing w:after="0" w:line="115"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The following table presents information about the Company’s assets and liabilities measured at fair value on a recurring basis at December 31, 2018 and 2017, and the valuation techniques used by the Company to determine those fair values. There were no changes to valuation techniques during 2018.</w:t>
      </w:r>
    </w:p>
    <w:p>
      <w:pPr>
        <w:spacing w:after="0" w:line="83"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75"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Available-for-sale securities - When quoted prices are available in an active market, securities are valued using the quoted price and are classified as Level 1. The quoted prices are not adjusted.</w:t>
      </w:r>
    </w:p>
    <w:p>
      <w:pPr>
        <w:spacing w:after="0" w:line="75"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83" w:lineRule="exact"/>
        <w:rPr>
          <w:sz w:val="20"/>
          <w:szCs w:val="20"/>
          <w:color w:val="auto"/>
        </w:rPr>
      </w:pPr>
    </w:p>
    <w:p>
      <w:pPr>
        <w:jc w:val="both"/>
        <w:ind w:left="820" w:right="20"/>
        <w:spacing w:after="0" w:line="316" w:lineRule="auto"/>
        <w:rPr>
          <w:sz w:val="20"/>
          <w:szCs w:val="20"/>
          <w:color w:val="auto"/>
        </w:rPr>
      </w:pPr>
      <w:r>
        <w:rPr>
          <w:rFonts w:ascii="Arial" w:cs="Arial" w:eastAsia="Arial" w:hAnsi="Arial"/>
          <w:sz w:val="15"/>
          <w:szCs w:val="15"/>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40"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two local municipals that the Bank evaluates based on the credit strength of the underlying project. The fair value is determined by valuing similar credit payment streams at similar rates.</w:t>
      </w:r>
    </w:p>
    <w:p>
      <w:pPr>
        <w:spacing w:after="0" w:line="83" w:lineRule="exact"/>
        <w:rPr>
          <w:sz w:val="20"/>
          <w:szCs w:val="20"/>
          <w:color w:val="auto"/>
        </w:rPr>
      </w:pPr>
    </w:p>
    <w:p>
      <w:pPr>
        <w:jc w:val="both"/>
        <w:ind w:left="820" w:right="20"/>
        <w:spacing w:after="0" w:line="299" w:lineRule="auto"/>
        <w:rPr>
          <w:sz w:val="20"/>
          <w:szCs w:val="20"/>
          <w:color w:val="auto"/>
        </w:rPr>
      </w:pPr>
      <w:r>
        <w:rPr>
          <w:rFonts w:ascii="Arial" w:cs="Arial" w:eastAsia="Arial" w:hAnsi="Arial"/>
          <w:sz w:val="16"/>
          <w:szCs w:val="16"/>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50" w:lineRule="exact"/>
        <w:rPr>
          <w:sz w:val="20"/>
          <w:szCs w:val="20"/>
          <w:color w:val="auto"/>
        </w:rPr>
      </w:pPr>
    </w:p>
    <w:p>
      <w:pPr>
        <w:jc w:val="both"/>
        <w:ind w:left="820" w:right="20"/>
        <w:spacing w:after="0" w:line="262" w:lineRule="auto"/>
        <w:rPr>
          <w:sz w:val="20"/>
          <w:szCs w:val="20"/>
          <w:color w:val="auto"/>
        </w:rPr>
      </w:pPr>
      <w:r>
        <w:rPr>
          <w:rFonts w:ascii="Arial" w:cs="Arial" w:eastAsia="Arial" w:hAnsi="Arial"/>
          <w:sz w:val="18"/>
          <w:szCs w:val="18"/>
          <w:color w:val="auto"/>
        </w:rPr>
        <w:t>The following table summarizes financial assets measured at fair value on a recurring basis as of December 31, 2018 and December 31, 2017 segregated by level or the valuation inputs within the fair value hierarchy utilized to measure fair value.</w:t>
      </w:r>
    </w:p>
    <w:p>
      <w:pPr>
        <w:spacing w:after="0" w:line="193" w:lineRule="exact"/>
        <w:rPr>
          <w:sz w:val="20"/>
          <w:szCs w:val="20"/>
          <w:color w:val="auto"/>
        </w:rPr>
      </w:pPr>
    </w:p>
    <w:p>
      <w:pPr>
        <w:jc w:val="center"/>
        <w:ind w:right="120"/>
        <w:spacing w:after="0"/>
        <w:rPr>
          <w:sz w:val="20"/>
          <w:szCs w:val="20"/>
          <w:color w:val="auto"/>
        </w:rPr>
      </w:pPr>
      <w:r>
        <w:rPr>
          <w:rFonts w:ascii="Arial" w:cs="Arial" w:eastAsia="Arial" w:hAnsi="Arial"/>
          <w:sz w:val="18"/>
          <w:szCs w:val="18"/>
          <w:u w:val="single" w:color="auto"/>
          <w:color w:val="auto"/>
        </w:rPr>
        <w:t>Assets and Liabilities Measured at Fair Value on a Recurring Basis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Quoted Prices in</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Significant</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Significant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Active Markets</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6"/>
              </w:rPr>
              <w:t>Observable</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Observable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for Identical</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Inputs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tcPr>
          <w:p>
            <w:pPr>
              <w:ind w:left="1700"/>
              <w:spacing w:after="0"/>
              <w:rPr>
                <w:sz w:val="20"/>
                <w:szCs w:val="20"/>
                <w:color w:val="auto"/>
              </w:rPr>
            </w:pPr>
            <w:r>
              <w:rPr>
                <w:rFonts w:ascii="Arial" w:cs="Arial" w:eastAsia="Arial" w:hAnsi="Arial"/>
                <w:sz w:val="18"/>
                <w:szCs w:val="18"/>
                <w:color w:val="auto"/>
              </w:rPr>
              <w:t>December 31, 2018</w:t>
            </w:r>
          </w:p>
        </w:tc>
        <w:tc>
          <w:tcPr>
            <w:tcW w:w="1120" w:type="dxa"/>
            <w:vAlign w:val="bottom"/>
          </w:tcPr>
          <w:p>
            <w:pPr>
              <w:spacing w:after="0"/>
              <w:rPr>
                <w:sz w:val="19"/>
                <w:szCs w:val="19"/>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Assets (Level 1)</w:t>
            </w:r>
          </w:p>
        </w:tc>
        <w:tc>
          <w:tcPr>
            <w:tcW w:w="16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(Level 2)</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(Level 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1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20" w:type="dxa"/>
            <w:vAlign w:val="bottom"/>
            <w:gridSpan w:val="2"/>
          </w:tcPr>
          <w:p>
            <w:pPr>
              <w:ind w:left="1160"/>
              <w:spacing w:after="0"/>
              <w:rPr>
                <w:sz w:val="20"/>
                <w:szCs w:val="20"/>
                <w:color w:val="auto"/>
              </w:rPr>
            </w:pPr>
            <w:r>
              <w:rPr>
                <w:rFonts w:ascii="Arial" w:cs="Arial" w:eastAsia="Arial" w:hAnsi="Arial"/>
                <w:sz w:val="18"/>
                <w:szCs w:val="18"/>
                <w:color w:val="auto"/>
              </w:rPr>
              <w:t>U.S. Treasury</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22,830</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14,105</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55,222</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20" w:type="dxa"/>
            <w:vAlign w:val="bottom"/>
            <w:gridSpan w:val="2"/>
          </w:tcPr>
          <w:p>
            <w:pPr>
              <w:ind w:left="1160"/>
              <w:spacing w:after="0"/>
              <w:rPr>
                <w:sz w:val="20"/>
                <w:szCs w:val="20"/>
                <w:color w:val="auto"/>
              </w:rPr>
            </w:pPr>
            <w:r>
              <w:rPr>
                <w:rFonts w:ascii="Arial" w:cs="Arial" w:eastAsia="Arial" w:hAnsi="Arial"/>
                <w:sz w:val="18"/>
                <w:szCs w:val="18"/>
                <w:color w:val="auto"/>
              </w:rPr>
              <w:t>Mortgage-backed securities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36,262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38,601</w:t>
            </w: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36,935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130,085</w:t>
            </w:r>
          </w:p>
        </w:tc>
        <w:tc>
          <w:tcPr>
            <w:tcW w:w="1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20" w:type="dxa"/>
            <w:vAlign w:val="bottom"/>
            <w:vMerge w:val="restart"/>
          </w:tcPr>
          <w:p>
            <w:pPr>
              <w:jc w:val="right"/>
              <w:ind w:right="152"/>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16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Note 17 – Fair Value of Financial Instruments (Continued)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3"/>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Quoted Prices in</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Significant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Active Markets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Observable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Observable</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for Identical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Inputs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Inputs</w:t>
            </w:r>
          </w:p>
        </w:tc>
      </w:tr>
      <w:tr>
        <w:trPr>
          <w:trHeight w:val="224"/>
        </w:trPr>
        <w:tc>
          <w:tcPr>
            <w:tcW w:w="1160" w:type="dxa"/>
            <w:vAlign w:val="bottom"/>
          </w:tcPr>
          <w:p>
            <w:pPr>
              <w:spacing w:after="0"/>
              <w:rPr>
                <w:sz w:val="19"/>
                <w:szCs w:val="19"/>
                <w:color w:val="auto"/>
              </w:rPr>
            </w:pPr>
          </w:p>
        </w:tc>
        <w:tc>
          <w:tcPr>
            <w:tcW w:w="4060" w:type="dxa"/>
            <w:vAlign w:val="bottom"/>
          </w:tcPr>
          <w:p>
            <w:pPr>
              <w:ind w:left="1700"/>
              <w:spacing w:after="0"/>
              <w:rPr>
                <w:sz w:val="20"/>
                <w:szCs w:val="20"/>
                <w:color w:val="auto"/>
              </w:rPr>
            </w:pPr>
            <w:r>
              <w:rPr>
                <w:rFonts w:ascii="Arial" w:cs="Arial" w:eastAsia="Arial" w:hAnsi="Arial"/>
                <w:sz w:val="18"/>
                <w:szCs w:val="18"/>
                <w:color w:val="auto"/>
              </w:rPr>
              <w:t>December 31, 2017</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Assets (Level 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(Level 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(Level 3)</w:t>
            </w:r>
          </w:p>
        </w:tc>
      </w:tr>
      <w:tr>
        <w:trPr>
          <w:trHeight w:val="217"/>
        </w:trPr>
        <w:tc>
          <w:tcPr>
            <w:tcW w:w="1160" w:type="dxa"/>
            <w:vAlign w:val="bottom"/>
          </w:tcPr>
          <w:p>
            <w:pPr>
              <w:spacing w:after="0"/>
              <w:rPr>
                <w:sz w:val="18"/>
                <w:szCs w:val="18"/>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Assets-(Securities Available-for-Sale)</w:t>
            </w:r>
          </w:p>
        </w:tc>
        <w:tc>
          <w:tcPr>
            <w:tcW w:w="8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U.S. Treasury</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20,978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80,466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Mortgage-backed securities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39,510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54,016</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FF0FC"/>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20,978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173,992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8"/>
                <w:szCs w:val="18"/>
                <w:color w:val="auto"/>
                <w:w w:val="87"/>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13"/>
          </w:tcPr>
          <w:p>
            <w:pPr>
              <w:jc w:val="center"/>
              <w:ind w:right="240"/>
              <w:spacing w:after="0"/>
              <w:rPr>
                <w:sz w:val="20"/>
                <w:szCs w:val="20"/>
                <w:color w:val="auto"/>
              </w:rPr>
            </w:pPr>
            <w:r>
              <w:rPr>
                <w:rFonts w:ascii="Arial" w:cs="Arial" w:eastAsia="Arial" w:hAnsi="Arial"/>
                <w:sz w:val="18"/>
                <w:szCs w:val="18"/>
                <w:color w:val="auto"/>
                <w:w w:val="88"/>
              </w:rPr>
              <w:t>Fair Value Measurements Using 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11"/>
          </w:tcPr>
          <w:p>
            <w:pPr>
              <w:jc w:val="center"/>
              <w:ind w:right="52"/>
              <w:spacing w:after="0"/>
              <w:rPr>
                <w:sz w:val="20"/>
                <w:szCs w:val="20"/>
                <w:color w:val="auto"/>
              </w:rPr>
            </w:pPr>
            <w:r>
              <w:rPr>
                <w:rFonts w:ascii="Arial" w:cs="Arial" w:eastAsia="Arial" w:hAnsi="Arial"/>
                <w:sz w:val="18"/>
                <w:szCs w:val="18"/>
                <w:color w:val="auto"/>
                <w:w w:val="89"/>
              </w:rPr>
              <w:t>Unobservable Inputs (Level 3)</w:t>
            </w:r>
          </w:p>
        </w:tc>
        <w:tc>
          <w:tcPr>
            <w:tcW w:w="100" w:type="dxa"/>
            <w:vAlign w:val="bottom"/>
            <w:gridSpan w:val="2"/>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State and Local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8"/>
                <w:szCs w:val="18"/>
                <w:color w:val="auto"/>
                <w:w w:val="87"/>
              </w:rPr>
              <w:t>State and Local</w:t>
            </w:r>
          </w:p>
        </w:tc>
        <w:tc>
          <w:tcPr>
            <w:tcW w:w="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8"/>
                <w:szCs w:val="18"/>
                <w:color w:val="auto"/>
                <w:w w:val="87"/>
              </w:rPr>
              <w:t>State and Local</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86"/>
              </w:rPr>
              <w:t>Governments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color w:val="auto"/>
                <w:w w:val="86"/>
              </w:rPr>
              <w:t>Governments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Governments</w:t>
            </w:r>
          </w:p>
        </w:tc>
      </w:tr>
      <w:tr>
        <w:trPr>
          <w:trHeight w:val="224"/>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8"/>
              </w:rPr>
              <w:t>Tax-Exempt</w:t>
            </w: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Taxable</w:t>
            </w:r>
          </w:p>
        </w:tc>
        <w:tc>
          <w:tcPr>
            <w:tcW w:w="180" w:type="dxa"/>
            <w:vAlign w:val="bottom"/>
            <w:tcBorders>
              <w:bottom w:val="single" w:sz="8" w:color="CFF0FC"/>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9"/>
              </w:rPr>
              <w:t>Total</w:t>
            </w:r>
          </w:p>
        </w:tc>
        <w:tc>
          <w:tcPr>
            <w:tcW w:w="100" w:type="dxa"/>
            <w:vAlign w:val="bottom"/>
            <w:tcBorders>
              <w:bottom w:val="single" w:sz="8" w:color="CFF0FC"/>
            </w:tcBorders>
            <w:gridSpan w:val="2"/>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Change in Market Value</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Sales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Balance at December 31, 2018</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5"/>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87"/>
              </w:rPr>
              <w:t>(In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gridSpan w:val="13"/>
          </w:tcPr>
          <w:p>
            <w:pPr>
              <w:jc w:val="center"/>
              <w:ind w:right="220"/>
              <w:spacing w:after="0"/>
              <w:rPr>
                <w:sz w:val="20"/>
                <w:szCs w:val="20"/>
                <w:color w:val="auto"/>
              </w:rPr>
            </w:pPr>
            <w:r>
              <w:rPr>
                <w:rFonts w:ascii="Arial" w:cs="Arial" w:eastAsia="Arial" w:hAnsi="Arial"/>
                <w:sz w:val="18"/>
                <w:szCs w:val="18"/>
                <w:color w:val="auto"/>
                <w:w w:val="89"/>
              </w:rPr>
              <w:t>Fair Value Measurements Using Significant</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12"/>
          </w:tcPr>
          <w:p>
            <w:pPr>
              <w:jc w:val="center"/>
              <w:ind w:right="140"/>
              <w:spacing w:after="0"/>
              <w:rPr>
                <w:sz w:val="20"/>
                <w:szCs w:val="20"/>
                <w:color w:val="auto"/>
              </w:rPr>
            </w:pPr>
            <w:r>
              <w:rPr>
                <w:rFonts w:ascii="Arial" w:cs="Arial" w:eastAsia="Arial" w:hAnsi="Arial"/>
                <w:sz w:val="18"/>
                <w:szCs w:val="18"/>
                <w:color w:val="auto"/>
                <w:w w:val="89"/>
              </w:rPr>
              <w:t>Unobservable Inputs (Level 3)</w:t>
            </w:r>
          </w:p>
        </w:tc>
        <w:tc>
          <w:tcPr>
            <w:tcW w:w="80" w:type="dxa"/>
            <w:vAlign w:val="bottom"/>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8"/>
                <w:szCs w:val="18"/>
                <w:color w:val="auto"/>
                <w:w w:val="86"/>
              </w:rPr>
              <w:t>State and Local</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8"/>
                <w:szCs w:val="18"/>
                <w:color w:val="auto"/>
                <w:w w:val="86"/>
              </w:rPr>
              <w:t>State and Local</w:t>
            </w:r>
          </w:p>
        </w:tc>
        <w:tc>
          <w:tcPr>
            <w:tcW w:w="20" w:type="dxa"/>
            <w:vAlign w:val="bottom"/>
          </w:tcPr>
          <w:p>
            <w:pPr>
              <w:spacing w:after="0"/>
              <w:rPr>
                <w:sz w:val="18"/>
                <w:szCs w:val="18"/>
                <w:color w:val="auto"/>
              </w:rPr>
            </w:pPr>
          </w:p>
        </w:tc>
        <w:tc>
          <w:tcPr>
            <w:tcW w:w="1340" w:type="dxa"/>
            <w:vAlign w:val="bottom"/>
            <w:gridSpan w:val="4"/>
          </w:tcPr>
          <w:p>
            <w:pPr>
              <w:jc w:val="center"/>
              <w:ind w:right="100"/>
              <w:spacing w:after="0"/>
              <w:rPr>
                <w:sz w:val="20"/>
                <w:szCs w:val="20"/>
                <w:color w:val="auto"/>
              </w:rPr>
            </w:pPr>
            <w:r>
              <w:rPr>
                <w:rFonts w:ascii="Arial" w:cs="Arial" w:eastAsia="Arial" w:hAnsi="Arial"/>
                <w:sz w:val="18"/>
                <w:szCs w:val="18"/>
                <w:color w:val="auto"/>
                <w:w w:val="86"/>
              </w:rPr>
              <w:t>State and Local</w:t>
            </w:r>
          </w:p>
        </w:tc>
      </w:tr>
      <w:tr>
        <w:trPr>
          <w:trHeight w:val="224"/>
        </w:trPr>
        <w:tc>
          <w:tcPr>
            <w:tcW w:w="116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Governments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Governments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Governments</w:t>
            </w:r>
          </w:p>
        </w:tc>
      </w:tr>
      <w:tr>
        <w:trPr>
          <w:trHeight w:val="224"/>
        </w:trPr>
        <w:tc>
          <w:tcPr>
            <w:tcW w:w="1160" w:type="dxa"/>
            <w:vAlign w:val="bottom"/>
          </w:tcPr>
          <w:p>
            <w:pPr>
              <w:spacing w:after="0"/>
              <w:rPr>
                <w:sz w:val="19"/>
                <w:szCs w:val="19"/>
                <w:color w:val="auto"/>
              </w:rPr>
            </w:pPr>
          </w:p>
        </w:tc>
        <w:tc>
          <w:tcPr>
            <w:tcW w:w="40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color w:val="auto"/>
                <w:w w:val="90"/>
              </w:rPr>
              <w:t>Tax-Exempt</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87"/>
              </w:rPr>
              <w:t>Taxable</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9"/>
              </w:rPr>
              <w:t>Total</w:t>
            </w:r>
          </w:p>
        </w:tc>
        <w:tc>
          <w:tcPr>
            <w:tcW w:w="80" w:type="dxa"/>
            <w:vAlign w:val="bottom"/>
            <w:tcBorders>
              <w:bottom w:val="single" w:sz="8" w:color="CFF0FC"/>
            </w:tcBorders>
          </w:tcPr>
          <w:p>
            <w:pPr>
              <w:spacing w:after="0"/>
              <w:rPr>
                <w:sz w:val="19"/>
                <w:szCs w:val="19"/>
                <w:color w:val="auto"/>
              </w:rPr>
            </w:pPr>
          </w:p>
        </w:tc>
      </w:tr>
      <w:tr>
        <w:trPr>
          <w:trHeight w:val="217"/>
        </w:trPr>
        <w:tc>
          <w:tcPr>
            <w:tcW w:w="11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FF0FC"/>
          </w:tcPr>
          <w:p>
            <w:pPr>
              <w:spacing w:after="0"/>
              <w:rPr>
                <w:sz w:val="18"/>
                <w:szCs w:val="18"/>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Change in Market Value</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Purchases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4"/>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Sales</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4"/>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17"/>
        </w:trPr>
        <w:tc>
          <w:tcPr>
            <w:tcW w:w="5220" w:type="dxa"/>
            <w:vAlign w:val="bottom"/>
            <w:gridSpan w:val="2"/>
          </w:tcPr>
          <w:p>
            <w:pPr>
              <w:ind w:left="1160"/>
              <w:spacing w:after="0"/>
              <w:rPr>
                <w:sz w:val="20"/>
                <w:szCs w:val="20"/>
                <w:color w:val="auto"/>
              </w:rPr>
            </w:pPr>
            <w:r>
              <w:rPr>
                <w:rFonts w:ascii="Arial" w:cs="Arial" w:eastAsia="Arial" w:hAnsi="Arial"/>
                <w:sz w:val="18"/>
                <w:szCs w:val="18"/>
                <w:color w:val="auto"/>
              </w:rPr>
              <w:t>Balance at December 31, 2017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820"/>
        <w:spacing w:after="0" w:line="262" w:lineRule="auto"/>
        <w:rPr>
          <w:sz w:val="20"/>
          <w:szCs w:val="20"/>
          <w:color w:val="auto"/>
        </w:rPr>
      </w:pPr>
      <w:r>
        <w:rPr>
          <w:rFonts w:ascii="Arial" w:cs="Arial" w:eastAsia="Arial" w:hAnsi="Arial"/>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There have been no transfers into or out of Level 3 during 2018 and 2017.</w:t>
      </w:r>
    </w:p>
    <w:p>
      <w:pPr>
        <w:spacing w:after="0" w:line="109"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December 31, 2018 and 2017,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334" w:lineRule="exact"/>
        <w:rPr>
          <w:sz w:val="20"/>
          <w:szCs w:val="20"/>
          <w:color w:val="auto"/>
        </w:rPr>
      </w:pPr>
    </w:p>
    <w:p>
      <w:pPr>
        <w:jc w:val="both"/>
        <w:ind w:left="820" w:right="20"/>
        <w:spacing w:after="0" w:line="253" w:lineRule="auto"/>
        <w:rPr>
          <w:sz w:val="20"/>
          <w:szCs w:val="20"/>
          <w:color w:val="auto"/>
        </w:rPr>
      </w:pPr>
      <w:r>
        <w:rPr>
          <w:rFonts w:ascii="Arial" w:cs="Arial" w:eastAsia="Arial" w:hAnsi="Arial"/>
          <w:sz w:val="18"/>
          <w:szCs w:val="18"/>
          <w:color w:val="auto"/>
        </w:rPr>
        <w:t>At December 31, 2018 and 2017, collateral dependent impaired loans categorized as Level 3 were $215 and $508 thousand, respectively. The specific allocation for collateral dependent impaired loans was $31 thousand as of December 31, 2018 and $106 thousand as of December 31, 2017, respectively, which are accounted for in the allowance for loan losses (see Note 4).</w:t>
      </w:r>
    </w:p>
    <w:p>
      <w:pPr>
        <w:spacing w:after="0" w:line="83" w:lineRule="exact"/>
        <w:rPr>
          <w:sz w:val="20"/>
          <w:szCs w:val="20"/>
          <w:color w:val="auto"/>
        </w:rPr>
      </w:pPr>
    </w:p>
    <w:p>
      <w:pPr>
        <w:jc w:val="both"/>
        <w:ind w:left="820" w:right="20"/>
        <w:spacing w:after="0" w:line="248" w:lineRule="auto"/>
        <w:rPr>
          <w:sz w:val="20"/>
          <w:szCs w:val="20"/>
          <w:color w:val="auto"/>
        </w:rPr>
      </w:pPr>
      <w:r>
        <w:rPr>
          <w:rFonts w:ascii="Arial" w:cs="Arial" w:eastAsia="Arial" w:hAnsi="Arial"/>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8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collateral dependent impaired loans and other real estate owned as recorded at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8"/>
                <w:szCs w:val="18"/>
                <w:color w:val="auto"/>
                <w:w w:val="87"/>
              </w:rPr>
              <w:t>($ in Thousands)</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gridSpan w:val="15"/>
          </w:tcPr>
          <w:p>
            <w:pPr>
              <w:jc w:val="center"/>
              <w:ind w:left="52"/>
              <w:spacing w:after="0"/>
              <w:rPr>
                <w:sz w:val="20"/>
                <w:szCs w:val="20"/>
                <w:color w:val="auto"/>
              </w:rPr>
            </w:pPr>
            <w:r>
              <w:rPr>
                <w:rFonts w:ascii="Arial" w:cs="Arial" w:eastAsia="Arial" w:hAnsi="Arial"/>
                <w:sz w:val="18"/>
                <w:szCs w:val="18"/>
                <w:color w:val="auto"/>
                <w:w w:val="87"/>
              </w:rPr>
              <w:t>Assets Measured at Fair Value on a Nonrecurring Basis at December 31, 2018</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88"/>
              </w:rPr>
              <w:t>Quoted Prices 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ind w:left="72"/>
              <w:spacing w:after="0"/>
              <w:rPr>
                <w:sz w:val="20"/>
                <w:szCs w:val="20"/>
                <w:color w:val="auto"/>
              </w:rPr>
            </w:pPr>
            <w:r>
              <w:rPr>
                <w:rFonts w:ascii="Arial" w:cs="Arial" w:eastAsia="Arial" w:hAnsi="Arial"/>
                <w:sz w:val="18"/>
                <w:szCs w:val="18"/>
                <w:color w:val="auto"/>
                <w:w w:val="93"/>
              </w:rPr>
              <w:t>Significant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left="232"/>
              <w:spacing w:after="0"/>
              <w:rPr>
                <w:sz w:val="20"/>
                <w:szCs w:val="20"/>
                <w:color w:val="auto"/>
              </w:rPr>
            </w:pPr>
            <w:r>
              <w:rPr>
                <w:rFonts w:ascii="Arial" w:cs="Arial" w:eastAsia="Arial" w:hAnsi="Arial"/>
                <w:sz w:val="18"/>
                <w:szCs w:val="18"/>
                <w:color w:val="auto"/>
                <w:w w:val="91"/>
              </w:rPr>
              <w:t>Significant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292"/>
              <w:spacing w:after="0"/>
              <w:rPr>
                <w:sz w:val="20"/>
                <w:szCs w:val="20"/>
                <w:color w:val="auto"/>
              </w:rPr>
            </w:pPr>
            <w:r>
              <w:rPr>
                <w:rFonts w:ascii="Arial" w:cs="Arial" w:eastAsia="Arial" w:hAnsi="Arial"/>
                <w:sz w:val="18"/>
                <w:szCs w:val="18"/>
                <w:color w:val="auto"/>
              </w:rPr>
              <w:t>Balance at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jc w:val="center"/>
              <w:ind w:left="12"/>
              <w:spacing w:after="0"/>
              <w:rPr>
                <w:sz w:val="20"/>
                <w:szCs w:val="20"/>
                <w:color w:val="auto"/>
              </w:rPr>
            </w:pPr>
            <w:r>
              <w:rPr>
                <w:rFonts w:ascii="Arial" w:cs="Arial" w:eastAsia="Arial" w:hAnsi="Arial"/>
                <w:sz w:val="18"/>
                <w:szCs w:val="18"/>
                <w:color w:val="auto"/>
                <w:w w:val="92"/>
              </w:rPr>
              <w:t>Identical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Observable Inputs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4"/>
          </w:tcPr>
          <w:p>
            <w:pPr>
              <w:jc w:val="center"/>
              <w:ind w:right="100"/>
              <w:spacing w:after="0"/>
              <w:rPr>
                <w:sz w:val="20"/>
                <w:szCs w:val="20"/>
                <w:color w:val="auto"/>
              </w:rPr>
            </w:pPr>
            <w:r>
              <w:rPr>
                <w:rFonts w:ascii="Arial" w:cs="Arial" w:eastAsia="Arial" w:hAnsi="Arial"/>
                <w:sz w:val="18"/>
                <w:szCs w:val="18"/>
                <w:color w:val="auto"/>
                <w:w w:val="87"/>
              </w:rPr>
              <w:t>Unobservable Inputs</w:t>
            </w: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December 31, 2018</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color w:val="auto"/>
                <w:w w:val="88"/>
              </w:rPr>
              <w:t>Assets (Level 1)</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30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16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1"/>
              </w:rPr>
              <w:t>(Level 3)</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8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w:t>
            </w:r>
          </w:p>
        </w:tc>
        <w:tc>
          <w:tcPr>
            <w:tcW w:w="860" w:type="dxa"/>
            <w:vAlign w:val="bottom"/>
            <w:gridSpan w:val="3"/>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32"/>
              <w:spacing w:after="0"/>
              <w:rPr>
                <w:sz w:val="20"/>
                <w:szCs w:val="20"/>
                <w:color w:val="auto"/>
              </w:rPr>
            </w:pPr>
            <w:r>
              <w:rPr>
                <w:rFonts w:ascii="Arial" w:cs="Arial" w:eastAsia="Arial" w:hAnsi="Arial"/>
                <w:sz w:val="18"/>
                <w:szCs w:val="18"/>
                <w:color w:val="auto"/>
                <w:w w:val="99"/>
              </w:rPr>
              <w:t>$</w:t>
            </w:r>
          </w:p>
        </w:tc>
        <w:tc>
          <w:tcPr>
            <w:tcW w:w="1620" w:type="dxa"/>
            <w:vAlign w:val="bottom"/>
            <w:gridSpan w:val="4"/>
            <w:shd w:val="clear" w:color="auto" w:fill="CFF0FC"/>
          </w:tcPr>
          <w:p>
            <w:pPr>
              <w:ind w:left="40"/>
              <w:spacing w:after="0"/>
              <w:rPr>
                <w:sz w:val="20"/>
                <w:szCs w:val="20"/>
                <w:color w:val="auto"/>
              </w:rPr>
            </w:pPr>
            <w:r>
              <w:rPr>
                <w:rFonts w:ascii="Arial" w:cs="Arial" w:eastAsia="Arial" w:hAnsi="Arial"/>
                <w:sz w:val="18"/>
                <w:szCs w:val="18"/>
                <w:color w:val="auto"/>
              </w:rPr>
              <w:t>-   $</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FF0FC"/>
          </w:tcPr>
          <w:p>
            <w:pPr>
              <w:jc w:val="right"/>
              <w:ind w:right="97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215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316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434"/>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center"/>
              <w:ind w:right="372"/>
              <w:spacing w:after="0"/>
              <w:rPr>
                <w:sz w:val="20"/>
                <w:szCs w:val="20"/>
                <w:color w:val="auto"/>
              </w:rPr>
            </w:pPr>
            <w:r>
              <w:rPr>
                <w:rFonts w:ascii="Arial" w:cs="Arial" w:eastAsia="Arial" w:hAnsi="Arial"/>
                <w:sz w:val="18"/>
                <w:szCs w:val="18"/>
                <w:color w:val="auto"/>
                <w:w w:val="88"/>
              </w:rPr>
              <w:t>($ in Thousands)</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20" w:type="dxa"/>
            <w:vAlign w:val="bottom"/>
            <w:tcBorders>
              <w:bottom w:val="single" w:sz="8" w:color="auto"/>
            </w:tcBorders>
            <w:gridSpan w:val="15"/>
          </w:tcPr>
          <w:p>
            <w:pPr>
              <w:jc w:val="center"/>
              <w:ind w:right="12"/>
              <w:spacing w:after="0"/>
              <w:rPr>
                <w:sz w:val="20"/>
                <w:szCs w:val="20"/>
                <w:color w:val="auto"/>
              </w:rPr>
            </w:pPr>
            <w:r>
              <w:rPr>
                <w:rFonts w:ascii="Arial" w:cs="Arial" w:eastAsia="Arial" w:hAnsi="Arial"/>
                <w:sz w:val="18"/>
                <w:szCs w:val="18"/>
                <w:color w:val="auto"/>
                <w:w w:val="87"/>
              </w:rPr>
              <w:t>Assets Measured at Fair Value on a Nonrecurring Basis at December 31, 2017</w:t>
            </w:r>
          </w:p>
        </w:tc>
        <w:tc>
          <w:tcPr>
            <w:tcW w:w="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8"/>
                <w:szCs w:val="18"/>
                <w:color w:val="auto"/>
                <w:w w:val="87"/>
              </w:rPr>
              <w:t>Quoted Prices in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color w:val="auto"/>
                <w:w w:val="91"/>
              </w:rPr>
              <w:t>Markets for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Significant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jc w:val="center"/>
              <w:ind w:left="152"/>
              <w:spacing w:after="0"/>
              <w:rPr>
                <w:sz w:val="20"/>
                <w:szCs w:val="20"/>
                <w:color w:val="auto"/>
              </w:rPr>
            </w:pPr>
            <w:r>
              <w:rPr>
                <w:rFonts w:ascii="Arial" w:cs="Arial" w:eastAsia="Arial" w:hAnsi="Arial"/>
                <w:sz w:val="18"/>
                <w:szCs w:val="18"/>
                <w:color w:val="auto"/>
                <w:w w:val="91"/>
              </w:rPr>
              <w:t>Significant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Balance at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jc w:val="center"/>
              <w:ind w:right="92"/>
              <w:spacing w:after="0"/>
              <w:rPr>
                <w:sz w:val="20"/>
                <w:szCs w:val="20"/>
                <w:color w:val="auto"/>
              </w:rPr>
            </w:pPr>
            <w:r>
              <w:rPr>
                <w:rFonts w:ascii="Arial" w:cs="Arial" w:eastAsia="Arial" w:hAnsi="Arial"/>
                <w:sz w:val="18"/>
                <w:szCs w:val="18"/>
                <w:color w:val="auto"/>
                <w:w w:val="92"/>
              </w:rPr>
              <w:t>Identical</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center"/>
              <w:ind w:left="12"/>
              <w:spacing w:after="0"/>
              <w:rPr>
                <w:sz w:val="20"/>
                <w:szCs w:val="20"/>
                <w:color w:val="auto"/>
              </w:rPr>
            </w:pPr>
            <w:r>
              <w:rPr>
                <w:rFonts w:ascii="Arial" w:cs="Arial" w:eastAsia="Arial" w:hAnsi="Arial"/>
                <w:sz w:val="18"/>
                <w:szCs w:val="18"/>
                <w:color w:val="auto"/>
                <w:w w:val="87"/>
              </w:rPr>
              <w:t>Observable Inputs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Unobservable Inputs</w:t>
            </w:r>
          </w:p>
        </w:tc>
        <w:tc>
          <w:tcPr>
            <w:tcW w:w="580" w:type="dxa"/>
            <w:vAlign w:val="bottom"/>
          </w:tcPr>
          <w:p>
            <w:pPr>
              <w:spacing w:after="0"/>
              <w:rPr>
                <w:sz w:val="19"/>
                <w:szCs w:val="19"/>
                <w:color w:val="auto"/>
              </w:rPr>
            </w:pPr>
          </w:p>
        </w:tc>
      </w:tr>
      <w:tr>
        <w:trPr>
          <w:trHeight w:val="224"/>
        </w:trPr>
        <w:tc>
          <w:tcPr>
            <w:tcW w:w="580" w:type="dxa"/>
            <w:vAlign w:val="bottom"/>
          </w:tcPr>
          <w:p>
            <w:pPr>
              <w:spacing w:after="0"/>
              <w:rPr>
                <w:sz w:val="19"/>
                <w:szCs w:val="19"/>
                <w:color w:val="auto"/>
              </w:rPr>
            </w:pPr>
          </w:p>
        </w:tc>
        <w:tc>
          <w:tcPr>
            <w:tcW w:w="258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December 31, 2017</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9"/>
              </w:rPr>
              <w:t>Assets (Level 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(Level 2)</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91"/>
              </w:rPr>
              <w:t>(Level 3)</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258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Collateral dependent impaired</w:t>
            </w: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loans</w:t>
            </w: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3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05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508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11"/>
        </w:trPr>
        <w:tc>
          <w:tcPr>
            <w:tcW w:w="3160" w:type="dxa"/>
            <w:vAlign w:val="bottom"/>
            <w:gridSpan w:val="2"/>
          </w:tcPr>
          <w:p>
            <w:pPr>
              <w:ind w:left="580"/>
              <w:spacing w:after="0"/>
              <w:rPr>
                <w:sz w:val="20"/>
                <w:szCs w:val="20"/>
                <w:color w:val="auto"/>
              </w:rPr>
            </w:pPr>
            <w:r>
              <w:rPr>
                <w:rFonts w:ascii="Arial" w:cs="Arial" w:eastAsia="Arial" w:hAnsi="Arial"/>
                <w:sz w:val="18"/>
                <w:szCs w:val="18"/>
                <w:color w:val="auto"/>
              </w:rPr>
              <w:t>Other real estate owned -</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80" w:type="dxa"/>
            <w:vAlign w:val="bottom"/>
          </w:tcPr>
          <w:p>
            <w:pPr>
              <w:ind w:left="180"/>
              <w:spacing w:after="0"/>
              <w:rPr>
                <w:sz w:val="20"/>
                <w:szCs w:val="20"/>
                <w:color w:val="auto"/>
              </w:rPr>
            </w:pPr>
            <w:r>
              <w:rPr>
                <w:rFonts w:ascii="Arial" w:cs="Arial" w:eastAsia="Arial" w:hAnsi="Arial"/>
                <w:sz w:val="18"/>
                <w:szCs w:val="18"/>
                <w:color w:val="auto"/>
              </w:rPr>
              <w:t>residential</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2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266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31"/>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2"/>
        </w:trPr>
        <w:tc>
          <w:tcPr>
            <w:tcW w:w="58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Fair Value of Financial Instruments (Continued)</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following table presents quantitative information about unobservable inputs used in recurring and nonrecurring Level 3 fair value measurements: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5"/>
        </w:trPr>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8"/>
              </w:rPr>
              <w:t>Fair Value at</w:t>
            </w: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color w:val="auto"/>
                <w:w w:val="86"/>
              </w:rPr>
              <w:t>December 31,</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3"/>
        </w:trPr>
        <w:tc>
          <w:tcPr>
            <w:tcW w:w="20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2018</w:t>
            </w:r>
          </w:p>
        </w:tc>
        <w:tc>
          <w:tcPr>
            <w:tcW w:w="240" w:type="dxa"/>
            <w:vAlign w:val="bottom"/>
            <w:tcBorders>
              <w:bottom w:val="single" w:sz="8" w:color="CFF0FC"/>
            </w:tcBorders>
          </w:tcPr>
          <w:p>
            <w:pPr>
              <w:spacing w:after="0"/>
              <w:rPr>
                <w:sz w:val="19"/>
                <w:szCs w:val="19"/>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Valuation Technique</w:t>
            </w:r>
          </w:p>
        </w:tc>
        <w:tc>
          <w:tcPr>
            <w:tcW w:w="140" w:type="dxa"/>
            <w:vAlign w:val="bottom"/>
            <w:tcBorders>
              <w:bottom w:val="single" w:sz="8" w:color="CFF0FC"/>
            </w:tcBorders>
          </w:tcPr>
          <w:p>
            <w:pPr>
              <w:spacing w:after="0"/>
              <w:rPr>
                <w:sz w:val="19"/>
                <w:szCs w:val="19"/>
                <w:color w:val="auto"/>
              </w:rPr>
            </w:pPr>
          </w:p>
        </w:tc>
        <w:tc>
          <w:tcPr>
            <w:tcW w:w="3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(Weighted Average)</w:t>
            </w:r>
          </w:p>
        </w:tc>
      </w:tr>
      <w:tr>
        <w:trPr>
          <w:trHeight w:val="205"/>
        </w:trPr>
        <w:tc>
          <w:tcPr>
            <w:tcW w:w="20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w w:val="95"/>
              </w:rPr>
              <w:t>Credit strength of underlying project or entity</w:t>
            </w:r>
          </w:p>
        </w:tc>
        <w:tc>
          <w:tcPr>
            <w:tcW w:w="162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90"/>
              </w:rPr>
              <w:t>0-5%</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1,427</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Discount rate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(3.51%)</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Collateral dependent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Collateral based</w:t>
            </w:r>
          </w:p>
        </w:tc>
        <w:tc>
          <w:tcPr>
            <w:tcW w:w="3400" w:type="dxa"/>
            <w:vAlign w:val="bottom"/>
            <w:gridSpan w:val="2"/>
          </w:tcPr>
          <w:p>
            <w:pPr>
              <w:spacing w:after="0"/>
              <w:rPr>
                <w:sz w:val="20"/>
                <w:szCs w:val="20"/>
                <w:color w:val="auto"/>
              </w:rPr>
            </w:pPr>
            <w:r>
              <w:rPr>
                <w:rFonts w:ascii="Arial" w:cs="Arial" w:eastAsia="Arial" w:hAnsi="Arial"/>
                <w:sz w:val="18"/>
                <w:szCs w:val="18"/>
                <w:color w:val="auto"/>
                <w:w w:val="96"/>
              </w:rPr>
              <w:t>Discount to reflect current market conditions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23"/>
        </w:trPr>
        <w:tc>
          <w:tcPr>
            <w:tcW w:w="20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measurements</w:t>
            </w:r>
          </w:p>
        </w:tc>
        <w:tc>
          <w:tcPr>
            <w:tcW w:w="3400" w:type="dxa"/>
            <w:vAlign w:val="bottom"/>
            <w:gridSpan w:val="2"/>
          </w:tcPr>
          <w:p>
            <w:pPr>
              <w:spacing w:after="0"/>
              <w:rPr>
                <w:sz w:val="20"/>
                <w:szCs w:val="20"/>
                <w:color w:val="auto"/>
              </w:rPr>
            </w:pPr>
            <w:r>
              <w:rPr>
                <w:rFonts w:ascii="Arial" w:cs="Arial" w:eastAsia="Arial" w:hAnsi="Arial"/>
                <w:sz w:val="18"/>
                <w:szCs w:val="18"/>
                <w:color w:val="auto"/>
              </w:rPr>
              <w:t>and ultimate collectability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(12.38%)</w:t>
            </w:r>
          </w:p>
        </w:tc>
      </w:tr>
      <w:tr>
        <w:trPr>
          <w:trHeight w:val="212"/>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 %</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residential</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 — )</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Other real estate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2"/>
              </w:rPr>
              <w:t>— %</w:t>
            </w:r>
          </w:p>
        </w:tc>
      </w:tr>
      <w:tr>
        <w:trPr>
          <w:trHeight w:val="222"/>
        </w:trPr>
        <w:tc>
          <w:tcPr>
            <w:tcW w:w="20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 — )</w:t>
            </w:r>
          </w:p>
        </w:tc>
      </w:tr>
      <w:tr>
        <w:trPr>
          <w:trHeight w:val="435"/>
        </w:trPr>
        <w:tc>
          <w:tcPr>
            <w:tcW w:w="2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7"/>
              </w:rPr>
              <w:t>(In Thousands)</w:t>
            </w:r>
          </w:p>
        </w:tc>
        <w:tc>
          <w:tcPr>
            <w:tcW w:w="2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5"/>
        </w:trPr>
        <w:tc>
          <w:tcPr>
            <w:tcW w:w="2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ind w:right="32"/>
              <w:spacing w:after="0" w:line="205" w:lineRule="exact"/>
              <w:rPr>
                <w:sz w:val="20"/>
                <w:szCs w:val="20"/>
                <w:color w:val="auto"/>
              </w:rPr>
            </w:pPr>
            <w:r>
              <w:rPr>
                <w:rFonts w:ascii="Arial" w:cs="Arial" w:eastAsia="Arial" w:hAnsi="Arial"/>
                <w:sz w:val="18"/>
                <w:szCs w:val="18"/>
                <w:color w:val="auto"/>
                <w:w w:val="88"/>
              </w:rPr>
              <w:t>Fair Value at</w:t>
            </w: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1"/>
        </w:trPr>
        <w:tc>
          <w:tcPr>
            <w:tcW w:w="2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32"/>
              <w:spacing w:after="0"/>
              <w:rPr>
                <w:sz w:val="20"/>
                <w:szCs w:val="20"/>
                <w:color w:val="auto"/>
              </w:rPr>
            </w:pPr>
            <w:r>
              <w:rPr>
                <w:rFonts w:ascii="Arial" w:cs="Arial" w:eastAsia="Arial" w:hAnsi="Arial"/>
                <w:sz w:val="18"/>
                <w:szCs w:val="18"/>
                <w:color w:val="auto"/>
                <w:w w:val="86"/>
              </w:rPr>
              <w:t>December 31,</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6"/>
              </w:rPr>
              <w:t>Range</w:t>
            </w:r>
          </w:p>
        </w:tc>
      </w:tr>
      <w:tr>
        <w:trPr>
          <w:trHeight w:val="223"/>
        </w:trPr>
        <w:tc>
          <w:tcPr>
            <w:tcW w:w="2040" w:type="dxa"/>
            <w:vAlign w:val="bottom"/>
            <w:tcBorders>
              <w:bottom w:val="single" w:sz="8" w:color="CFF0FC"/>
            </w:tcBorders>
          </w:tcPr>
          <w:p>
            <w:pPr>
              <w:spacing w:after="0"/>
              <w:rPr>
                <w:sz w:val="19"/>
                <w:szCs w:val="19"/>
                <w:color w:val="auto"/>
              </w:rPr>
            </w:pP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84"/>
              </w:rPr>
              <w:t>2017</w:t>
            </w:r>
          </w:p>
        </w:tc>
        <w:tc>
          <w:tcPr>
            <w:tcW w:w="240" w:type="dxa"/>
            <w:vAlign w:val="bottom"/>
            <w:tcBorders>
              <w:bottom w:val="single" w:sz="8" w:color="CFF0FC"/>
            </w:tcBorders>
          </w:tcPr>
          <w:p>
            <w:pPr>
              <w:spacing w:after="0"/>
              <w:rPr>
                <w:sz w:val="19"/>
                <w:szCs w:val="19"/>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Valuation Technique</w:t>
            </w:r>
          </w:p>
        </w:tc>
        <w:tc>
          <w:tcPr>
            <w:tcW w:w="140" w:type="dxa"/>
            <w:vAlign w:val="bottom"/>
            <w:tcBorders>
              <w:bottom w:val="single" w:sz="8" w:color="CFF0FC"/>
            </w:tcBorders>
          </w:tcPr>
          <w:p>
            <w:pPr>
              <w:spacing w:after="0"/>
              <w:rPr>
                <w:sz w:val="19"/>
                <w:szCs w:val="19"/>
                <w:color w:val="auto"/>
              </w:rPr>
            </w:pPr>
          </w:p>
        </w:tc>
        <w:tc>
          <w:tcPr>
            <w:tcW w:w="32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Unobservable Inputs</w:t>
            </w:r>
          </w:p>
        </w:tc>
        <w:tc>
          <w:tcPr>
            <w:tcW w:w="120" w:type="dxa"/>
            <w:vAlign w:val="bottom"/>
            <w:tcBorders>
              <w:bottom w:val="single" w:sz="8" w:color="CFF0FC"/>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(Weighted Average)</w:t>
            </w:r>
          </w:p>
        </w:tc>
      </w:tr>
      <w:tr>
        <w:trPr>
          <w:trHeight w:val="205"/>
        </w:trPr>
        <w:tc>
          <w:tcPr>
            <w:tcW w:w="204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State and local</w:t>
            </w:r>
          </w:p>
        </w:tc>
        <w:tc>
          <w:tcPr>
            <w:tcW w:w="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w w:val="95"/>
              </w:rPr>
              <w:t>Credit strength of underlying project or entity</w:t>
            </w:r>
          </w:p>
        </w:tc>
        <w:tc>
          <w:tcPr>
            <w:tcW w:w="1620" w:type="dxa"/>
            <w:vAlign w:val="bottom"/>
            <w:shd w:val="clear" w:color="auto" w:fill="CFF0FC"/>
          </w:tcPr>
          <w:p>
            <w:pPr>
              <w:jc w:val="center"/>
              <w:spacing w:after="0" w:line="205" w:lineRule="exact"/>
              <w:rPr>
                <w:sz w:val="20"/>
                <w:szCs w:val="20"/>
                <w:color w:val="auto"/>
              </w:rPr>
            </w:pPr>
            <w:r>
              <w:rPr>
                <w:rFonts w:ascii="Arial" w:cs="Arial" w:eastAsia="Arial" w:hAnsi="Arial"/>
                <w:sz w:val="18"/>
                <w:szCs w:val="18"/>
                <w:color w:val="auto"/>
                <w:w w:val="90"/>
              </w:rPr>
              <w:t>0-5%</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government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Discount rate</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(3.68%)</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Collateral dependent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Collateral based</w:t>
            </w:r>
          </w:p>
        </w:tc>
        <w:tc>
          <w:tcPr>
            <w:tcW w:w="3400" w:type="dxa"/>
            <w:vAlign w:val="bottom"/>
            <w:gridSpan w:val="2"/>
          </w:tcPr>
          <w:p>
            <w:pPr>
              <w:spacing w:after="0"/>
              <w:rPr>
                <w:sz w:val="20"/>
                <w:szCs w:val="20"/>
                <w:color w:val="auto"/>
              </w:rPr>
            </w:pPr>
            <w:r>
              <w:rPr>
                <w:rFonts w:ascii="Arial" w:cs="Arial" w:eastAsia="Arial" w:hAnsi="Arial"/>
                <w:sz w:val="18"/>
                <w:szCs w:val="18"/>
                <w:color w:val="auto"/>
                <w:w w:val="96"/>
              </w:rPr>
              <w:t>Discount to reflect current market conditions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0-50%</w:t>
            </w:r>
          </w:p>
        </w:tc>
      </w:tr>
      <w:tr>
        <w:trPr>
          <w:trHeight w:val="223"/>
        </w:trPr>
        <w:tc>
          <w:tcPr>
            <w:tcW w:w="2040" w:type="dxa"/>
            <w:vAlign w:val="bottom"/>
          </w:tcPr>
          <w:p>
            <w:pPr>
              <w:ind w:left="140"/>
              <w:spacing w:after="0"/>
              <w:rPr>
                <w:sz w:val="20"/>
                <w:szCs w:val="20"/>
                <w:color w:val="auto"/>
              </w:rPr>
            </w:pPr>
            <w:r>
              <w:rPr>
                <w:rFonts w:ascii="Arial" w:cs="Arial" w:eastAsia="Arial" w:hAnsi="Arial"/>
                <w:sz w:val="18"/>
                <w:szCs w:val="18"/>
                <w:color w:val="auto"/>
              </w:rPr>
              <w:t>impaired loans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measurements</w:t>
            </w:r>
          </w:p>
        </w:tc>
        <w:tc>
          <w:tcPr>
            <w:tcW w:w="3400" w:type="dxa"/>
            <w:vAlign w:val="bottom"/>
            <w:gridSpan w:val="2"/>
          </w:tcPr>
          <w:p>
            <w:pPr>
              <w:spacing w:after="0"/>
              <w:rPr>
                <w:sz w:val="20"/>
                <w:szCs w:val="20"/>
                <w:color w:val="auto"/>
              </w:rPr>
            </w:pPr>
            <w:r>
              <w:rPr>
                <w:rFonts w:ascii="Arial" w:cs="Arial" w:eastAsia="Arial" w:hAnsi="Arial"/>
                <w:sz w:val="18"/>
                <w:szCs w:val="18"/>
                <w:color w:val="auto"/>
              </w:rPr>
              <w:t>and ultimate collectability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(17.28%)</w:t>
            </w:r>
          </w:p>
        </w:tc>
      </w:tr>
      <w:tr>
        <w:trPr>
          <w:trHeight w:val="212"/>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0-20%</w:t>
            </w:r>
          </w:p>
        </w:tc>
      </w:tr>
      <w:tr>
        <w:trPr>
          <w:trHeight w:val="223"/>
        </w:trPr>
        <w:tc>
          <w:tcPr>
            <w:tcW w:w="2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residential</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5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(2.22%)</w:t>
            </w:r>
          </w:p>
        </w:tc>
      </w:tr>
      <w:tr>
        <w:trPr>
          <w:trHeight w:val="211"/>
        </w:trPr>
        <w:tc>
          <w:tcPr>
            <w:tcW w:w="2040" w:type="dxa"/>
            <w:vAlign w:val="bottom"/>
          </w:tcPr>
          <w:p>
            <w:pPr>
              <w:spacing w:after="0"/>
              <w:rPr>
                <w:sz w:val="20"/>
                <w:szCs w:val="20"/>
                <w:color w:val="auto"/>
              </w:rPr>
            </w:pPr>
            <w:r>
              <w:rPr>
                <w:rFonts w:ascii="Arial" w:cs="Arial" w:eastAsia="Arial" w:hAnsi="Arial"/>
                <w:sz w:val="18"/>
                <w:szCs w:val="18"/>
                <w:color w:val="auto"/>
              </w:rPr>
              <w:t>Other real estate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0-20%</w:t>
            </w:r>
          </w:p>
        </w:tc>
      </w:tr>
      <w:tr>
        <w:trPr>
          <w:trHeight w:val="222"/>
        </w:trPr>
        <w:tc>
          <w:tcPr>
            <w:tcW w:w="2040" w:type="dxa"/>
            <w:vAlign w:val="bottom"/>
          </w:tcPr>
          <w:p>
            <w:pPr>
              <w:ind w:left="140"/>
              <w:spacing w:after="0"/>
              <w:rPr>
                <w:sz w:val="20"/>
                <w:szCs w:val="20"/>
                <w:color w:val="auto"/>
              </w:rPr>
            </w:pPr>
            <w:r>
              <w:rPr>
                <w:rFonts w:ascii="Arial" w:cs="Arial" w:eastAsia="Arial" w:hAnsi="Arial"/>
                <w:sz w:val="18"/>
                <w:szCs w:val="18"/>
                <w:color w:val="auto"/>
              </w:rPr>
              <w:t>owned - commercial</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266</w:t>
            </w:r>
          </w:p>
        </w:tc>
        <w:tc>
          <w:tcPr>
            <w:tcW w:w="2540" w:type="dxa"/>
            <w:vAlign w:val="bottom"/>
            <w:gridSpan w:val="3"/>
          </w:tcPr>
          <w:p>
            <w:pPr>
              <w:ind w:left="240"/>
              <w:spacing w:after="0"/>
              <w:rPr>
                <w:sz w:val="20"/>
                <w:szCs w:val="20"/>
                <w:color w:val="auto"/>
              </w:rPr>
            </w:pPr>
            <w:r>
              <w:rPr>
                <w:rFonts w:ascii="Arial" w:cs="Arial" w:eastAsia="Arial" w:hAnsi="Arial"/>
                <w:sz w:val="18"/>
                <w:szCs w:val="18"/>
                <w:color w:val="auto"/>
              </w:rPr>
              <w:t>Appraisals</w:t>
            </w:r>
          </w:p>
        </w:tc>
        <w:tc>
          <w:tcPr>
            <w:tcW w:w="3400" w:type="dxa"/>
            <w:vAlign w:val="bottom"/>
            <w:gridSpan w:val="2"/>
          </w:tcPr>
          <w:p>
            <w:pPr>
              <w:spacing w:after="0"/>
              <w:rPr>
                <w:sz w:val="20"/>
                <w:szCs w:val="20"/>
                <w:color w:val="auto"/>
              </w:rPr>
            </w:pPr>
            <w:r>
              <w:rPr>
                <w:rFonts w:ascii="Arial" w:cs="Arial" w:eastAsia="Arial" w:hAnsi="Arial"/>
                <w:sz w:val="18"/>
                <w:szCs w:val="18"/>
                <w:color w:val="auto"/>
              </w:rPr>
              <w:t>Discount to reflect current market</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(5.15%)</w:t>
            </w:r>
          </w:p>
        </w:tc>
      </w:tr>
    </w:tbl>
    <w:p>
      <w:pPr>
        <w:spacing w:after="0" w:line="199" w:lineRule="exact"/>
        <w:rPr>
          <w:sz w:val="20"/>
          <w:szCs w:val="20"/>
          <w:color w:val="auto"/>
        </w:rPr>
      </w:pPr>
    </w:p>
    <w:p>
      <w:pPr>
        <w:jc w:val="both"/>
        <w:ind w:left="820"/>
        <w:spacing w:after="0" w:line="291" w:lineRule="auto"/>
        <w:rPr>
          <w:sz w:val="20"/>
          <w:szCs w:val="20"/>
          <w:color w:val="auto"/>
        </w:rPr>
      </w:pPr>
      <w:r>
        <w:rPr>
          <w:rFonts w:ascii="Arial" w:cs="Arial" w:eastAsia="Arial" w:hAnsi="Arial"/>
          <w:sz w:val="16"/>
          <w:szCs w:val="16"/>
          <w:color w:val="auto"/>
        </w:rPr>
        <w:t>The Company also has other assets, which under certain conditions, are subject to measurement at fair value. These assets include loans held for sale and mortgage servicing rights. The Company estimated the fair values of these assets utilizing Level 3 inputs, including, the discounted present value of expected future cash flows. At December 31, 2018, the Company estimates that there is no impairment of these assets and therefore, no impairment charge to other expense was required to adjust these assets to their estimated fair values.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Note 18 – Condensed Financial Statements of Parent Company</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1740" w:type="dxa"/>
            <w:vAlign w:val="bottom"/>
          </w:tcPr>
          <w:p>
            <w:pPr>
              <w:spacing w:after="0"/>
              <w:rPr>
                <w:sz w:val="24"/>
                <w:szCs w:val="24"/>
                <w:color w:val="auto"/>
              </w:rPr>
            </w:pPr>
          </w:p>
        </w:tc>
        <w:tc>
          <w:tcPr>
            <w:tcW w:w="4740" w:type="dxa"/>
            <w:vAlign w:val="bottom"/>
          </w:tcPr>
          <w:p>
            <w:pPr>
              <w:ind w:left="2080"/>
              <w:spacing w:after="0"/>
              <w:rPr>
                <w:sz w:val="20"/>
                <w:szCs w:val="20"/>
                <w:color w:val="auto"/>
              </w:rPr>
            </w:pPr>
            <w:r>
              <w:rPr>
                <w:rFonts w:ascii="Arial" w:cs="Arial" w:eastAsia="Arial" w:hAnsi="Arial"/>
                <w:sz w:val="18"/>
                <w:szCs w:val="18"/>
                <w:b w:val="1"/>
                <w:bCs w:val="1"/>
                <w:color w:val="auto"/>
              </w:rPr>
              <w:t>Balance Sheets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2018</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Related party receivables: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Pr>
          <w:p>
            <w:pPr>
              <w:ind w:left="460"/>
              <w:spacing w:after="0"/>
              <w:rPr>
                <w:sz w:val="20"/>
                <w:szCs w:val="20"/>
                <w:color w:val="auto"/>
              </w:rPr>
            </w:pPr>
            <w:r>
              <w:rPr>
                <w:rFonts w:ascii="Arial" w:cs="Arial" w:eastAsia="Arial" w:hAnsi="Arial"/>
                <w:sz w:val="18"/>
                <w:szCs w:val="18"/>
                <w:color w:val="auto"/>
              </w:rPr>
              <w:t>Dividends and accounts receivable from subsidiary</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interest receivable - municipals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Securities - municipals</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12,977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Certificate of deposits</w:t>
            </w: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Investment in subsidiaries</w:t>
            </w:r>
          </w:p>
        </w:tc>
        <w:tc>
          <w:tcPr>
            <w:tcW w:w="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118,151</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474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Dividends payable</w:t>
            </w:r>
          </w:p>
        </w:tc>
        <w:tc>
          <w:tcPr>
            <w:tcW w:w="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6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gridSpan w:val="2"/>
          </w:tcPr>
          <w:p>
            <w:pPr>
              <w:ind w:left="1720"/>
              <w:spacing w:after="0"/>
              <w:rPr>
                <w:sz w:val="20"/>
                <w:szCs w:val="20"/>
                <w:color w:val="auto"/>
              </w:rPr>
            </w:pPr>
            <w:r>
              <w:rPr>
                <w:rFonts w:ascii="Arial" w:cs="Arial" w:eastAsia="Arial" w:hAnsi="Arial"/>
                <w:sz w:val="18"/>
                <w:szCs w:val="18"/>
                <w:b w:val="1"/>
                <w:bCs w:val="1"/>
                <w:color w:val="auto"/>
              </w:rPr>
              <w:t>Stockholders' Equity</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143,287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740" w:type="dxa"/>
            <w:vAlign w:val="bottom"/>
          </w:tcPr>
          <w:p>
            <w:pPr>
              <w:spacing w:after="0"/>
              <w:rPr>
                <w:sz w:val="18"/>
                <w:szCs w:val="18"/>
                <w:color w:val="auto"/>
              </w:rPr>
            </w:pPr>
          </w:p>
        </w:tc>
        <w:tc>
          <w:tcPr>
            <w:tcW w:w="4740" w:type="dxa"/>
            <w:vAlign w:val="bottom"/>
            <w:vMerge w:val="continue"/>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7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920" w:type="dxa"/>
            <w:vAlign w:val="bottom"/>
          </w:tcPr>
          <w:p>
            <w:pPr>
              <w:ind w:left="720"/>
              <w:spacing w:after="0"/>
              <w:rPr>
                <w:sz w:val="20"/>
                <w:szCs w:val="20"/>
                <w:color w:val="auto"/>
              </w:rPr>
            </w:pPr>
            <w:r>
              <w:rPr>
                <w:rFonts w:ascii="Arial" w:cs="Arial" w:eastAsia="Arial" w:hAnsi="Arial"/>
                <w:sz w:val="18"/>
                <w:szCs w:val="18"/>
                <w:b w:val="1"/>
                <w:bCs w:val="1"/>
                <w:color w:val="auto"/>
                <w:w w:val="96"/>
              </w:rPr>
              <w:t>Statements of Income and Comprehensive Income</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bottom w:val="single" w:sz="8" w:color="CFF0FC"/>
            </w:tcBorders>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Dividends from subsidiaries</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8,350</w:t>
            </w:r>
          </w:p>
        </w:tc>
        <w:tc>
          <w:tcPr>
            <w:tcW w:w="1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6,850</w:t>
            </w:r>
          </w:p>
        </w:tc>
        <w:tc>
          <w:tcPr>
            <w:tcW w:w="2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 municipals / certificates of deposit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Gain (loss) on sales of available-for-sale securities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income</w:t>
            </w:r>
          </w:p>
        </w:tc>
        <w:tc>
          <w:tcPr>
            <w:tcW w:w="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8,720</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7,163</w:t>
            </w: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49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920" w:type="dxa"/>
            <w:vAlign w:val="bottom"/>
          </w:tcPr>
          <w:p>
            <w:pPr>
              <w:spacing w:after="0" w:line="206" w:lineRule="exact"/>
              <w:rPr>
                <w:sz w:val="20"/>
                <w:szCs w:val="20"/>
                <w:color w:val="auto"/>
              </w:rPr>
            </w:pPr>
            <w:r>
              <w:rPr>
                <w:rFonts w:ascii="Arial" w:cs="Arial" w:eastAsia="Arial" w:hAnsi="Arial"/>
                <w:sz w:val="18"/>
                <w:szCs w:val="18"/>
                <w:b w:val="1"/>
                <w:bCs w:val="1"/>
                <w:color w:val="auto"/>
              </w:rPr>
              <w:t>Income Before Income Taxes and Equity in</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ind w:left="100"/>
              <w:spacing w:after="0"/>
              <w:rPr>
                <w:sz w:val="20"/>
                <w:szCs w:val="20"/>
                <w:color w:val="auto"/>
              </w:rPr>
            </w:pPr>
            <w:r>
              <w:rPr>
                <w:rFonts w:ascii="Arial" w:cs="Arial" w:eastAsia="Arial" w:hAnsi="Arial"/>
                <w:sz w:val="18"/>
                <w:szCs w:val="18"/>
                <w:b w:val="1"/>
                <w:bCs w:val="1"/>
                <w:color w:val="auto"/>
              </w:rPr>
              <w:t>Undistributed Earnings of Subsidiaries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6,335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 (Benefit)</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(422)</w:t>
            </w: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Equity in undistributed earnings of subsidiaries</w:t>
            </w:r>
          </w:p>
        </w:tc>
        <w:tc>
          <w:tcPr>
            <w:tcW w:w="4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w:t>
            </w:r>
          </w:p>
        </w:tc>
        <w:tc>
          <w:tcPr>
            <w:tcW w:w="4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Unrealized gains (losses) on securities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4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vMerge w:val="continue"/>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12,866</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 2018, 2017,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Pr>
          <w:p>
            <w:pPr>
              <w:spacing w:after="0"/>
              <w:rPr>
                <w:sz w:val="20"/>
                <w:szCs w:val="20"/>
                <w:color w:val="auto"/>
              </w:rPr>
            </w:pPr>
            <w:r>
              <w:rPr>
                <w:rFonts w:ascii="Arial" w:cs="Arial" w:eastAsia="Arial" w:hAnsi="Arial"/>
                <w:sz w:val="18"/>
                <w:szCs w:val="18"/>
                <w:b w:val="1"/>
                <w:bCs w:val="1"/>
                <w:color w:val="auto"/>
              </w:rPr>
              <w:t>Note 18 – Condensed Financial Statements of Parent Company (Continued)</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6760" w:type="dxa"/>
            <w:vAlign w:val="bottom"/>
          </w:tcPr>
          <w:p>
            <w:pPr>
              <w:ind w:left="2340"/>
              <w:spacing w:after="0"/>
              <w:rPr>
                <w:sz w:val="20"/>
                <w:szCs w:val="20"/>
                <w:color w:val="auto"/>
              </w:rPr>
            </w:pPr>
            <w:r>
              <w:rPr>
                <w:rFonts w:ascii="Arial" w:cs="Arial" w:eastAsia="Arial" w:hAnsi="Arial"/>
                <w:sz w:val="18"/>
                <w:szCs w:val="18"/>
                <w:b w:val="1"/>
                <w:bCs w:val="1"/>
                <w:color w:val="auto"/>
              </w:rPr>
              <w:t>Statements of Cash Flows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w w:val="89"/>
              </w:rPr>
              <w:t>(In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14,949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12,720</w:t>
            </w:r>
          </w:p>
        </w:tc>
        <w:tc>
          <w:tcPr>
            <w:tcW w:w="24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to reconcile ret income to net cash</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provided by operating activities: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60" w:type="dxa"/>
            <w:vAlign w:val="bottom"/>
          </w:tcPr>
          <w:p>
            <w:pPr>
              <w:ind w:left="240"/>
              <w:spacing w:after="0"/>
              <w:rPr>
                <w:sz w:val="20"/>
                <w:szCs w:val="20"/>
                <w:color w:val="auto"/>
              </w:rPr>
            </w:pPr>
            <w:r>
              <w:rPr>
                <w:rFonts w:ascii="Arial" w:cs="Arial" w:eastAsia="Arial" w:hAnsi="Arial"/>
                <w:sz w:val="18"/>
                <w:szCs w:val="18"/>
                <w:color w:val="auto"/>
              </w:rPr>
              <w:t>Equity in undistributed net income (distributions in</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tcPr>
          <w:p>
            <w:pPr>
              <w:ind w:left="380"/>
              <w:spacing w:after="0"/>
              <w:rPr>
                <w:sz w:val="20"/>
                <w:szCs w:val="20"/>
                <w:color w:val="auto"/>
              </w:rPr>
            </w:pPr>
            <w:r>
              <w:rPr>
                <w:rFonts w:ascii="Arial" w:cs="Arial" w:eastAsia="Arial" w:hAnsi="Arial"/>
                <w:sz w:val="18"/>
                <w:szCs w:val="18"/>
                <w:color w:val="auto"/>
              </w:rPr>
              <w:t>excess earnings) of subsidiaries</w:t>
            </w:r>
          </w:p>
        </w:tc>
        <w:tc>
          <w:tcPr>
            <w:tcW w:w="8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(6,887)</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(5,963)</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(5,835)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and amortization of securities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480"/>
              <w:spacing w:after="0"/>
              <w:rPr>
                <w:sz w:val="20"/>
                <w:szCs w:val="20"/>
                <w:color w:val="auto"/>
              </w:rPr>
            </w:pPr>
            <w:r>
              <w:rPr>
                <w:rFonts w:ascii="Arial" w:cs="Arial" w:eastAsia="Arial" w:hAnsi="Arial"/>
                <w:sz w:val="18"/>
                <w:szCs w:val="18"/>
                <w:color w:val="auto"/>
              </w:rPr>
              <w:t>Other assets and liabilities</w:t>
            </w:r>
          </w:p>
        </w:tc>
        <w:tc>
          <w:tcPr>
            <w:tcW w:w="8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(6,991)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Borders>
              <w:top w:val="single" w:sz="8" w:color="CFF0FC"/>
            </w:tcBorders>
            <w:shd w:val="clear" w:color="auto" w:fill="CFF0FC"/>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7,122</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Activity in available-for-sale securities: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480"/>
              <w:spacing w:after="0"/>
              <w:rPr>
                <w:sz w:val="20"/>
                <w:szCs w:val="20"/>
                <w:color w:val="auto"/>
              </w:rPr>
            </w:pPr>
            <w:r>
              <w:rPr>
                <w:rFonts w:ascii="Arial" w:cs="Arial" w:eastAsia="Arial" w:hAnsi="Arial"/>
                <w:sz w:val="18"/>
                <w:szCs w:val="18"/>
                <w:color w:val="auto"/>
              </w:rPr>
              <w:t>Maturities, prepayments and calls</w:t>
            </w: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5,030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2,815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480"/>
              <w:spacing w:after="0"/>
              <w:rPr>
                <w:sz w:val="20"/>
                <w:szCs w:val="20"/>
                <w:color w:val="auto"/>
              </w:rPr>
            </w:pPr>
            <w:r>
              <w:rPr>
                <w:rFonts w:ascii="Arial" w:cs="Arial" w:eastAsia="Arial" w:hAnsi="Arial"/>
                <w:sz w:val="18"/>
                <w:szCs w:val="18"/>
                <w:color w:val="auto"/>
              </w:rPr>
              <w:t>Purchases</w:t>
            </w:r>
          </w:p>
        </w:tc>
        <w:tc>
          <w:tcPr>
            <w:tcW w:w="8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(2,695)</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(4,482)</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certificates of deposit</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(1,974)</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(3,641)</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tcPr>
          <w:p>
            <w:pPr>
              <w:ind w:left="240"/>
              <w:spacing w:after="0"/>
              <w:rPr>
                <w:sz w:val="20"/>
                <w:szCs w:val="20"/>
                <w:color w:val="auto"/>
              </w:rPr>
            </w:pPr>
            <w:r>
              <w:rPr>
                <w:rFonts w:ascii="Arial" w:cs="Arial" w:eastAsia="Arial" w:hAnsi="Arial"/>
                <w:sz w:val="18"/>
                <w:szCs w:val="18"/>
                <w:color w:val="auto"/>
              </w:rPr>
              <w:t>Payment of dividends</w:t>
            </w:r>
          </w:p>
        </w:tc>
        <w:tc>
          <w:tcPr>
            <w:tcW w:w="84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(4,956)</w:t>
            </w:r>
          </w:p>
        </w:tc>
        <w:tc>
          <w:tcPr>
            <w:tcW w:w="1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(4,443)</w:t>
            </w:r>
          </w:p>
        </w:tc>
        <w:tc>
          <w:tcPr>
            <w:tcW w:w="3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720"/>
              <w:spacing w:after="0"/>
              <w:rPr>
                <w:sz w:val="20"/>
                <w:szCs w:val="20"/>
                <w:color w:val="auto"/>
              </w:rPr>
            </w:pPr>
            <w:r>
              <w:rPr>
                <w:rFonts w:ascii="Arial" w:cs="Arial" w:eastAsia="Arial" w:hAnsi="Arial"/>
                <w:sz w:val="18"/>
                <w:szCs w:val="18"/>
                <w:color w:val="auto"/>
              </w:rPr>
              <w:t>Net cash used in financing activities</w:t>
            </w: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(5,446)</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(4,639)</w:t>
            </w:r>
          </w:p>
        </w:tc>
        <w:tc>
          <w:tcPr>
            <w:tcW w:w="30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60" w:type="dxa"/>
            <w:vAlign w:val="bottom"/>
            <w:vMerge w:val="continue"/>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(1,158)</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End of year</w:t>
            </w:r>
          </w:p>
        </w:tc>
        <w:tc>
          <w:tcPr>
            <w:tcW w:w="840" w:type="dxa"/>
            <w:vAlign w:val="bottom"/>
            <w:tcBorders>
              <w:bottom w:val="single" w:sz="8" w:color="auto"/>
            </w:tcBorders>
            <w:shd w:val="clear" w:color="auto" w:fill="CFF0FC"/>
          </w:tcPr>
          <w:p>
            <w:pPr>
              <w:jc w:val="right"/>
              <w:ind w:right="680"/>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620"/>
              <w:spacing w:after="0"/>
              <w:rPr>
                <w:sz w:val="20"/>
                <w:szCs w:val="20"/>
                <w:color w:val="auto"/>
              </w:rPr>
            </w:pPr>
            <w:r>
              <w:rPr>
                <w:rFonts w:ascii="Arial" w:cs="Arial" w:eastAsia="Arial" w:hAnsi="Arial"/>
                <w:sz w:val="18"/>
                <w:szCs w:val="18"/>
                <w:color w:val="auto"/>
              </w:rPr>
              <w:t>90</w:t>
            </w: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6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7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-28575</wp:posOffset>
            </wp:positionV>
            <wp:extent cx="3365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Farmers &amp; Merchants Bancorp, Inc. and Subsidiaries</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December 31, 2018, 2017, 2016</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Note 19 – Quarterly Financial Data</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Quarterly Financial Data - UNAUDITED</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color w:val="auto"/>
                <w:w w:val="97"/>
              </w:rPr>
              <w:t>Quarter Ended in 2018</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Mar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Sep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11,136</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11,537</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11,753</w:t>
            </w:r>
          </w:p>
        </w:tc>
        <w:tc>
          <w:tcPr>
            <w:tcW w:w="1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of loan loss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(5,030)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1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4,114</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60" w:type="dxa"/>
            <w:vAlign w:val="bottom"/>
            <w:vMerge w:val="continue"/>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0.41</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0.44</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0.42</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9,265,959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9,265,898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9,274,507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9,285,261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4"/>
        </w:trPr>
        <w:tc>
          <w:tcPr>
            <w:tcW w:w="5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8"/>
                <w:szCs w:val="18"/>
                <w:color w:val="auto"/>
                <w:w w:val="97"/>
              </w:rPr>
              <w:t>Quarter Ended in 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Mar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June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Sep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Summary of Income:</w:t>
            </w:r>
          </w:p>
        </w:tc>
        <w:tc>
          <w:tcPr>
            <w:tcW w:w="10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9,721</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10,124</w:t>
            </w:r>
          </w:p>
        </w:tc>
        <w:tc>
          <w:tcPr>
            <w:tcW w:w="12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19"/>
                <w:szCs w:val="19"/>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36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loan loss</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interest income after provision for loan loss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(4,487)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(4,722)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1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income before income taxes</w:t>
            </w:r>
          </w:p>
        </w:tc>
        <w:tc>
          <w:tcPr>
            <w:tcW w:w="10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40" w:type="dxa"/>
            <w:vAlign w:val="bottom"/>
            <w:gridSpan w:val="2"/>
          </w:tcPr>
          <w:p>
            <w:pPr>
              <w:ind w:left="5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3,223</w:t>
            </w:r>
          </w:p>
        </w:tc>
        <w:tc>
          <w:tcPr>
            <w:tcW w:w="120" w:type="dxa"/>
            <w:vAlign w:val="bottom"/>
          </w:tcPr>
          <w:p>
            <w:pPr>
              <w:spacing w:after="0"/>
              <w:rPr>
                <w:sz w:val="20"/>
                <w:szCs w:val="20"/>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4360" w:type="dxa"/>
            <w:vAlign w:val="bottom"/>
            <w:vMerge w:val="continue"/>
            <w:shd w:val="clear" w:color="auto" w:fill="CFF0FC"/>
          </w:tcPr>
          <w:p>
            <w:pPr>
              <w:spacing w:after="0"/>
              <w:rPr>
                <w:sz w:val="17"/>
                <w:szCs w:val="17"/>
                <w:color w:val="auto"/>
              </w:rPr>
            </w:pPr>
          </w:p>
        </w:tc>
        <w:tc>
          <w:tcPr>
            <w:tcW w:w="11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0.35</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0.35</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ind w:left="580"/>
              <w:spacing w:after="0"/>
              <w:rPr>
                <w:sz w:val="20"/>
                <w:szCs w:val="20"/>
                <w:color w:val="auto"/>
              </w:rPr>
            </w:pPr>
            <w:r>
              <w:rPr>
                <w:rFonts w:ascii="Arial" w:cs="Arial" w:eastAsia="Arial" w:hAnsi="Arial"/>
                <w:sz w:val="18"/>
                <w:szCs w:val="18"/>
                <w:color w:val="auto"/>
              </w:rPr>
              <w:t>Average common shares outstanding</w:t>
            </w: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9,241,750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9,241,750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9,252,919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9,266,584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January 1, 2019, the Company acquired Limberlost Bancshares, Inc. (“Limberlost”), the bank holding company for Bank of Geneva, a community bank based in Geneva, Indiana. Bank of Geneva operated six full-service offices in the northeast Indiana communities of Geneva, Berne, Decatur, Monroe, Portland and Monroeville and was in the process of completing construction to relocate the Decatur office. Shareholders of Limberlost received 1,830 shares of FMAO common stock and $8,465.00 in cash for each share. Limberlost had 1,000 shares outstanding on January 1, 2019. The share price of Farmers &amp; Merchants Bancorp, Inc. (FMAO) stock on January 1, 2019 was $38.49. Total consideration for the acquisition was approximately $78.9 million consisting of $8.5 million in cash and $70.4 million in stock.</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most significant assets acquired were loans with a carrying value of $259.3 million and liabilities assumed were deposits with a carrying value of $206.6 million and other borrowings with a carrying value of $49.5 million. The Company has not yet finalized the purchase accounting or its final evaluations of the fair value of certain items. The primary areas of the purchase price allocation that are not yet finalized relate to the valuation of intangible assets, credit mark on loans, deposit and borrowings fair value marks and the residual goodwill. Any changes during the measurement period may have an impact on the allocation of the purchase price, including values assigned to assets, liabilities and the amount of estimated goodwill and intangible assets.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2018, the Company has recognized acquisition expenses of $742.1 thousand with additional expenses yet to be incurred in 2019. The largest portion of the expenses recognized in 2018 related to consulting fees of $340 thousand, other general and administration expenses of $331.5 thousand and data processing expenses of $58.6 thousand. These three categories of expense account for 98.4% of the total acquisition expenses impacting the 2018 financial statements of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auto"/>
        </w:rPr>
        <w:t>ITEM 9. CHANGE IN AND DISAGREEMENTS WITH ACCOUNTING AND FINANCIAL DISCLOSURE</w:t>
      </w:r>
    </w:p>
    <w:p>
      <w:pPr>
        <w:spacing w:after="0" w:line="1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disagreements exist on accounting and financial disclosures or related matter.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DISCLOSURE CONTROLS AND PROCEDURES</w:t>
      </w:r>
    </w:p>
    <w:p>
      <w:pPr>
        <w:spacing w:after="0" w:line="97" w:lineRule="exact"/>
        <w:rPr>
          <w:sz w:val="20"/>
          <w:szCs w:val="20"/>
          <w:color w:val="auto"/>
        </w:rPr>
      </w:pPr>
    </w:p>
    <w:p>
      <w:pPr>
        <w:jc w:val="both"/>
        <w:ind w:left="820"/>
        <w:spacing w:after="0" w:line="287" w:lineRule="auto"/>
        <w:rPr>
          <w:sz w:val="20"/>
          <w:szCs w:val="20"/>
          <w:color w:val="auto"/>
        </w:rPr>
      </w:pPr>
      <w:r>
        <w:rPr>
          <w:rFonts w:ascii="Arial" w:cs="Arial" w:eastAsia="Arial" w:hAnsi="Arial"/>
          <w:sz w:val="16"/>
          <w:szCs w:val="16"/>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2018, pursuant to Exchange Act 13a-15. Based upon that evaluation, the Chief Executive Officer and Chief Financial Officer concluded that the Company’s disclosure controls and procedures were effective as of December 31, 2018, in timely alerting them to material information relating to the Company (including its consolidated subsidiaries) required to be included in the Company’s periodic SEC filings.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 REPORT REGARDING INTERNAL CONTROL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COMPLIANCE WITH DESIGNATED LAWS AND REGULATIONS</w:t>
      </w:r>
    </w:p>
    <w:p>
      <w:pPr>
        <w:spacing w:after="0" w:line="97" w:lineRule="exact"/>
        <w:rPr>
          <w:sz w:val="20"/>
          <w:szCs w:val="20"/>
          <w:color w:val="auto"/>
        </w:rPr>
      </w:pPr>
    </w:p>
    <w:p>
      <w:pPr>
        <w:jc w:val="both"/>
        <w:ind w:left="820"/>
        <w:spacing w:after="0" w:line="248" w:lineRule="auto"/>
        <w:rPr>
          <w:sz w:val="20"/>
          <w:szCs w:val="20"/>
          <w:color w:val="auto"/>
        </w:rPr>
      </w:pPr>
      <w:r>
        <w:rPr>
          <w:rFonts w:ascii="Arial" w:cs="Arial" w:eastAsia="Arial" w:hAnsi="Arial"/>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89"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50"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83"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2018. The registered public accounting firm that audited the financial statements included in this annual report has issued an attestation report on the Company’s internal control over financial reporting which can be found under Item 8 of this form 10-K.</w:t>
      </w:r>
    </w:p>
    <w:p>
      <w:pPr>
        <w:spacing w:after="0" w:line="62" w:lineRule="exact"/>
        <w:rPr>
          <w:sz w:val="20"/>
          <w:szCs w:val="20"/>
          <w:color w:val="auto"/>
        </w:rPr>
      </w:pPr>
    </w:p>
    <w:p>
      <w:pPr>
        <w:jc w:val="both"/>
        <w:ind w:left="820"/>
        <w:spacing w:after="0" w:line="324" w:lineRule="auto"/>
        <w:rPr>
          <w:sz w:val="20"/>
          <w:szCs w:val="20"/>
          <w:color w:val="auto"/>
        </w:rPr>
      </w:pPr>
      <w:r>
        <w:rPr>
          <w:rFonts w:ascii="Arial" w:cs="Arial" w:eastAsia="Arial" w:hAnsi="Arial"/>
          <w:sz w:val="16"/>
          <w:szCs w:val="16"/>
          <w:color w:val="auto"/>
        </w:rPr>
        <w:t>There was no change in the company’s internal control over financial reporting that occurred during the Company’s fiscal quarter ended December 31, 2018 that has materially affected, or is reasonably likely to materially affect, the Company’s internal control over financial reporting.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398"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PART III</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AND EXECUTIVE OFFICERS OF THE REGISTRANT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ind w:left="600"/>
              <w:spacing w:after="0"/>
              <w:rPr>
                <w:sz w:val="20"/>
                <w:szCs w:val="20"/>
                <w:color w:val="auto"/>
              </w:rPr>
            </w:pPr>
            <w:r>
              <w:rPr>
                <w:rFonts w:ascii="Arial" w:cs="Arial" w:eastAsia="Arial" w:hAnsi="Arial"/>
                <w:sz w:val="18"/>
                <w:szCs w:val="18"/>
                <w:b w:val="1"/>
                <w:bCs w:val="1"/>
                <w:color w:val="auto"/>
              </w:rPr>
              <w:t>BOARD OF DIRECTORS</w:t>
            </w:r>
          </w:p>
        </w:tc>
        <w:tc>
          <w:tcPr>
            <w:tcW w:w="1240" w:type="dxa"/>
            <w:vAlign w:val="bottom"/>
          </w:tcPr>
          <w:p>
            <w:pPr>
              <w:spacing w:after="0"/>
              <w:rPr>
                <w:sz w:val="19"/>
                <w:szCs w:val="19"/>
                <w:color w:val="auto"/>
              </w:rPr>
            </w:pPr>
          </w:p>
        </w:tc>
      </w:tr>
      <w:tr>
        <w:trPr>
          <w:trHeight w:val="421"/>
        </w:trPr>
        <w:tc>
          <w:tcPr>
            <w:tcW w:w="4120" w:type="dxa"/>
            <w:vAlign w:val="bottom"/>
            <w:gridSpan w:val="5"/>
          </w:tcPr>
          <w:p>
            <w:pPr>
              <w:spacing w:after="0"/>
              <w:rPr>
                <w:sz w:val="20"/>
                <w:szCs w:val="20"/>
                <w:color w:val="auto"/>
              </w:rPr>
            </w:pPr>
            <w:r>
              <w:rPr>
                <w:rFonts w:ascii="Arial" w:cs="Arial" w:eastAsia="Arial" w:hAnsi="Arial"/>
                <w:sz w:val="18"/>
                <w:szCs w:val="18"/>
                <w:color w:val="auto"/>
                <w:w w:val="98"/>
              </w:rPr>
              <w:t>The information called for herein is presented below:</w:t>
            </w:r>
          </w:p>
        </w:tc>
        <w:tc>
          <w:tcPr>
            <w:tcW w:w="24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04"/>
        </w:trPr>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Principal Occupation or</w:t>
            </w:r>
          </w:p>
        </w:tc>
        <w:tc>
          <w:tcPr>
            <w:tcW w:w="1240" w:type="dxa"/>
            <w:vAlign w:val="bottom"/>
          </w:tcPr>
          <w:p>
            <w:pPr>
              <w:spacing w:after="0"/>
              <w:rPr>
                <w:sz w:val="20"/>
                <w:szCs w:val="20"/>
                <w:color w:val="auto"/>
              </w:rPr>
            </w:pPr>
            <w:r>
              <w:rPr>
                <w:rFonts w:ascii="Arial" w:cs="Arial" w:eastAsia="Arial" w:hAnsi="Arial"/>
                <w:sz w:val="18"/>
                <w:szCs w:val="18"/>
                <w:b w:val="1"/>
                <w:bCs w:val="1"/>
                <w:color w:val="auto"/>
              </w:rPr>
              <w:t>Year First</w:t>
            </w:r>
          </w:p>
        </w:tc>
      </w:tr>
      <w:tr>
        <w:trPr>
          <w:trHeight w:val="190"/>
        </w:trPr>
        <w:tc>
          <w:tcPr>
            <w:tcW w:w="234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Name</w:t>
            </w:r>
          </w:p>
        </w:tc>
        <w:tc>
          <w:tcPr>
            <w:tcW w:w="1780" w:type="dxa"/>
            <w:vAlign w:val="bottom"/>
            <w:gridSpan w:val="3"/>
          </w:tcPr>
          <w:p>
            <w:pPr>
              <w:ind w:left="760"/>
              <w:spacing w:after="0" w:line="189" w:lineRule="exact"/>
              <w:rPr>
                <w:sz w:val="20"/>
                <w:szCs w:val="20"/>
                <w:color w:val="auto"/>
              </w:rPr>
            </w:pPr>
            <w:r>
              <w:rPr>
                <w:rFonts w:ascii="Arial" w:cs="Arial" w:eastAsia="Arial" w:hAnsi="Arial"/>
                <w:sz w:val="18"/>
                <w:szCs w:val="18"/>
                <w:b w:val="1"/>
                <w:bCs w:val="1"/>
                <w:color w:val="auto"/>
              </w:rPr>
              <w:t>Age</w:t>
            </w:r>
          </w:p>
        </w:tc>
        <w:tc>
          <w:tcPr>
            <w:tcW w:w="56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Employment for Past Five Years</w:t>
            </w:r>
          </w:p>
        </w:tc>
        <w:tc>
          <w:tcPr>
            <w:tcW w:w="1240" w:type="dxa"/>
            <w:vAlign w:val="bottom"/>
          </w:tcPr>
          <w:p>
            <w:pPr>
              <w:spacing w:after="0" w:line="189" w:lineRule="exact"/>
              <w:rPr>
                <w:sz w:val="20"/>
                <w:szCs w:val="20"/>
                <w:color w:val="auto"/>
              </w:rPr>
            </w:pPr>
            <w:r>
              <w:rPr>
                <w:rFonts w:ascii="Arial" w:cs="Arial" w:eastAsia="Arial" w:hAnsi="Arial"/>
                <w:sz w:val="18"/>
                <w:szCs w:val="18"/>
                <w:b w:val="1"/>
                <w:bCs w:val="1"/>
                <w:color w:val="auto"/>
                <w:w w:val="85"/>
              </w:rPr>
              <w:t>Became Director</w:t>
            </w:r>
          </w:p>
        </w:tc>
      </w:tr>
      <w:tr>
        <w:trPr>
          <w:trHeight w:val="20"/>
        </w:trPr>
        <w:tc>
          <w:tcPr>
            <w:tcW w:w="4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29"/>
        </w:trPr>
        <w:tc>
          <w:tcPr>
            <w:tcW w:w="2340" w:type="dxa"/>
            <w:vAlign w:val="bottom"/>
            <w:gridSpan w:val="2"/>
          </w:tcPr>
          <w:p>
            <w:pPr>
              <w:spacing w:after="0"/>
              <w:rPr>
                <w:sz w:val="20"/>
                <w:szCs w:val="20"/>
                <w:color w:val="auto"/>
              </w:rPr>
            </w:pPr>
            <w:r>
              <w:rPr>
                <w:rFonts w:ascii="Arial" w:cs="Arial" w:eastAsia="Arial" w:hAnsi="Arial"/>
                <w:sz w:val="18"/>
                <w:szCs w:val="18"/>
                <w:color w:val="auto"/>
              </w:rPr>
              <w:t>Andrew J. Briggs</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1</w:t>
            </w:r>
            <w:r>
              <w:rPr>
                <w:rFonts w:ascii="Arial" w:cs="Arial" w:eastAsia="Arial" w:hAnsi="Arial"/>
                <w:sz w:val="14"/>
                <w:szCs w:val="14"/>
                <w:color w:val="auto"/>
              </w:rPr>
              <w:t>st</w:t>
            </w:r>
            <w:r>
              <w:rPr>
                <w:rFonts w:ascii="Arial" w:cs="Arial" w:eastAsia="Arial" w:hAnsi="Arial"/>
                <w:sz w:val="18"/>
                <w:szCs w:val="18"/>
                <w:color w:val="auto"/>
              </w:rPr>
              <w:t xml:space="preserve"> Sr. Vice President of Business Development</w:t>
            </w:r>
          </w:p>
        </w:tc>
        <w:tc>
          <w:tcPr>
            <w:tcW w:w="1240" w:type="dxa"/>
            <w:vAlign w:val="bottom"/>
          </w:tcPr>
          <w:p>
            <w:pPr>
              <w:spacing w:after="0"/>
              <w:rPr>
                <w:sz w:val="20"/>
                <w:szCs w:val="20"/>
                <w:color w:val="auto"/>
              </w:rPr>
            </w:pPr>
            <w:r>
              <w:rPr>
                <w:rFonts w:ascii="Arial" w:cs="Arial" w:eastAsia="Arial" w:hAnsi="Arial"/>
                <w:sz w:val="18"/>
                <w:szCs w:val="18"/>
                <w:color w:val="auto"/>
              </w:rPr>
              <w:t>2019</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Eugene N. Burkholder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Falor Farm Center, Inc.</w:t>
            </w:r>
          </w:p>
        </w:tc>
        <w:tc>
          <w:tcPr>
            <w:tcW w:w="1240" w:type="dxa"/>
            <w:vAlign w:val="bottom"/>
          </w:tcPr>
          <w:p>
            <w:pPr>
              <w:spacing w:after="0"/>
              <w:rPr>
                <w:sz w:val="20"/>
                <w:szCs w:val="20"/>
                <w:color w:val="auto"/>
              </w:rPr>
            </w:pPr>
            <w:r>
              <w:rPr>
                <w:rFonts w:ascii="Arial" w:cs="Arial" w:eastAsia="Arial" w:hAnsi="Arial"/>
                <w:sz w:val="18"/>
                <w:szCs w:val="18"/>
                <w:color w:val="auto"/>
              </w:rPr>
              <w:t>2012</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Lars B. Eller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52</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CEO of the Company and</w:t>
            </w:r>
          </w:p>
        </w:tc>
        <w:tc>
          <w:tcPr>
            <w:tcW w:w="1240" w:type="dxa"/>
            <w:vAlign w:val="bottom"/>
          </w:tcPr>
          <w:p>
            <w:pPr>
              <w:spacing w:after="0"/>
              <w:rPr>
                <w:sz w:val="20"/>
                <w:szCs w:val="20"/>
                <w:color w:val="auto"/>
              </w:rPr>
            </w:pPr>
            <w:r>
              <w:rPr>
                <w:rFonts w:ascii="Arial" w:cs="Arial" w:eastAsia="Arial" w:hAnsi="Arial"/>
                <w:sz w:val="18"/>
                <w:szCs w:val="18"/>
                <w:color w:val="auto"/>
              </w:rPr>
              <w:t>2018</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Steven A. Everhart</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Self Employed</w:t>
            </w:r>
          </w:p>
        </w:tc>
        <w:tc>
          <w:tcPr>
            <w:tcW w:w="1240" w:type="dxa"/>
            <w:vAlign w:val="bottom"/>
          </w:tcPr>
          <w:p>
            <w:pPr>
              <w:spacing w:after="0"/>
              <w:rPr>
                <w:sz w:val="20"/>
                <w:szCs w:val="20"/>
                <w:color w:val="auto"/>
              </w:rPr>
            </w:pPr>
            <w:r>
              <w:rPr>
                <w:rFonts w:ascii="Arial" w:cs="Arial" w:eastAsia="Arial" w:hAnsi="Arial"/>
                <w:sz w:val="18"/>
                <w:szCs w:val="18"/>
                <w:color w:val="auto"/>
              </w:rPr>
              <w:t>2003</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Jo Ellen Hornish</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65</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w w:val="97"/>
              </w:rPr>
              <w:t>CEO, Hornish Bros, Inc./Fountain City Leasing, Inc./ Advantage Powder</w:t>
            </w:r>
          </w:p>
        </w:tc>
        <w:tc>
          <w:tcPr>
            <w:tcW w:w="1240" w:type="dxa"/>
            <w:vAlign w:val="bottom"/>
          </w:tcPr>
          <w:p>
            <w:pPr>
              <w:spacing w:after="0"/>
              <w:rPr>
                <w:sz w:val="20"/>
                <w:szCs w:val="20"/>
                <w:color w:val="auto"/>
              </w:rPr>
            </w:pPr>
            <w:r>
              <w:rPr>
                <w:rFonts w:ascii="Arial" w:cs="Arial" w:eastAsia="Arial" w:hAnsi="Arial"/>
                <w:sz w:val="18"/>
                <w:szCs w:val="18"/>
                <w:color w:val="auto"/>
              </w:rPr>
              <w:t>2013</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Coating, Inc.</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Jack C. Johnson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Hawk’s Clothing, Inc.</w:t>
            </w:r>
          </w:p>
        </w:tc>
        <w:tc>
          <w:tcPr>
            <w:tcW w:w="1240" w:type="dxa"/>
            <w:vAlign w:val="bottom"/>
          </w:tcPr>
          <w:p>
            <w:pPr>
              <w:spacing w:after="0"/>
              <w:rPr>
                <w:sz w:val="20"/>
                <w:szCs w:val="20"/>
                <w:color w:val="auto"/>
              </w:rPr>
            </w:pPr>
            <w:r>
              <w:rPr>
                <w:rFonts w:ascii="Arial" w:cs="Arial" w:eastAsia="Arial" w:hAnsi="Arial"/>
                <w:sz w:val="18"/>
                <w:szCs w:val="18"/>
                <w:color w:val="auto"/>
              </w:rPr>
              <w:t>1991</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Dr. Marcia S. Latta</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Vice President of University Advancement,</w:t>
            </w:r>
          </w:p>
        </w:tc>
        <w:tc>
          <w:tcPr>
            <w:tcW w:w="1240" w:type="dxa"/>
            <w:vAlign w:val="bottom"/>
          </w:tcPr>
          <w:p>
            <w:pPr>
              <w:spacing w:after="0"/>
              <w:rPr>
                <w:sz w:val="20"/>
                <w:szCs w:val="20"/>
                <w:color w:val="auto"/>
              </w:rPr>
            </w:pPr>
            <w:r>
              <w:rPr>
                <w:rFonts w:ascii="Arial" w:cs="Arial" w:eastAsia="Arial" w:hAnsi="Arial"/>
                <w:sz w:val="18"/>
                <w:szCs w:val="18"/>
                <w:color w:val="auto"/>
              </w:rPr>
              <w:t>2009</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The University of Findlay</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Steven J. Planson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Planson Farms, Inc.</w:t>
            </w:r>
          </w:p>
        </w:tc>
        <w:tc>
          <w:tcPr>
            <w:tcW w:w="1240" w:type="dxa"/>
            <w:vAlign w:val="bottom"/>
          </w:tcPr>
          <w:p>
            <w:pPr>
              <w:spacing w:after="0"/>
              <w:rPr>
                <w:sz w:val="20"/>
                <w:szCs w:val="20"/>
                <w:color w:val="auto"/>
              </w:rPr>
            </w:pPr>
            <w:r>
              <w:rPr>
                <w:rFonts w:ascii="Arial" w:cs="Arial" w:eastAsia="Arial" w:hAnsi="Arial"/>
                <w:sz w:val="18"/>
                <w:szCs w:val="18"/>
                <w:color w:val="auto"/>
              </w:rPr>
              <w:t>2008</w:t>
            </w: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Anthony J. Rupp</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Retired, Past President of Rupp Furniture Co.</w:t>
            </w:r>
          </w:p>
        </w:tc>
        <w:tc>
          <w:tcPr>
            <w:tcW w:w="1240" w:type="dxa"/>
            <w:vAlign w:val="bottom"/>
          </w:tcPr>
          <w:p>
            <w:pPr>
              <w:spacing w:after="0"/>
              <w:rPr>
                <w:sz w:val="20"/>
                <w:szCs w:val="20"/>
                <w:color w:val="auto"/>
              </w:rPr>
            </w:pPr>
            <w:r>
              <w:rPr>
                <w:rFonts w:ascii="Arial" w:cs="Arial" w:eastAsia="Arial" w:hAnsi="Arial"/>
                <w:sz w:val="18"/>
                <w:szCs w:val="18"/>
                <w:color w:val="auto"/>
              </w:rPr>
              <w:t>2000</w:t>
            </w: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Kevin J. Sauder</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President/CEO, Sauder Woodworking Co.</w:t>
            </w:r>
          </w:p>
        </w:tc>
        <w:tc>
          <w:tcPr>
            <w:tcW w:w="1240" w:type="dxa"/>
            <w:vAlign w:val="bottom"/>
          </w:tcPr>
          <w:p>
            <w:pPr>
              <w:spacing w:after="0"/>
              <w:rPr>
                <w:sz w:val="20"/>
                <w:szCs w:val="20"/>
                <w:color w:val="auto"/>
              </w:rPr>
            </w:pPr>
            <w:r>
              <w:rPr>
                <w:rFonts w:ascii="Arial" w:cs="Arial" w:eastAsia="Arial" w:hAnsi="Arial"/>
                <w:sz w:val="18"/>
                <w:szCs w:val="18"/>
                <w:color w:val="auto"/>
              </w:rPr>
              <w:t>2004</w:t>
            </w:r>
          </w:p>
        </w:tc>
      </w:tr>
      <w:tr>
        <w:trPr>
          <w:trHeight w:val="410"/>
        </w:trPr>
        <w:tc>
          <w:tcPr>
            <w:tcW w:w="2340" w:type="dxa"/>
            <w:vAlign w:val="bottom"/>
            <w:gridSpan w:val="2"/>
          </w:tcPr>
          <w:p>
            <w:pPr>
              <w:spacing w:after="0"/>
              <w:rPr>
                <w:sz w:val="20"/>
                <w:szCs w:val="20"/>
                <w:color w:val="auto"/>
              </w:rPr>
            </w:pPr>
            <w:r>
              <w:rPr>
                <w:rFonts w:ascii="Arial" w:cs="Arial" w:eastAsia="Arial" w:hAnsi="Arial"/>
                <w:sz w:val="18"/>
                <w:szCs w:val="18"/>
                <w:color w:val="auto"/>
              </w:rPr>
              <w:t>Paul S. Siebenmorgen</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69</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Retired, Past President and CEO of the Company and</w:t>
            </w:r>
          </w:p>
        </w:tc>
        <w:tc>
          <w:tcPr>
            <w:tcW w:w="1240" w:type="dxa"/>
            <w:vAlign w:val="bottom"/>
          </w:tcPr>
          <w:p>
            <w:pPr>
              <w:spacing w:after="0"/>
              <w:rPr>
                <w:sz w:val="20"/>
                <w:szCs w:val="20"/>
                <w:color w:val="auto"/>
              </w:rPr>
            </w:pPr>
            <w:r>
              <w:rPr>
                <w:rFonts w:ascii="Arial" w:cs="Arial" w:eastAsia="Arial" w:hAnsi="Arial"/>
                <w:sz w:val="18"/>
                <w:szCs w:val="18"/>
                <w:color w:val="auto"/>
              </w:rPr>
              <w:t>2005</w:t>
            </w:r>
          </w:p>
        </w:tc>
      </w:tr>
      <w:tr>
        <w:trPr>
          <w:trHeight w:val="222"/>
        </w:trPr>
        <w:tc>
          <w:tcPr>
            <w:tcW w:w="4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Farmers &amp; Merchants State Bank</w:t>
            </w:r>
          </w:p>
        </w:tc>
        <w:tc>
          <w:tcPr>
            <w:tcW w:w="1240" w:type="dxa"/>
            <w:vAlign w:val="bottom"/>
          </w:tcPr>
          <w:p>
            <w:pPr>
              <w:spacing w:after="0"/>
              <w:rPr>
                <w:sz w:val="19"/>
                <w:szCs w:val="19"/>
                <w:color w:val="auto"/>
              </w:rPr>
            </w:pPr>
          </w:p>
        </w:tc>
      </w:tr>
      <w:tr>
        <w:trPr>
          <w:trHeight w:val="421"/>
        </w:trPr>
        <w:tc>
          <w:tcPr>
            <w:tcW w:w="2340" w:type="dxa"/>
            <w:vAlign w:val="bottom"/>
            <w:gridSpan w:val="2"/>
          </w:tcPr>
          <w:p>
            <w:pPr>
              <w:spacing w:after="0"/>
              <w:rPr>
                <w:sz w:val="20"/>
                <w:szCs w:val="20"/>
                <w:color w:val="auto"/>
              </w:rPr>
            </w:pPr>
            <w:r>
              <w:rPr>
                <w:rFonts w:ascii="Arial" w:cs="Arial" w:eastAsia="Arial" w:hAnsi="Arial"/>
                <w:sz w:val="18"/>
                <w:szCs w:val="18"/>
                <w:color w:val="auto"/>
              </w:rPr>
              <w:t>Dr. K. Brad Stamm</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66</w:t>
            </w:r>
          </w:p>
        </w:tc>
        <w:tc>
          <w:tcPr>
            <w:tcW w:w="72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President and Educational Consultant of</w:t>
            </w:r>
          </w:p>
        </w:tc>
        <w:tc>
          <w:tcPr>
            <w:tcW w:w="1240" w:type="dxa"/>
            <w:vAlign w:val="bottom"/>
          </w:tcPr>
          <w:p>
            <w:pPr>
              <w:spacing w:after="0"/>
              <w:rPr>
                <w:sz w:val="20"/>
                <w:szCs w:val="20"/>
                <w:color w:val="auto"/>
              </w:rPr>
            </w:pPr>
            <w:r>
              <w:rPr>
                <w:rFonts w:ascii="Arial" w:cs="Arial" w:eastAsia="Arial" w:hAnsi="Arial"/>
                <w:sz w:val="18"/>
                <w:szCs w:val="18"/>
                <w:color w:val="auto"/>
              </w:rPr>
              <w:t>2016</w:t>
            </w:r>
          </w:p>
        </w:tc>
      </w:tr>
    </w:tbl>
    <w:p>
      <w:pPr>
        <w:ind w:left="4120"/>
        <w:spacing w:after="0"/>
        <w:rPr>
          <w:sz w:val="20"/>
          <w:szCs w:val="20"/>
          <w:color w:val="auto"/>
        </w:rPr>
      </w:pPr>
      <w:r>
        <w:rPr>
          <w:rFonts w:ascii="Arial" w:cs="Arial" w:eastAsia="Arial" w:hAnsi="Arial"/>
          <w:sz w:val="18"/>
          <w:szCs w:val="18"/>
          <w:color w:val="auto"/>
        </w:rPr>
        <w:t>Stamm Management Group</w:t>
      </w:r>
    </w:p>
    <w:p>
      <w:pPr>
        <w:spacing w:after="0" w:line="2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Directors are elected annually at the annual meeting of shareholders.</w:t>
      </w: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960"/>
          </w:cols>
          <w:pgMar w:left="240" w:top="503" w:right="699" w:bottom="1440" w:gutter="0" w:footer="0" w:header="0"/>
        </w:sectPr>
      </w:pPr>
    </w:p>
    <w:bookmarkStart w:id="93" w:name="page94"/>
    <w:bookmarkEnd w:id="93"/>
    <w:tbl>
      <w:tblPr>
        <w:tblLayout w:type="fixed"/>
        <w:tblInd w:w="6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gridSpan w:val="5"/>
          </w:tcPr>
          <w:p>
            <w:pPr>
              <w:spacing w:after="0"/>
              <w:rPr>
                <w:sz w:val="20"/>
                <w:szCs w:val="20"/>
                <w:color w:val="auto"/>
              </w:rPr>
            </w:pPr>
            <w:r>
              <w:rPr>
                <w:rFonts w:ascii="Arial" w:cs="Arial" w:eastAsia="Arial" w:hAnsi="Arial"/>
                <w:sz w:val="18"/>
                <w:szCs w:val="18"/>
                <w:b w:val="1"/>
                <w:bCs w:val="1"/>
                <w:color w:val="auto"/>
              </w:rPr>
              <w:t>EXECUTIVE OFFICERS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Principal Occupation &amp; Offices Held with</w:t>
            </w:r>
          </w:p>
        </w:tc>
        <w:tc>
          <w:tcPr>
            <w:tcW w:w="0" w:type="dxa"/>
            <w:vAlign w:val="bottom"/>
          </w:tcPr>
          <w:p>
            <w:pPr>
              <w:spacing w:after="0"/>
              <w:rPr>
                <w:sz w:val="1"/>
                <w:szCs w:val="1"/>
                <w:color w:val="auto"/>
              </w:rPr>
            </w:pPr>
          </w:p>
        </w:tc>
      </w:tr>
      <w:tr>
        <w:trPr>
          <w:trHeight w:val="184"/>
        </w:trPr>
        <w:tc>
          <w:tcPr>
            <w:tcW w:w="420" w:type="dxa"/>
            <w:vAlign w:val="bottom"/>
            <w:gridSpan w:val="2"/>
          </w:tcPr>
          <w:p>
            <w:pPr>
              <w:spacing w:after="0" w:line="183" w:lineRule="exact"/>
              <w:rPr>
                <w:sz w:val="20"/>
                <w:szCs w:val="20"/>
                <w:color w:val="auto"/>
              </w:rPr>
            </w:pPr>
            <w:r>
              <w:rPr>
                <w:rFonts w:ascii="Arial" w:cs="Arial" w:eastAsia="Arial" w:hAnsi="Arial"/>
                <w:sz w:val="18"/>
                <w:szCs w:val="18"/>
                <w:color w:val="auto"/>
                <w:w w:val="83"/>
              </w:rPr>
              <w:t>Name</w:t>
            </w:r>
          </w:p>
        </w:tc>
        <w:tc>
          <w:tcPr>
            <w:tcW w:w="1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spacing w:after="0" w:line="183" w:lineRule="exact"/>
              <w:rPr>
                <w:sz w:val="20"/>
                <w:szCs w:val="20"/>
                <w:color w:val="auto"/>
              </w:rPr>
            </w:pPr>
            <w:r>
              <w:rPr>
                <w:rFonts w:ascii="Arial" w:cs="Arial" w:eastAsia="Arial" w:hAnsi="Arial"/>
                <w:sz w:val="18"/>
                <w:szCs w:val="18"/>
                <w:color w:val="auto"/>
                <w:w w:val="87"/>
              </w:rPr>
              <w:t>Age</w:t>
            </w:r>
          </w:p>
        </w:tc>
        <w:tc>
          <w:tcPr>
            <w:tcW w:w="660" w:type="dxa"/>
            <w:vAlign w:val="bottom"/>
          </w:tcPr>
          <w:p>
            <w:pPr>
              <w:spacing w:after="0"/>
              <w:rPr>
                <w:sz w:val="15"/>
                <w:szCs w:val="15"/>
                <w:color w:val="auto"/>
              </w:rPr>
            </w:pPr>
          </w:p>
        </w:tc>
        <w:tc>
          <w:tcPr>
            <w:tcW w:w="4540" w:type="dxa"/>
            <w:vAlign w:val="bottom"/>
            <w:gridSpan w:val="3"/>
          </w:tcPr>
          <w:p>
            <w:pPr>
              <w:spacing w:after="0" w:line="183" w:lineRule="exact"/>
              <w:rPr>
                <w:sz w:val="20"/>
                <w:szCs w:val="20"/>
                <w:color w:val="auto"/>
              </w:rPr>
            </w:pPr>
            <w:r>
              <w:rPr>
                <w:rFonts w:ascii="Arial" w:cs="Arial" w:eastAsia="Arial" w:hAnsi="Arial"/>
                <w:sz w:val="18"/>
                <w:szCs w:val="18"/>
                <w:color w:val="auto"/>
              </w:rPr>
              <w:t>Corporation &amp; Bank for Past Five Years</w:t>
            </w: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300" w:type="dxa"/>
            <w:vAlign w:val="bottom"/>
            <w:gridSpan w:val="3"/>
          </w:tcPr>
          <w:p>
            <w:pPr>
              <w:spacing w:after="0"/>
              <w:rPr>
                <w:sz w:val="20"/>
                <w:szCs w:val="20"/>
                <w:color w:val="auto"/>
              </w:rPr>
            </w:pPr>
            <w:r>
              <w:rPr>
                <w:rFonts w:ascii="Arial" w:cs="Arial" w:eastAsia="Arial" w:hAnsi="Arial"/>
                <w:sz w:val="18"/>
                <w:szCs w:val="18"/>
                <w:color w:val="auto"/>
              </w:rPr>
              <w:t>Jack C. Johnson</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66</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21"/>
        </w:trPr>
        <w:tc>
          <w:tcPr>
            <w:tcW w:w="2300" w:type="dxa"/>
            <w:vAlign w:val="bottom"/>
            <w:gridSpan w:val="3"/>
          </w:tcPr>
          <w:p>
            <w:pPr>
              <w:spacing w:after="0"/>
              <w:rPr>
                <w:sz w:val="20"/>
                <w:szCs w:val="20"/>
                <w:color w:val="auto"/>
              </w:rPr>
            </w:pPr>
            <w:r>
              <w:rPr>
                <w:rFonts w:ascii="Arial" w:cs="Arial" w:eastAsia="Arial" w:hAnsi="Arial"/>
                <w:sz w:val="18"/>
                <w:szCs w:val="18"/>
                <w:color w:val="auto"/>
              </w:rPr>
              <w:t>Lars B. Eller</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421"/>
        </w:trPr>
        <w:tc>
          <w:tcPr>
            <w:tcW w:w="2300" w:type="dxa"/>
            <w:vAlign w:val="bottom"/>
            <w:gridSpan w:val="3"/>
          </w:tcPr>
          <w:p>
            <w:pPr>
              <w:spacing w:after="0"/>
              <w:rPr>
                <w:sz w:val="20"/>
                <w:szCs w:val="20"/>
                <w:color w:val="auto"/>
              </w:rPr>
            </w:pPr>
            <w:r>
              <w:rPr>
                <w:rFonts w:ascii="Arial" w:cs="Arial" w:eastAsia="Arial" w:hAnsi="Arial"/>
                <w:sz w:val="18"/>
                <w:szCs w:val="18"/>
                <w:color w:val="auto"/>
              </w:rPr>
              <w:t>Paul S. Siebenmorgen</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69</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President &amp; Chief Executive Officer</w:t>
            </w:r>
          </w:p>
        </w:tc>
        <w:tc>
          <w:tcPr>
            <w:tcW w:w="0" w:type="dxa"/>
            <w:vAlign w:val="bottom"/>
          </w:tcPr>
          <w:p>
            <w:pPr>
              <w:spacing w:after="0"/>
              <w:rPr>
                <w:sz w:val="1"/>
                <w:szCs w:val="1"/>
                <w:color w:val="auto"/>
              </w:rPr>
            </w:pPr>
          </w:p>
        </w:tc>
      </w:tr>
      <w:tr>
        <w:trPr>
          <w:trHeight w:val="410"/>
        </w:trPr>
        <w:tc>
          <w:tcPr>
            <w:tcW w:w="2300" w:type="dxa"/>
            <w:vAlign w:val="bottom"/>
            <w:gridSpan w:val="3"/>
          </w:tcPr>
          <w:p>
            <w:pPr>
              <w:spacing w:after="0"/>
              <w:rPr>
                <w:sz w:val="20"/>
                <w:szCs w:val="20"/>
                <w:color w:val="auto"/>
              </w:rPr>
            </w:pPr>
            <w:r>
              <w:rPr>
                <w:rFonts w:ascii="Arial" w:cs="Arial" w:eastAsia="Arial" w:hAnsi="Arial"/>
                <w:sz w:val="18"/>
                <w:szCs w:val="18"/>
                <w:color w:val="auto"/>
              </w:rPr>
              <w:t>Barbara J. Britenriker</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57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Chief Financial Officer and Chief Retail Banking Officer</w:t>
            </w:r>
          </w:p>
        </w:tc>
        <w:tc>
          <w:tcPr>
            <w:tcW w:w="0" w:type="dxa"/>
            <w:vAlign w:val="bottom"/>
          </w:tcPr>
          <w:p>
            <w:pPr>
              <w:spacing w:after="0"/>
              <w:rPr>
                <w:sz w:val="1"/>
                <w:szCs w:val="1"/>
                <w:color w:val="auto"/>
              </w:rPr>
            </w:pPr>
          </w:p>
        </w:tc>
      </w:tr>
      <w:tr>
        <w:trPr>
          <w:trHeight w:val="410"/>
        </w:trPr>
        <w:tc>
          <w:tcPr>
            <w:tcW w:w="2300" w:type="dxa"/>
            <w:vAlign w:val="bottom"/>
            <w:gridSpan w:val="3"/>
          </w:tcPr>
          <w:p>
            <w:pPr>
              <w:spacing w:after="0"/>
              <w:rPr>
                <w:sz w:val="20"/>
                <w:szCs w:val="20"/>
                <w:color w:val="auto"/>
              </w:rPr>
            </w:pPr>
            <w:r>
              <w:rPr>
                <w:rFonts w:ascii="Arial" w:cs="Arial" w:eastAsia="Arial" w:hAnsi="Arial"/>
                <w:sz w:val="18"/>
                <w:szCs w:val="18"/>
                <w:color w:val="auto"/>
              </w:rPr>
              <w:t>Todd A. Graham</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68</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Chief Lending Officer</w:t>
            </w:r>
          </w:p>
        </w:tc>
        <w:tc>
          <w:tcPr>
            <w:tcW w:w="0" w:type="dxa"/>
            <w:vAlign w:val="bottom"/>
          </w:tcPr>
          <w:p>
            <w:pPr>
              <w:spacing w:after="0"/>
              <w:rPr>
                <w:sz w:val="1"/>
                <w:szCs w:val="1"/>
                <w:color w:val="auto"/>
              </w:rPr>
            </w:pPr>
          </w:p>
        </w:tc>
      </w:tr>
      <w:tr>
        <w:trPr>
          <w:trHeight w:val="410"/>
        </w:trPr>
        <w:tc>
          <w:tcPr>
            <w:tcW w:w="2300" w:type="dxa"/>
            <w:vAlign w:val="bottom"/>
            <w:gridSpan w:val="3"/>
          </w:tcPr>
          <w:p>
            <w:pPr>
              <w:spacing w:after="0"/>
              <w:rPr>
                <w:sz w:val="20"/>
                <w:szCs w:val="20"/>
                <w:color w:val="auto"/>
              </w:rPr>
            </w:pPr>
            <w:r>
              <w:rPr>
                <w:rFonts w:ascii="Arial" w:cs="Arial" w:eastAsia="Arial" w:hAnsi="Arial"/>
                <w:sz w:val="18"/>
                <w:szCs w:val="18"/>
                <w:color w:val="auto"/>
              </w:rPr>
              <w:t>Edward A. Leininger</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62</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410"/>
        </w:trPr>
        <w:tc>
          <w:tcPr>
            <w:tcW w:w="2300" w:type="dxa"/>
            <w:vAlign w:val="bottom"/>
            <w:gridSpan w:val="3"/>
          </w:tcPr>
          <w:p>
            <w:pPr>
              <w:spacing w:after="0"/>
              <w:rPr>
                <w:sz w:val="20"/>
                <w:szCs w:val="20"/>
                <w:color w:val="auto"/>
              </w:rPr>
            </w:pPr>
            <w:r>
              <w:rPr>
                <w:rFonts w:ascii="Arial" w:cs="Arial" w:eastAsia="Arial" w:hAnsi="Arial"/>
                <w:sz w:val="18"/>
                <w:szCs w:val="18"/>
                <w:color w:val="auto"/>
              </w:rPr>
              <w:t>Rex D. Rice</w:t>
            </w:r>
          </w:p>
        </w:tc>
        <w:tc>
          <w:tcPr>
            <w:tcW w:w="980" w:type="dxa"/>
            <w:vAlign w:val="bottom"/>
            <w:gridSpan w:val="2"/>
          </w:tcPr>
          <w:p>
            <w:pPr>
              <w:ind w:left="760"/>
              <w:spacing w:after="0"/>
              <w:rPr>
                <w:sz w:val="20"/>
                <w:szCs w:val="20"/>
                <w:color w:val="auto"/>
              </w:rPr>
            </w:pPr>
            <w:r>
              <w:rPr>
                <w:rFonts w:ascii="Arial" w:cs="Arial" w:eastAsia="Arial" w:hAnsi="Arial"/>
                <w:sz w:val="18"/>
                <w:szCs w:val="18"/>
                <w:color w:val="auto"/>
                <w:w w:val="99"/>
              </w:rPr>
              <w:t>60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Senior Commercial Banking Director</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gridSpan w:val="2"/>
            <w:shd w:val="clear" w:color="auto" w:fill="BFBFBF"/>
          </w:tcPr>
          <w:p>
            <w:pPr>
              <w:spacing w:after="0" w:line="198" w:lineRule="exact"/>
              <w:rPr>
                <w:sz w:val="20"/>
                <w:szCs w:val="20"/>
                <w:color w:val="auto"/>
              </w:rPr>
            </w:pPr>
            <w:r>
              <w:rPr>
                <w:rFonts w:ascii="Arial" w:cs="Arial" w:eastAsia="Arial" w:hAnsi="Arial"/>
                <w:sz w:val="18"/>
                <w:szCs w:val="18"/>
                <w:color w:val="auto"/>
              </w:rPr>
              <w:t>Allen G. Lantz</w:t>
            </w:r>
          </w:p>
        </w:tc>
        <w:tc>
          <w:tcPr>
            <w:tcW w:w="980" w:type="dxa"/>
            <w:vAlign w:val="bottom"/>
            <w:gridSpan w:val="2"/>
            <w:shd w:val="clear" w:color="auto" w:fill="BFBFBF"/>
          </w:tcPr>
          <w:p>
            <w:pPr>
              <w:ind w:left="760"/>
              <w:spacing w:after="0" w:line="198" w:lineRule="exact"/>
              <w:rPr>
                <w:sz w:val="20"/>
                <w:szCs w:val="20"/>
                <w:color w:val="auto"/>
              </w:rPr>
            </w:pPr>
            <w:r>
              <w:rPr>
                <w:rFonts w:ascii="Arial" w:cs="Arial" w:eastAsia="Arial" w:hAnsi="Arial"/>
                <w:sz w:val="18"/>
                <w:szCs w:val="18"/>
                <w:color w:val="auto"/>
                <w:w w:val="99"/>
              </w:rPr>
              <w:t>65</w:t>
            </w:r>
          </w:p>
        </w:tc>
        <w:tc>
          <w:tcPr>
            <w:tcW w:w="8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4540" w:type="dxa"/>
            <w:vAlign w:val="bottom"/>
            <w:gridSpan w:val="3"/>
            <w:shd w:val="clear" w:color="auto" w:fill="BFBFBF"/>
          </w:tcPr>
          <w:p>
            <w:pPr>
              <w:spacing w:after="0" w:line="198" w:lineRule="exact"/>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shd w:val="clear" w:color="auto" w:fill="BFBFBF"/>
          </w:tcPr>
          <w:p>
            <w:pPr>
              <w:spacing w:after="0"/>
              <w:rPr>
                <w:sz w:val="19"/>
                <w:szCs w:val="19"/>
                <w:color w:val="auto"/>
              </w:rPr>
            </w:pPr>
          </w:p>
        </w:tc>
        <w:tc>
          <w:tcPr>
            <w:tcW w:w="1880" w:type="dxa"/>
            <w:vAlign w:val="bottom"/>
            <w:shd w:val="clear" w:color="auto" w:fill="BFBFBF"/>
          </w:tcPr>
          <w:p>
            <w:pPr>
              <w:spacing w:after="0"/>
              <w:rPr>
                <w:sz w:val="19"/>
                <w:szCs w:val="19"/>
                <w:color w:val="auto"/>
              </w:rPr>
            </w:pPr>
          </w:p>
        </w:tc>
        <w:tc>
          <w:tcPr>
            <w:tcW w:w="760" w:type="dxa"/>
            <w:vAlign w:val="bottom"/>
            <w:shd w:val="clear" w:color="auto" w:fill="BFBFBF"/>
          </w:tcPr>
          <w:p>
            <w:pPr>
              <w:spacing w:after="0"/>
              <w:rPr>
                <w:sz w:val="19"/>
                <w:szCs w:val="19"/>
                <w:color w:val="auto"/>
              </w:rPr>
            </w:pPr>
          </w:p>
        </w:tc>
        <w:tc>
          <w:tcPr>
            <w:tcW w:w="220" w:type="dxa"/>
            <w:vAlign w:val="bottom"/>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660" w:type="dxa"/>
            <w:vAlign w:val="bottom"/>
            <w:shd w:val="clear" w:color="auto" w:fill="BFBFBF"/>
          </w:tcPr>
          <w:p>
            <w:pPr>
              <w:spacing w:after="0"/>
              <w:rPr>
                <w:sz w:val="19"/>
                <w:szCs w:val="19"/>
                <w:color w:val="auto"/>
              </w:rPr>
            </w:pPr>
          </w:p>
        </w:tc>
        <w:tc>
          <w:tcPr>
            <w:tcW w:w="4540" w:type="dxa"/>
            <w:vAlign w:val="bottom"/>
            <w:gridSpan w:val="3"/>
            <w:shd w:val="clear" w:color="auto" w:fill="BFBFBF"/>
          </w:tcPr>
          <w:p>
            <w:pPr>
              <w:spacing w:after="0"/>
              <w:rPr>
                <w:sz w:val="20"/>
                <w:szCs w:val="20"/>
                <w:color w:val="auto"/>
              </w:rPr>
            </w:pPr>
            <w:r>
              <w:rPr>
                <w:rFonts w:ascii="Arial" w:cs="Arial" w:eastAsia="Arial" w:hAnsi="Arial"/>
                <w:sz w:val="18"/>
                <w:szCs w:val="18"/>
                <w:color w:val="auto"/>
              </w:rPr>
              <w:t>Retail Banking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-2942590</wp:posOffset>
            </wp:positionV>
            <wp:extent cx="5435600" cy="2943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35600" cy="2943225"/>
                    </a:xfrm>
                    <a:prstGeom prst="rect">
                      <a:avLst/>
                    </a:prstGeom>
                    <a:noFill/>
                  </pic:spPr>
                </pic:pic>
              </a:graphicData>
            </a:graphic>
          </wp:anchor>
        </w:drawing>
      </w:r>
    </w:p>
    <w:p>
      <w:pPr>
        <w:spacing w:after="0" w:line="17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16, 2019, and is incorporated herein by reference to the sections of the proxy statement captioned ‘Nominations for Members of the Board of Director” and “PROPOSAL ONE – Election of Directors and Information Concerning Directors and Officers.” The information called for under Item 405 of Regulation S-K and called for under Item 407(d)(5) is presented in the proxy statement to be furnished in connection with the solicitation of proxies on behalf of the Board of Directors of the Registrant for use at its Annual Meeting to be held on April 16, 2019, and is incorporated herein by reference to the sections of the proxy statement captioned “Section 16(a) Beneficial Ownership Reporting Compliance” and “Audit Committee Report.”</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 that the Corporation maintains sound corporate governance practices in the future. Annual testing and review of the Code is conducted and attested to by signatures of all officers and directors of the Company.</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copy of the Corporation's Code is available on the website of the Bank (</w:t>
      </w:r>
      <w:r>
        <w:rPr>
          <w:rFonts w:ascii="Arial" w:cs="Arial" w:eastAsia="Arial" w:hAnsi="Arial"/>
          <w:sz w:val="16"/>
          <w:szCs w:val="16"/>
          <w:u w:val="single" w:color="auto"/>
          <w:color w:val="auto"/>
        </w:rPr>
        <w:t>www.fm.bank</w:t>
      </w:r>
      <w:r>
        <w:rPr>
          <w:rFonts w:ascii="Arial" w:cs="Arial" w:eastAsia="Arial" w:hAnsi="Arial"/>
          <w:sz w:val="16"/>
          <w:szCs w:val="16"/>
          <w:color w:val="auto"/>
        </w:rPr>
        <w:t>). In addition, a copy of the Code is available to any shareholder free of charge upon request. Shareholders desiring a copy of the Code should address written requests to Mr. Lars B. Eller, President, Chief Executive Officer and Treasurer of Farmers &amp; Merchants Bancorp, Inc., 307 North Defiance Street, Archbold, Ohio 43502, and are asked to mark Code of Business Conduct and Ethics on the outside of the envelope containing the request.</w:t>
      </w:r>
    </w:p>
    <w:p>
      <w:pPr>
        <w:spacing w:after="0" w:line="16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-529590</wp:posOffset>
            </wp:positionH>
            <wp:positionV relativeFrom="paragraph">
              <wp:posOffset>64135</wp:posOffset>
            </wp:positionV>
            <wp:extent cx="729234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0600"/>
          </w:cols>
          <w:pgMar w:left="1060" w:top="169"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115" w:lineRule="exact"/>
        <w:rPr>
          <w:sz w:val="20"/>
          <w:szCs w:val="20"/>
          <w:color w:val="auto"/>
        </w:rPr>
      </w:pPr>
    </w:p>
    <w:p>
      <w:pPr>
        <w:jc w:val="both"/>
        <w:ind w:left="820"/>
        <w:spacing w:after="0" w:line="250" w:lineRule="auto"/>
        <w:rPr>
          <w:sz w:val="20"/>
          <w:szCs w:val="20"/>
          <w:color w:val="auto"/>
        </w:rPr>
      </w:pPr>
      <w:r>
        <w:rPr>
          <w:rFonts w:ascii="Arial" w:cs="Arial" w:eastAsia="Arial" w:hAnsi="Arial"/>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16, 2019, and is incorporated herein by reference to the sections of the proxy statement captioned “Compensation Discussion and Analysis,” “Compensation Committee Report,” and “Related Party Transactions.”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information called for by Item 403 of Regulation S-K is presented in the proxy statement to be furnished in connection with the solicitation of proxies on behalf of the Board of Directors of the Registrant for use at its Annual Meeting to be held Tuesday, April 16, 2019 and is incorporated herein by reference to the section of the proxy statement captioned “Security Ownership of Certain Beneficial Owners and Management.”</w:t>
      </w:r>
    </w:p>
    <w:p>
      <w:pPr>
        <w:spacing w:after="0" w:line="50" w:lineRule="exact"/>
        <w:rPr>
          <w:sz w:val="20"/>
          <w:szCs w:val="20"/>
          <w:color w:val="auto"/>
        </w:rPr>
      </w:pPr>
    </w:p>
    <w:p>
      <w:pPr>
        <w:jc w:val="both"/>
        <w:ind w:left="820"/>
        <w:spacing w:after="0" w:line="283" w:lineRule="auto"/>
        <w:rPr>
          <w:sz w:val="20"/>
          <w:szCs w:val="20"/>
          <w:color w:val="auto"/>
        </w:rPr>
      </w:pPr>
      <w:r>
        <w:rPr>
          <w:rFonts w:ascii="Arial" w:cs="Arial" w:eastAsia="Arial" w:hAnsi="Arial"/>
          <w:sz w:val="16"/>
          <w:szCs w:val="16"/>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2018, 33,000 shares were awarded to 80 employees and 2,620 were forfeited under its long term incentive plan. At year end, 2018, the Company held 1,114,739 shares in Treasury stock and 93,940 in unearned stock awards.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6"/>
          </w:tcPr>
          <w:p>
            <w:pPr>
              <w:jc w:val="center"/>
              <w:ind w:right="1612"/>
              <w:spacing w:after="0"/>
              <w:rPr>
                <w:sz w:val="20"/>
                <w:szCs w:val="20"/>
                <w:color w:val="auto"/>
              </w:rPr>
            </w:pPr>
            <w:r>
              <w:rPr>
                <w:rFonts w:ascii="Arial" w:cs="Arial" w:eastAsia="Arial" w:hAnsi="Arial"/>
                <w:sz w:val="18"/>
                <w:szCs w:val="18"/>
                <w:color w:val="auto"/>
                <w:w w:val="90"/>
              </w:rPr>
              <w:t>Equity Compensation Plan Information</w:t>
            </w:r>
          </w:p>
        </w:tc>
        <w:tc>
          <w:tcPr>
            <w:tcW w:w="120" w:type="dxa"/>
            <w:vAlign w:val="bottom"/>
          </w:tcPr>
          <w:p>
            <w:pPr>
              <w:spacing w:after="0"/>
              <w:rPr>
                <w:sz w:val="19"/>
                <w:szCs w:val="19"/>
                <w:color w:val="auto"/>
              </w:rPr>
            </w:pPr>
          </w:p>
        </w:tc>
      </w:tr>
      <w:tr>
        <w:trPr>
          <w:trHeight w:val="205"/>
        </w:trPr>
        <w:tc>
          <w:tcPr>
            <w:tcW w:w="50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120"/>
              <w:spacing w:after="0" w:line="205" w:lineRule="exact"/>
              <w:rPr>
                <w:sz w:val="20"/>
                <w:szCs w:val="20"/>
                <w:color w:val="auto"/>
              </w:rPr>
            </w:pPr>
            <w:r>
              <w:rPr>
                <w:rFonts w:ascii="Arial" w:cs="Arial" w:eastAsia="Arial" w:hAnsi="Arial"/>
                <w:sz w:val="18"/>
                <w:szCs w:val="18"/>
                <w:color w:val="auto"/>
                <w:w w:val="92"/>
              </w:rPr>
              <w:t>Number of</w:t>
            </w:r>
          </w:p>
        </w:tc>
      </w:tr>
      <w:tr>
        <w:trPr>
          <w:trHeight w:val="211"/>
        </w:trPr>
        <w:tc>
          <w:tcPr>
            <w:tcW w:w="5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securities remaining</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90"/>
              </w:rPr>
              <w:t>Number of</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available for future</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112"/>
              <w:spacing w:after="0"/>
              <w:rPr>
                <w:sz w:val="20"/>
                <w:szCs w:val="20"/>
                <w:color w:val="auto"/>
              </w:rPr>
            </w:pPr>
            <w:r>
              <w:rPr>
                <w:rFonts w:ascii="Arial" w:cs="Arial" w:eastAsia="Arial" w:hAnsi="Arial"/>
                <w:sz w:val="18"/>
                <w:szCs w:val="18"/>
                <w:color w:val="auto"/>
                <w:w w:val="87"/>
              </w:rPr>
              <w:t>securities to be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issuance under</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5"/>
              </w:rPr>
              <w:t>issued upon exercise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Weighted-average</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equity compensation plans</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8"/>
              </w:rPr>
              <w:t>of outstanding</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exercise price of</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(excluding securities</w:t>
            </w:r>
          </w:p>
        </w:tc>
      </w:tr>
      <w:tr>
        <w:trPr>
          <w:trHeight w:val="211"/>
        </w:trPr>
        <w:tc>
          <w:tcPr>
            <w:tcW w:w="5080" w:type="dxa"/>
            <w:vAlign w:val="bottom"/>
          </w:tcPr>
          <w:p>
            <w:pPr>
              <w:spacing w:after="0"/>
              <w:rPr>
                <w:sz w:val="18"/>
                <w:szCs w:val="18"/>
                <w:color w:val="auto"/>
              </w:rPr>
            </w:pPr>
          </w:p>
        </w:tc>
        <w:tc>
          <w:tcPr>
            <w:tcW w:w="1700" w:type="dxa"/>
            <w:vAlign w:val="bottom"/>
          </w:tcPr>
          <w:p>
            <w:pPr>
              <w:jc w:val="center"/>
              <w:ind w:left="92"/>
              <w:spacing w:after="0"/>
              <w:rPr>
                <w:sz w:val="20"/>
                <w:szCs w:val="20"/>
                <w:color w:val="auto"/>
              </w:rPr>
            </w:pPr>
            <w:r>
              <w:rPr>
                <w:rFonts w:ascii="Arial" w:cs="Arial" w:eastAsia="Arial" w:hAnsi="Arial"/>
                <w:sz w:val="18"/>
                <w:szCs w:val="18"/>
                <w:color w:val="auto"/>
                <w:w w:val="87"/>
              </w:rPr>
              <w:t>options, warrants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outstanding options,</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reflected</w:t>
            </w:r>
          </w:p>
        </w:tc>
      </w:tr>
      <w:tr>
        <w:trPr>
          <w:trHeight w:val="223"/>
        </w:trPr>
        <w:tc>
          <w:tcPr>
            <w:tcW w:w="5080" w:type="dxa"/>
            <w:vAlign w:val="bottom"/>
          </w:tcPr>
          <w:p>
            <w:pPr>
              <w:spacing w:after="0"/>
              <w:rPr>
                <w:sz w:val="19"/>
                <w:szCs w:val="19"/>
                <w:color w:val="auto"/>
              </w:rPr>
            </w:pPr>
          </w:p>
        </w:tc>
        <w:tc>
          <w:tcPr>
            <w:tcW w:w="170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color w:val="auto"/>
                <w:w w:val="88"/>
              </w:rPr>
              <w:t>and rights</w:t>
            </w: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7"/>
              </w:rPr>
              <w:t>warrants and rights</w:t>
            </w:r>
          </w:p>
        </w:tc>
        <w:tc>
          <w:tcPr>
            <w:tcW w:w="26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c>
          <w:tcPr>
            <w:tcW w:w="120" w:type="dxa"/>
            <w:vAlign w:val="bottom"/>
          </w:tcPr>
          <w:p>
            <w:pPr>
              <w:spacing w:after="0"/>
              <w:rPr>
                <w:sz w:val="19"/>
                <w:szCs w:val="19"/>
                <w:color w:val="auto"/>
              </w:rPr>
            </w:pPr>
          </w:p>
        </w:tc>
      </w:tr>
      <w:tr>
        <w:trPr>
          <w:trHeight w:val="217"/>
        </w:trPr>
        <w:tc>
          <w:tcPr>
            <w:tcW w:w="5080" w:type="dxa"/>
            <w:vAlign w:val="bottom"/>
            <w:tcBorders>
              <w:bottom w:val="single" w:sz="8" w:color="CFF0FC"/>
            </w:tcBorders>
          </w:tcPr>
          <w:p>
            <w:pPr>
              <w:spacing w:after="0"/>
              <w:rPr>
                <w:sz w:val="18"/>
                <w:szCs w:val="18"/>
                <w:color w:val="auto"/>
              </w:rPr>
            </w:pPr>
          </w:p>
        </w:tc>
        <w:tc>
          <w:tcPr>
            <w:tcW w:w="170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7"/>
              </w:rPr>
              <w:t>( a )</w:t>
            </w: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7"/>
              </w:rPr>
              <w:t>( b )</w:t>
            </w:r>
          </w:p>
        </w:tc>
        <w:tc>
          <w:tcPr>
            <w:tcW w:w="260" w:type="dxa"/>
            <w:vAlign w:val="bottom"/>
            <w:tcBorders>
              <w:bottom w:val="single" w:sz="8" w:color="CFF0FC"/>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c )</w:t>
            </w:r>
          </w:p>
        </w:tc>
        <w:tc>
          <w:tcPr>
            <w:tcW w:w="120" w:type="dxa"/>
            <w:vAlign w:val="bottom"/>
            <w:tcBorders>
              <w:bottom w:val="single" w:sz="8" w:color="CFF0FC"/>
            </w:tcBorders>
          </w:tcPr>
          <w:p>
            <w:pPr>
              <w:spacing w:after="0"/>
              <w:rPr>
                <w:sz w:val="18"/>
                <w:szCs w:val="18"/>
                <w:color w:val="auto"/>
              </w:rPr>
            </w:pPr>
          </w:p>
        </w:tc>
      </w:tr>
      <w:tr>
        <w:trPr>
          <w:trHeight w:val="205"/>
        </w:trPr>
        <w:tc>
          <w:tcPr>
            <w:tcW w:w="6780" w:type="dxa"/>
            <w:vAlign w:val="bottom"/>
            <w:gridSpan w:val="2"/>
            <w:shd w:val="clear" w:color="auto" w:fill="CFF0FC"/>
          </w:tcPr>
          <w:p>
            <w:pPr>
              <w:spacing w:after="0" w:line="205" w:lineRule="exact"/>
              <w:rPr>
                <w:sz w:val="20"/>
                <w:szCs w:val="20"/>
                <w:color w:val="auto"/>
              </w:rPr>
            </w:pPr>
            <w:r>
              <w:rPr>
                <w:rFonts w:ascii="Arial" w:cs="Arial" w:eastAsia="Arial" w:hAnsi="Arial"/>
                <w:sz w:val="18"/>
                <w:szCs w:val="18"/>
                <w:color w:val="auto"/>
              </w:rPr>
              <w:t>Equity compensation plans approved by</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3"/>
        </w:trPr>
        <w:tc>
          <w:tcPr>
            <w:tcW w:w="6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1,475,640</w:t>
            </w:r>
          </w:p>
        </w:tc>
        <w:tc>
          <w:tcPr>
            <w:tcW w:w="120" w:type="dxa"/>
            <w:vAlign w:val="bottom"/>
            <w:shd w:val="clear" w:color="auto" w:fill="CFF0FC"/>
          </w:tcPr>
          <w:p>
            <w:pPr>
              <w:spacing w:after="0"/>
              <w:rPr>
                <w:sz w:val="19"/>
                <w:szCs w:val="19"/>
                <w:color w:val="auto"/>
              </w:rPr>
            </w:pPr>
          </w:p>
        </w:tc>
      </w:tr>
      <w:tr>
        <w:trPr>
          <w:trHeight w:val="211"/>
        </w:trPr>
        <w:tc>
          <w:tcPr>
            <w:tcW w:w="67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678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24"/>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1,475,640</w:t>
            </w:r>
          </w:p>
        </w:tc>
        <w:tc>
          <w:tcPr>
            <w:tcW w:w="12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w:t>
      </w:r>
    </w:p>
    <w:p>
      <w:pPr>
        <w:spacing w:after="0" w:line="115" w:lineRule="exact"/>
        <w:rPr>
          <w:sz w:val="20"/>
          <w:szCs w:val="20"/>
          <w:color w:val="auto"/>
        </w:rPr>
      </w:pPr>
    </w:p>
    <w:p>
      <w:pPr>
        <w:jc w:val="both"/>
        <w:ind w:left="820"/>
        <w:spacing w:after="0" w:line="299" w:lineRule="auto"/>
        <w:rPr>
          <w:sz w:val="20"/>
          <w:szCs w:val="20"/>
          <w:color w:val="auto"/>
        </w:rPr>
      </w:pPr>
      <w:r>
        <w:rPr>
          <w:rFonts w:ascii="Arial" w:cs="Arial" w:eastAsia="Arial" w:hAnsi="Arial"/>
          <w:sz w:val="16"/>
          <w:szCs w:val="16"/>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16, 2019, and is incorporated herein by reference to the sections of the proxy statement captioned “Related Party Transactions” and “Director Independence.”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115"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16, 2019, and is incorporated herein by reference to the section of the proxy statement captioned “Selection of Auditors/Principal Accounting Firm Fees.”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PART IV</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AND FINANCIAL STATEMENTS SCHEDULES</w:t>
      </w:r>
    </w:p>
    <w:p>
      <w:pPr>
        <w:spacing w:after="0" w:line="128" w:lineRule="exact"/>
        <w:rPr>
          <w:sz w:val="20"/>
          <w:szCs w:val="20"/>
          <w:color w:val="auto"/>
        </w:rPr>
      </w:pPr>
    </w:p>
    <w:p>
      <w:pPr>
        <w:ind w:left="1380" w:hanging="453"/>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82" w:lineRule="exact"/>
        <w:rPr>
          <w:rFonts w:ascii="Arial" w:cs="Arial" w:eastAsia="Arial" w:hAnsi="Arial"/>
          <w:sz w:val="18"/>
          <w:szCs w:val="18"/>
          <w:color w:val="auto"/>
        </w:rPr>
      </w:pPr>
    </w:p>
    <w:p>
      <w:pPr>
        <w:ind w:left="2400" w:right="5060" w:hanging="1012"/>
        <w:spacing w:after="0" w:line="251" w:lineRule="auto"/>
        <w:tabs>
          <w:tab w:leader="none" w:pos="24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Financial Statements (included in this 10-K under Item 8) Report of Independent Accountants</w:t>
      </w:r>
    </w:p>
    <w:p>
      <w:pPr>
        <w:ind w:left="2400" w:right="6620"/>
        <w:spacing w:after="0" w:line="293" w:lineRule="auto"/>
        <w:rPr>
          <w:rFonts w:ascii="Arial" w:cs="Arial" w:eastAsia="Arial" w:hAnsi="Arial"/>
          <w:sz w:val="18"/>
          <w:szCs w:val="18"/>
          <w:color w:val="auto"/>
        </w:rPr>
      </w:pPr>
      <w:r>
        <w:rPr>
          <w:rFonts w:ascii="Arial" w:cs="Arial" w:eastAsia="Arial" w:hAnsi="Arial"/>
          <w:sz w:val="15"/>
          <w:szCs w:val="15"/>
          <w:color w:val="auto"/>
        </w:rPr>
        <w:t>Consolidated Balance Sheets Consolidated Statements of Income</w:t>
      </w:r>
    </w:p>
    <w:p>
      <w:pPr>
        <w:ind w:left="2400" w:right="4820"/>
        <w:spacing w:after="0" w:line="274" w:lineRule="auto"/>
        <w:rPr>
          <w:rFonts w:ascii="Arial" w:cs="Arial" w:eastAsia="Arial" w:hAnsi="Arial"/>
          <w:sz w:val="18"/>
          <w:szCs w:val="18"/>
          <w:color w:val="auto"/>
        </w:rPr>
      </w:pPr>
      <w:r>
        <w:rPr>
          <w:rFonts w:ascii="Arial" w:cs="Arial" w:eastAsia="Arial" w:hAnsi="Arial"/>
          <w:sz w:val="16"/>
          <w:szCs w:val="16"/>
          <w:color w:val="auto"/>
        </w:rPr>
        <w:t>Consolidated Statements of Changes in Shareholders’ Equity Consolidated Statements of Cash Flows</w:t>
      </w:r>
    </w:p>
    <w:p>
      <w:pPr>
        <w:spacing w:after="0" w:line="1"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Note to Consolidated Financial Statements</w:t>
      </w:r>
    </w:p>
    <w:p>
      <w:pPr>
        <w:spacing w:after="0" w:line="71" w:lineRule="exact"/>
        <w:rPr>
          <w:rFonts w:ascii="Arial" w:cs="Arial" w:eastAsia="Arial" w:hAnsi="Arial"/>
          <w:sz w:val="18"/>
          <w:szCs w:val="18"/>
          <w:color w:val="auto"/>
        </w:rPr>
      </w:pPr>
    </w:p>
    <w:p>
      <w:pPr>
        <w:ind w:left="2400" w:right="6700" w:hanging="1012"/>
        <w:spacing w:after="0" w:line="324" w:lineRule="auto"/>
        <w:tabs>
          <w:tab w:leader="none" w:pos="24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Financial Statement Schedules Five Year Summary of Operations</w:t>
      </w:r>
    </w:p>
    <w:p>
      <w:pPr>
        <w:spacing w:after="0" w:line="3" w:lineRule="exact"/>
        <w:rPr>
          <w:rFonts w:ascii="Arial" w:cs="Arial" w:eastAsia="Arial" w:hAnsi="Arial"/>
          <w:sz w:val="16"/>
          <w:szCs w:val="16"/>
          <w:color w:val="auto"/>
        </w:rPr>
      </w:pPr>
    </w:p>
    <w:p>
      <w:pPr>
        <w:ind w:left="1380" w:hanging="453"/>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82" w:lineRule="exact"/>
        <w:rPr>
          <w:rFonts w:ascii="Arial" w:cs="Arial" w:eastAsia="Arial" w:hAnsi="Arial"/>
          <w:sz w:val="18"/>
          <w:szCs w:val="18"/>
          <w:color w:val="auto"/>
        </w:rPr>
      </w:pPr>
    </w:p>
    <w:p>
      <w:pPr>
        <w:ind w:left="2400" w:hanging="1014"/>
        <w:spacing w:after="0" w:line="262" w:lineRule="auto"/>
        <w:rPr>
          <w:rFonts w:ascii="Arial" w:cs="Arial" w:eastAsia="Arial" w:hAnsi="Arial"/>
          <w:sz w:val="18"/>
          <w:szCs w:val="18"/>
          <w:u w:val="single" w:color="auto"/>
          <w:color w:val="0000EE"/>
        </w:rPr>
      </w:pPr>
      <w:r>
        <w:rPr>
          <w:rFonts w:ascii="Arial" w:cs="Arial" w:eastAsia="Arial" w:hAnsi="Arial"/>
          <w:sz w:val="18"/>
          <w:szCs w:val="18"/>
          <w:color w:val="auto"/>
        </w:rPr>
        <w:t>(3.1)</w:t>
      </w:r>
      <w:hyperlink r:id="rId133">
        <w:r>
          <w:rPr>
            <w:rFonts w:ascii="Arial" w:cs="Arial" w:eastAsia="Arial" w:hAnsi="Arial"/>
            <w:sz w:val="18"/>
            <w:szCs w:val="18"/>
            <w:u w:val="single" w:color="auto"/>
            <w:color w:val="0000EE"/>
          </w:rPr>
          <w:t>Amended Articles of Incorporation of the Registrant (incorporated by reference to Exhibit 3.1 to Registrant's Quarterly Repor</w:t>
        </w:r>
      </w:hyperlink>
      <w:r>
        <w:rPr>
          <w:rFonts w:ascii="Arial" w:cs="Arial" w:eastAsia="Arial" w:hAnsi="Arial"/>
          <w:sz w:val="18"/>
          <w:szCs w:val="18"/>
          <w:u w:val="single" w:color="auto"/>
          <w:color w:val="0000EE"/>
        </w:rPr>
        <w:t xml:space="preserve"> </w:t>
      </w:r>
      <w:hyperlink r:id="rId133">
        <w:r>
          <w:rPr>
            <w:rFonts w:ascii="Arial" w:cs="Arial" w:eastAsia="Arial" w:hAnsi="Arial"/>
            <w:sz w:val="18"/>
            <w:szCs w:val="18"/>
            <w:u w:val="single" w:color="auto"/>
            <w:color w:val="0000EE"/>
          </w:rPr>
          <w:t>Form 10-Q filed with the Commission on October 25, 2017).</w:t>
        </w:r>
      </w:hyperlink>
    </w:p>
    <w:p>
      <w:pPr>
        <w:spacing w:after="0" w:line="48" w:lineRule="exact"/>
        <w:rPr>
          <w:rFonts w:ascii="Arial" w:cs="Arial" w:eastAsia="Arial" w:hAnsi="Arial"/>
          <w:sz w:val="18"/>
          <w:szCs w:val="18"/>
          <w:u w:val="single" w:color="auto"/>
          <w:color w:val="0000EE"/>
        </w:rPr>
      </w:pPr>
    </w:p>
    <w:p>
      <w:pPr>
        <w:ind w:left="2400" w:hanging="1014"/>
        <w:spacing w:after="0" w:line="262" w:lineRule="auto"/>
        <w:rPr>
          <w:rFonts w:ascii="Arial" w:cs="Arial" w:eastAsia="Arial" w:hAnsi="Arial"/>
          <w:sz w:val="18"/>
          <w:szCs w:val="18"/>
          <w:u w:val="single" w:color="auto"/>
          <w:color w:val="0000EE"/>
        </w:rPr>
      </w:pPr>
      <w:r>
        <w:rPr>
          <w:rFonts w:ascii="Arial" w:cs="Arial" w:eastAsia="Arial" w:hAnsi="Arial"/>
          <w:sz w:val="18"/>
          <w:szCs w:val="18"/>
          <w:color w:val="auto"/>
        </w:rPr>
        <w:t>(3.2)</w:t>
      </w:r>
      <w:hyperlink r:id="rId134">
        <w:r>
          <w:rPr>
            <w:rFonts w:ascii="Arial" w:cs="Arial" w:eastAsia="Arial" w:hAnsi="Arial"/>
            <w:sz w:val="18"/>
            <w:szCs w:val="18"/>
            <w:u w:val="single" w:color="auto"/>
            <w:color w:val="0000EE"/>
          </w:rPr>
          <w:t>Code of Regulations of the Registrant (incorporated by reference to Exhibit 3.2 to the Company’s Quarterly Report on Form 1</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that was filed with the Commission on July 26, 2017).</w:t>
        </w:r>
      </w:hyperlink>
    </w:p>
    <w:p>
      <w:pPr>
        <w:spacing w:after="0" w:line="48" w:lineRule="exact"/>
        <w:rPr>
          <w:rFonts w:ascii="Arial" w:cs="Arial" w:eastAsia="Arial" w:hAnsi="Arial"/>
          <w:sz w:val="18"/>
          <w:szCs w:val="18"/>
          <w:u w:val="single" w:color="auto"/>
          <w:color w:val="0000EE"/>
        </w:rPr>
      </w:pPr>
    </w:p>
    <w:p>
      <w:pPr>
        <w:ind w:left="2400" w:hanging="1014"/>
        <w:spacing w:after="0" w:line="253" w:lineRule="auto"/>
        <w:rPr>
          <w:rFonts w:ascii="Arial" w:cs="Arial" w:eastAsia="Arial" w:hAnsi="Arial"/>
          <w:sz w:val="18"/>
          <w:szCs w:val="18"/>
          <w:u w:val="single" w:color="auto"/>
          <w:color w:val="0000EE"/>
        </w:rPr>
      </w:pPr>
      <w:r>
        <w:rPr>
          <w:rFonts w:ascii="Arial" w:cs="Arial" w:eastAsia="Arial" w:hAnsi="Arial"/>
          <w:sz w:val="18"/>
          <w:szCs w:val="18"/>
          <w:color w:val="auto"/>
        </w:rPr>
        <w:t>(10.1)</w:t>
      </w:r>
      <w:hyperlink r:id="rId135">
        <w:r>
          <w:rPr>
            <w:rFonts w:ascii="Arial" w:cs="Arial" w:eastAsia="Arial" w:hAnsi="Arial"/>
            <w:sz w:val="18"/>
            <w:szCs w:val="18"/>
            <w:u w:val="single" w:color="auto"/>
            <w:color w:val="0000EE"/>
          </w:rPr>
          <w:t>Form of Change in Control Agreement executed by and between the Company and each of Paul S. Siebenmorgen and Barba</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Britenriker, respectively, on December 26, 2012 (incorporated by reference to Exhibit 10.1 to the Annual Report on Form 10-K</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with the Commission on February 25, 2013).</w:t>
        </w:r>
      </w:hyperlink>
    </w:p>
    <w:p>
      <w:pPr>
        <w:sectPr>
          <w:pgSz w:w="11900" w:h="16838" w:orient="portrait"/>
          <w:cols w:equalWidth="0" w:num="1">
            <w:col w:w="11520"/>
          </w:cols>
          <w:pgMar w:left="240" w:top="187" w:right="139" w:bottom="1440" w:gutter="0" w:footer="0" w:header="0"/>
        </w:sectPr>
      </w:pPr>
    </w:p>
    <w:p>
      <w:pPr>
        <w:spacing w:after="0" w:line="57" w:lineRule="exact"/>
        <w:rPr>
          <w:rFonts w:ascii="Arial" w:cs="Arial" w:eastAsia="Arial" w:hAnsi="Arial"/>
          <w:sz w:val="18"/>
          <w:szCs w:val="18"/>
          <w:u w:val="single" w:color="auto"/>
          <w:color w:val="0000EE"/>
        </w:rPr>
      </w:pPr>
    </w:p>
    <w:p>
      <w:pPr>
        <w:ind w:left="1380"/>
        <w:spacing w:after="0"/>
        <w:rPr>
          <w:sz w:val="20"/>
          <w:szCs w:val="20"/>
          <w:color w:val="auto"/>
        </w:rPr>
      </w:pPr>
      <w:r>
        <w:rPr>
          <w:rFonts w:ascii="Arial" w:cs="Arial" w:eastAsia="Arial" w:hAnsi="Arial"/>
          <w:sz w:val="16"/>
          <w:szCs w:val="16"/>
          <w:color w:val="auto"/>
        </w:rPr>
        <w:t>(10.2)</w:t>
      </w:r>
    </w:p>
    <w:p>
      <w:pPr>
        <w:spacing w:after="0" w:line="200" w:lineRule="exact"/>
        <w:rPr>
          <w:rFonts w:ascii="Arial" w:cs="Arial" w:eastAsia="Arial" w:hAnsi="Arial"/>
          <w:sz w:val="18"/>
          <w:szCs w:val="18"/>
          <w:u w:val="single" w:color="auto"/>
          <w:color w:val="0000EE"/>
        </w:rPr>
      </w:pPr>
    </w:p>
    <w:p>
      <w:pPr>
        <w:spacing w:after="0" w:line="248" w:lineRule="exact"/>
        <w:rPr>
          <w:rFonts w:ascii="Arial" w:cs="Arial" w:eastAsia="Arial" w:hAnsi="Arial"/>
          <w:sz w:val="18"/>
          <w:szCs w:val="18"/>
          <w:u w:val="single" w:color="auto"/>
          <w:color w:val="0000EE"/>
        </w:rPr>
      </w:pPr>
    </w:p>
    <w:p>
      <w:pPr>
        <w:ind w:left="1380"/>
        <w:spacing w:after="0"/>
        <w:rPr>
          <w:sz w:val="20"/>
          <w:szCs w:val="20"/>
          <w:color w:val="auto"/>
        </w:rPr>
      </w:pPr>
      <w:r>
        <w:rPr>
          <w:rFonts w:ascii="Arial" w:cs="Arial" w:eastAsia="Arial" w:hAnsi="Arial"/>
          <w:sz w:val="16"/>
          <w:szCs w:val="16"/>
          <w:color w:val="auto"/>
        </w:rPr>
        <w:t>(10.3)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37" w:lineRule="exact"/>
        <w:rPr>
          <w:rFonts w:ascii="Arial" w:cs="Arial" w:eastAsia="Arial" w:hAnsi="Arial"/>
          <w:sz w:val="18"/>
          <w:szCs w:val="18"/>
          <w:u w:val="single" w:color="auto"/>
          <w:color w:val="0000EE"/>
        </w:rPr>
      </w:pPr>
    </w:p>
    <w:p>
      <w:pPr>
        <w:spacing w:after="0" w:line="253" w:lineRule="auto"/>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Form of Change in Control Agreement executed by and between the Company and each of Edward A. Leininger and Rex D.</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respectively, on December 26, 2012 (incorporated by reference to Exhibit 10.2 to the Annual Report on Form 10-K filed with</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Commission on February 25, 2013).</w:t>
        </w:r>
      </w:hyperlink>
    </w:p>
    <w:p>
      <w:pPr>
        <w:spacing w:after="0" w:line="57" w:lineRule="exact"/>
        <w:rPr>
          <w:rFonts w:ascii="Arial" w:cs="Arial" w:eastAsia="Arial" w:hAnsi="Arial"/>
          <w:sz w:val="18"/>
          <w:szCs w:val="18"/>
          <w:u w:val="single" w:color="auto"/>
          <w:color w:val="0000EE"/>
        </w:rPr>
      </w:pPr>
    </w:p>
    <w:p>
      <w:pPr>
        <w:jc w:val="both"/>
        <w:spacing w:after="0" w:line="324" w:lineRule="auto"/>
        <w:rPr>
          <w:rFonts w:ascii="Arial" w:cs="Arial" w:eastAsia="Arial" w:hAnsi="Arial"/>
          <w:sz w:val="16"/>
          <w:szCs w:val="16"/>
          <w:u w:val="single" w:color="auto"/>
          <w:color w:val="0000EE"/>
        </w:rPr>
      </w:pPr>
      <w:hyperlink r:id="rId137">
        <w:r>
          <w:rPr>
            <w:rFonts w:ascii="Arial" w:cs="Arial" w:eastAsia="Arial" w:hAnsi="Arial"/>
            <w:sz w:val="16"/>
            <w:szCs w:val="16"/>
            <w:u w:val="single" w:color="auto"/>
            <w:color w:val="0000EE"/>
          </w:rPr>
          <w:t>Employment Agreement executed by and between The Farmers &amp; Merchants State Bank and Lars B. Eller on September 13, 2</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(incorporated by reference to Exhibit 10.1 to Registrant’s Report on Form 8-K filed with the Commission on September 13, 2018)</w:t>
        </w:r>
      </w:hyperlink>
    </w:p>
    <w:p>
      <w:pPr>
        <w:spacing w:after="0" w:line="1" w:lineRule="exact"/>
        <w:rPr>
          <w:sz w:val="20"/>
          <w:szCs w:val="20"/>
          <w:color w:val="auto"/>
        </w:rPr>
      </w:pPr>
    </w:p>
    <w:p>
      <w:pPr>
        <w:sectPr>
          <w:pgSz w:w="11900" w:h="16838" w:orient="portrait"/>
          <w:cols w:equalWidth="0" w:num="2">
            <w:col w:w="1820" w:space="580"/>
            <w:col w:w="9120"/>
          </w:cols>
          <w:pgMar w:left="240" w:top="187" w:right="139" w:bottom="1440" w:gutter="0" w:footer="0" w:header="0"/>
          <w:type w:val="continuous"/>
        </w:sectPr>
      </w:pPr>
    </w:p>
    <w:tbl>
      <w:tblPr>
        <w:tblLayout w:type="fixed"/>
        <w:tblInd w:w="1380" w:type="dxa"/>
        <w:tblCellMar>
          <w:top w:w="0" w:type="dxa"/>
          <w:left w:w="0" w:type="dxa"/>
          <w:bottom w:w="0" w:type="dxa"/>
          <w:right w:w="0" w:type="dxa"/>
        </w:tblCellMar>
      </w:tblPr>
      <w:tr>
        <w:trPr>
          <w:trHeight w:val="187"/>
        </w:trPr>
        <w:tc>
          <w:tcPr>
            <w:tcW w:w="1020" w:type="dxa"/>
            <w:vAlign w:val="bottom"/>
          </w:tcPr>
          <w:p>
            <w:pPr>
              <w:spacing w:after="0" w:line="188" w:lineRule="exact"/>
              <w:rPr>
                <w:sz w:val="20"/>
                <w:szCs w:val="20"/>
                <w:color w:val="auto"/>
              </w:rPr>
            </w:pPr>
            <w:r>
              <w:rPr>
                <w:rFonts w:ascii="Arial" w:cs="Arial" w:eastAsia="Arial" w:hAnsi="Arial"/>
                <w:sz w:val="18"/>
                <w:szCs w:val="18"/>
                <w:color w:val="auto"/>
              </w:rPr>
              <w:t>(10.4)</w:t>
            </w:r>
          </w:p>
        </w:tc>
        <w:tc>
          <w:tcPr>
            <w:tcW w:w="9120" w:type="dxa"/>
            <w:vAlign w:val="bottom"/>
            <w:tcBorders>
              <w:bottom w:val="single" w:sz="8" w:color="0000EE"/>
            </w:tcBorders>
            <w:gridSpan w:val="4"/>
          </w:tcPr>
          <w:p>
            <w:pPr>
              <w:spacing w:after="0" w:line="188"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Farmers &amp; Merchants Bancorp, Inc. 2015 Long-Term Stock Incentive Plan (incorporated by reference to Appendix A to Registr</w:t>
              </w:r>
            </w:hyperlink>
          </w:p>
        </w:tc>
      </w:tr>
      <w:tr>
        <w:trPr>
          <w:trHeight w:val="191"/>
        </w:trPr>
        <w:tc>
          <w:tcPr>
            <w:tcW w:w="1020" w:type="dxa"/>
            <w:vAlign w:val="bottom"/>
          </w:tcPr>
          <w:p>
            <w:pPr>
              <w:spacing w:after="0"/>
              <w:rPr>
                <w:sz w:val="16"/>
                <w:szCs w:val="16"/>
                <w:color w:val="auto"/>
              </w:rPr>
            </w:pPr>
          </w:p>
        </w:tc>
        <w:tc>
          <w:tcPr>
            <w:tcW w:w="7180" w:type="dxa"/>
            <w:vAlign w:val="bottom"/>
            <w:tcBorders>
              <w:bottom w:val="single" w:sz="8" w:color="0000EE"/>
            </w:tcBorders>
            <w:gridSpan w:val="3"/>
          </w:tcPr>
          <w:p>
            <w:pPr>
              <w:spacing w:after="0" w:line="191"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Definitive 14A Proxy Statement, File No. 000-14492, filed with the Commission on March 16, 2015).</w:t>
              </w:r>
            </w:hyperlink>
          </w:p>
        </w:tc>
        <w:tc>
          <w:tcPr>
            <w:tcW w:w="1940" w:type="dxa"/>
            <w:vAlign w:val="bottom"/>
          </w:tcPr>
          <w:p>
            <w:pPr>
              <w:spacing w:after="0"/>
              <w:rPr>
                <w:sz w:val="16"/>
                <w:szCs w:val="16"/>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9120" w:type="dxa"/>
            <w:vAlign w:val="bottom"/>
            <w:tcBorders>
              <w:bottom w:val="single" w:sz="8" w:color="0000EE"/>
            </w:tcBorders>
            <w:gridSpan w:val="4"/>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Farmers &amp; Merchants Bancorp, Inc. 2005 Long-Term Stock Incentive Plan (incorporated by reference to Exhibit 10.1 to the Quar</w:t>
              </w:r>
            </w:hyperlink>
          </w:p>
        </w:tc>
      </w:tr>
      <w:tr>
        <w:trPr>
          <w:trHeight w:val="191"/>
        </w:trPr>
        <w:tc>
          <w:tcPr>
            <w:tcW w:w="1020" w:type="dxa"/>
            <w:vAlign w:val="bottom"/>
          </w:tcPr>
          <w:p>
            <w:pPr>
              <w:spacing w:after="0"/>
              <w:rPr>
                <w:sz w:val="16"/>
                <w:szCs w:val="16"/>
                <w:color w:val="auto"/>
              </w:rPr>
            </w:pPr>
          </w:p>
        </w:tc>
        <w:tc>
          <w:tcPr>
            <w:tcW w:w="9120" w:type="dxa"/>
            <w:vAlign w:val="bottom"/>
            <w:gridSpan w:val="4"/>
          </w:tcPr>
          <w:p>
            <w:pPr>
              <w:spacing w:after="0" w:line="191" w:lineRule="exact"/>
              <w:rPr>
                <w:rFonts w:ascii="Arial" w:cs="Arial" w:eastAsia="Arial" w:hAnsi="Arial"/>
                <w:sz w:val="18"/>
                <w:szCs w:val="18"/>
                <w:color w:val="0000EE"/>
              </w:rPr>
            </w:pPr>
            <w:hyperlink r:id="rId139">
              <w:r>
                <w:rPr>
                  <w:rFonts w:ascii="Arial" w:cs="Arial" w:eastAsia="Arial" w:hAnsi="Arial"/>
                  <w:sz w:val="18"/>
                  <w:szCs w:val="18"/>
                  <w:color w:val="0000EE"/>
                </w:rPr>
                <w:t>Report on Form 10-Q filed with the Commission on October 27, 2005).</w:t>
              </w:r>
            </w:hyperlink>
          </w:p>
        </w:tc>
      </w:tr>
      <w:tr>
        <w:trPr>
          <w:trHeight w:val="20"/>
        </w:trPr>
        <w:tc>
          <w:tcPr>
            <w:tcW w:w="10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(10.55)</w:t>
            </w:r>
          </w:p>
        </w:tc>
        <w:tc>
          <w:tcPr>
            <w:tcW w:w="9120" w:type="dxa"/>
            <w:vAlign w:val="bottom"/>
            <w:tcBorders>
              <w:bottom w:val="single" w:sz="8" w:color="0000EE"/>
            </w:tcBorders>
            <w:gridSpan w:val="4"/>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Form on Restricted Stock Agreement (incorporated by reference to Exhibit 10.2 to the Quarterly Report on Form 10-Q filed with</w:t>
              </w:r>
            </w:hyperlink>
          </w:p>
        </w:tc>
      </w:tr>
      <w:tr>
        <w:trPr>
          <w:trHeight w:val="191"/>
        </w:trPr>
        <w:tc>
          <w:tcPr>
            <w:tcW w:w="1020" w:type="dxa"/>
            <w:vAlign w:val="bottom"/>
          </w:tcPr>
          <w:p>
            <w:pPr>
              <w:spacing w:after="0"/>
              <w:rPr>
                <w:sz w:val="16"/>
                <w:szCs w:val="16"/>
                <w:color w:val="auto"/>
              </w:rPr>
            </w:pPr>
          </w:p>
        </w:tc>
        <w:tc>
          <w:tcPr>
            <w:tcW w:w="2480" w:type="dxa"/>
            <w:vAlign w:val="bottom"/>
            <w:tcBorders>
              <w:bottom w:val="single" w:sz="8" w:color="0000EE"/>
            </w:tcBorders>
          </w:tcPr>
          <w:p>
            <w:pPr>
              <w:spacing w:after="0" w:line="191" w:lineRule="exact"/>
              <w:rPr>
                <w:rFonts w:ascii="Arial" w:cs="Arial" w:eastAsia="Arial" w:hAnsi="Arial"/>
                <w:sz w:val="18"/>
                <w:szCs w:val="18"/>
                <w:color w:val="0000EE"/>
                <w:w w:val="88"/>
              </w:rPr>
            </w:pPr>
            <w:hyperlink r:id="rId140">
              <w:r>
                <w:rPr>
                  <w:rFonts w:ascii="Arial" w:cs="Arial" w:eastAsia="Arial" w:hAnsi="Arial"/>
                  <w:sz w:val="18"/>
                  <w:szCs w:val="18"/>
                  <w:color w:val="0000EE"/>
                  <w:w w:val="88"/>
                </w:rPr>
                <w:t>Commission on October 27, 2005).</w:t>
              </w:r>
            </w:hyperlink>
          </w:p>
        </w:tc>
        <w:tc>
          <w:tcPr>
            <w:tcW w:w="6640" w:type="dxa"/>
            <w:vAlign w:val="bottom"/>
            <w:gridSpan w:val="3"/>
          </w:tcPr>
          <w:p>
            <w:pPr>
              <w:spacing w:after="0"/>
              <w:rPr>
                <w:sz w:val="16"/>
                <w:szCs w:val="16"/>
                <w:color w:val="auto"/>
              </w:rPr>
            </w:pPr>
          </w:p>
        </w:tc>
      </w:tr>
    </w:tbl>
    <w:p>
      <w:pPr>
        <w:spacing w:after="0" w:line="93" w:lineRule="exact"/>
        <w:rPr>
          <w:sz w:val="20"/>
          <w:szCs w:val="20"/>
          <w:color w:val="auto"/>
        </w:rPr>
      </w:pPr>
    </w:p>
    <w:p>
      <w:pPr>
        <w:ind w:left="2400" w:hanging="1012"/>
        <w:spacing w:after="0"/>
        <w:tabs>
          <w:tab w:leader="none" w:pos="2400" w:val="left"/>
        </w:tabs>
        <w:numPr>
          <w:ilvl w:val="0"/>
          <w:numId w:val="22"/>
        </w:numPr>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Subsidiaries of Farmers &amp; Merchants Bancorp, Inc.</w:t>
        </w:r>
      </w:hyperlink>
    </w:p>
    <w:p>
      <w:pPr>
        <w:spacing w:after="0" w:line="59"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6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Certification of the Chief Executive Officer Required under Rule 13(a)-14(a)/15d-14(a)</w:t>
              </w:r>
            </w:hyperlink>
          </w:p>
        </w:tc>
        <w:tc>
          <w:tcPr>
            <w:tcW w:w="1160" w:type="dxa"/>
            <w:vAlign w:val="bottom"/>
            <w:gridSpan w:val="2"/>
          </w:tcPr>
          <w:p>
            <w:pPr>
              <w:spacing w:after="0"/>
              <w:rPr>
                <w:sz w:val="18"/>
                <w:szCs w:val="18"/>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732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Certification of the Chief Financial Officer Required under Rule 13(a)-14(a)/15d-14(a)</w:t>
              </w:r>
            </w:hyperlink>
          </w:p>
        </w:tc>
      </w:tr>
      <w:tr>
        <w:trPr>
          <w:trHeight w:val="20"/>
        </w:trPr>
        <w:tc>
          <w:tcPr>
            <w:tcW w:w="1020" w:type="dxa"/>
            <w:vAlign w:val="bottom"/>
          </w:tcPr>
          <w:p>
            <w:pPr>
              <w:spacing w:after="0" w:line="20" w:lineRule="exact"/>
              <w:rPr>
                <w:sz w:val="1"/>
                <w:szCs w:val="1"/>
                <w:color w:val="auto"/>
              </w:rPr>
            </w:pPr>
          </w:p>
        </w:tc>
        <w:tc>
          <w:tcPr>
            <w:tcW w:w="610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73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Certification of the Chief Executive Officer Pursuant to Section 906 of the Sarbanes-Oxley Act of 2002.</w:t>
              </w:r>
            </w:hyperlink>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(32.2)</w:t>
            </w:r>
          </w:p>
        </w:tc>
        <w:tc>
          <w:tcPr>
            <w:tcW w:w="728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2">
              <w:r>
                <w:rPr>
                  <w:rFonts w:ascii="Arial" w:cs="Arial" w:eastAsia="Arial" w:hAnsi="Arial"/>
                  <w:sz w:val="18"/>
                  <w:szCs w:val="18"/>
                  <w:color w:val="0000EE"/>
                  <w:w w:val="89"/>
                </w:rPr>
                <w:t>Certification of the Chief Financial Officer Pursuant to Section 906 of the Sarbanes-Oxley Act of 2002.</w:t>
              </w:r>
            </w:hyperlink>
          </w:p>
        </w:tc>
        <w:tc>
          <w:tcPr>
            <w:tcW w:w="40" w:type="dxa"/>
            <w:vAlign w:val="bottom"/>
          </w:tcPr>
          <w:p>
            <w:pPr>
              <w:spacing w:after="0"/>
              <w:rPr>
                <w:sz w:val="23"/>
                <w:szCs w:val="23"/>
                <w:color w:val="auto"/>
              </w:rPr>
            </w:pPr>
          </w:p>
        </w:tc>
      </w:tr>
      <w:tr>
        <w:trPr>
          <w:trHeight w:val="309"/>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Instance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732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 (1)</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16. FORM 10-K SUMMARY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29234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292340" cy="41910"/>
                    </a:xfrm>
                    <a:prstGeom prst="rect">
                      <a:avLst/>
                    </a:prstGeom>
                    <a:noFill/>
                  </pic:spPr>
                </pic:pic>
              </a:graphicData>
            </a:graphic>
          </wp:anchor>
        </w:drawing>
      </w:r>
    </w:p>
    <w:p>
      <w:pPr>
        <w:sectPr>
          <w:pgSz w:w="11900" w:h="16838" w:orient="portrait"/>
          <w:cols w:equalWidth="0" w:num="1">
            <w:col w:w="11520"/>
          </w:cols>
          <w:pgMar w:left="240" w:top="187" w:right="139" w:bottom="1440" w:gutter="0" w:footer="0" w:header="0"/>
          <w:type w:val="continuous"/>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10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5160" w:type="dxa"/>
        <w:tblCellMar>
          <w:top w:w="0" w:type="dxa"/>
          <w:left w:w="0" w:type="dxa"/>
          <w:bottom w:w="0" w:type="dxa"/>
          <w:right w:w="0" w:type="dxa"/>
        </w:tblCellMar>
      </w:tblPr>
      <w:tr>
        <w:trPr>
          <w:trHeight w:val="223"/>
        </w:trPr>
        <w:tc>
          <w:tcPr>
            <w:tcW w:w="3680" w:type="dxa"/>
            <w:vAlign w:val="bottom"/>
            <w:gridSpan w:val="2"/>
          </w:tcPr>
          <w:p>
            <w:pPr>
              <w:spacing w:after="0"/>
              <w:rPr>
                <w:sz w:val="20"/>
                <w:szCs w:val="20"/>
                <w:color w:val="auto"/>
              </w:rPr>
            </w:pPr>
            <w:r>
              <w:rPr>
                <w:rFonts w:ascii="Arial" w:cs="Arial" w:eastAsia="Arial" w:hAnsi="Arial"/>
                <w:sz w:val="18"/>
                <w:szCs w:val="18"/>
                <w:color w:val="auto"/>
              </w:rPr>
              <w:t>By  /s/ Lars B. Eller</w:t>
            </w:r>
          </w:p>
        </w:tc>
        <w:tc>
          <w:tcPr>
            <w:tcW w:w="600" w:type="dxa"/>
            <w:vAlign w:val="bottom"/>
          </w:tcPr>
          <w:p>
            <w:pPr>
              <w:ind w:left="100"/>
              <w:spacing w:after="0"/>
              <w:rPr>
                <w:sz w:val="20"/>
                <w:szCs w:val="20"/>
                <w:color w:val="auto"/>
              </w:rPr>
            </w:pPr>
            <w:r>
              <w:rPr>
                <w:rFonts w:ascii="Arial" w:cs="Arial" w:eastAsia="Arial" w:hAnsi="Arial"/>
                <w:sz w:val="18"/>
                <w:szCs w:val="18"/>
                <w:color w:val="auto"/>
              </w:rPr>
              <w:t>Date:</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February 22, 2019</w:t>
            </w:r>
          </w:p>
        </w:tc>
      </w:tr>
      <w:tr>
        <w:trPr>
          <w:trHeight w:val="192"/>
        </w:trPr>
        <w:tc>
          <w:tcPr>
            <w:tcW w:w="340" w:type="dxa"/>
            <w:vAlign w:val="bottom"/>
          </w:tcPr>
          <w:p>
            <w:pPr>
              <w:spacing w:after="0"/>
              <w:rPr>
                <w:sz w:val="16"/>
                <w:szCs w:val="16"/>
                <w:color w:val="auto"/>
              </w:rPr>
            </w:pPr>
          </w:p>
        </w:tc>
        <w:tc>
          <w:tcPr>
            <w:tcW w:w="33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r>
      <w:tr>
        <w:trPr>
          <w:trHeight w:val="211"/>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2"/>
        </w:trPr>
        <w:tc>
          <w:tcPr>
            <w:tcW w:w="3680" w:type="dxa"/>
            <w:vAlign w:val="bottom"/>
            <w:gridSpan w:val="2"/>
          </w:tcPr>
          <w:p>
            <w:pPr>
              <w:ind w:left="340"/>
              <w:spacing w:after="0"/>
              <w:rPr>
                <w:sz w:val="20"/>
                <w:szCs w:val="20"/>
                <w:color w:val="auto"/>
              </w:rPr>
            </w:pPr>
            <w:r>
              <w:rPr>
                <w:rFonts w:ascii="Arial" w:cs="Arial" w:eastAsia="Arial" w:hAnsi="Arial"/>
                <w:sz w:val="18"/>
                <w:szCs w:val="18"/>
                <w:color w:val="auto"/>
              </w:rPr>
              <w:t>President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/s/ Lars B. Eller</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19"/>
                <w:szCs w:val="19"/>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Barbara J. Britenriker</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Lars B. Eller</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Barbara J. Britenriker</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300" w:type="dxa"/>
            <w:vAlign w:val="bottom"/>
            <w:gridSpan w:val="5"/>
          </w:tcPr>
          <w:p>
            <w:pPr>
              <w:spacing w:after="0"/>
              <w:rPr>
                <w:sz w:val="20"/>
                <w:szCs w:val="20"/>
                <w:color w:val="auto"/>
              </w:rPr>
            </w:pPr>
            <w:r>
              <w:rPr>
                <w:rFonts w:ascii="Arial" w:cs="Arial" w:eastAsia="Arial" w:hAnsi="Arial"/>
                <w:sz w:val="18"/>
                <w:szCs w:val="18"/>
                <w:color w:val="auto"/>
              </w:rPr>
              <w:t>Chief Executive Officer (Principal Executive Officer)</w:t>
            </w:r>
          </w:p>
        </w:tc>
        <w:tc>
          <w:tcPr>
            <w:tcW w:w="300" w:type="dxa"/>
            <w:vAlign w:val="bottom"/>
          </w:tcPr>
          <w:p>
            <w:pPr>
              <w:spacing w:after="0"/>
              <w:rPr>
                <w:sz w:val="18"/>
                <w:szCs w:val="18"/>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/s/ Andrew J. Briggs</w:t>
            </w:r>
          </w:p>
        </w:tc>
        <w:tc>
          <w:tcPr>
            <w:tcW w:w="600" w:type="dxa"/>
            <w:vAlign w:val="bottom"/>
            <w:vMerge w:val="restart"/>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vMerge w:val="restart"/>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19"/>
                <w:szCs w:val="19"/>
                <w:color w:val="auto"/>
              </w:rPr>
            </w:pPr>
          </w:p>
        </w:tc>
        <w:tc>
          <w:tcPr>
            <w:tcW w:w="5760" w:type="dxa"/>
            <w:vAlign w:val="bottom"/>
            <w:gridSpan w:val="5"/>
          </w:tcPr>
          <w:p>
            <w:pPr>
              <w:ind w:left="200"/>
              <w:spacing w:after="0"/>
              <w:rPr>
                <w:sz w:val="20"/>
                <w:szCs w:val="20"/>
                <w:color w:val="auto"/>
              </w:rPr>
            </w:pPr>
            <w:r>
              <w:rPr>
                <w:rFonts w:ascii="Arial" w:cs="Arial" w:eastAsia="Arial" w:hAnsi="Arial"/>
                <w:sz w:val="18"/>
                <w:szCs w:val="18"/>
                <w:color w:val="auto"/>
              </w:rPr>
              <w:t>(Principal Financial Officer/Principal Accounting Officer)</w:t>
            </w:r>
          </w:p>
        </w:tc>
        <w:tc>
          <w:tcPr>
            <w:tcW w:w="0" w:type="dxa"/>
            <w:vAlign w:val="bottom"/>
          </w:tcPr>
          <w:p>
            <w:pPr>
              <w:spacing w:after="0"/>
              <w:rPr>
                <w:sz w:val="1"/>
                <w:szCs w:val="1"/>
                <w:color w:val="auto"/>
              </w:rPr>
            </w:pPr>
          </w:p>
        </w:tc>
      </w:tr>
      <w:tr>
        <w:trPr>
          <w:trHeight w:val="199"/>
        </w:trPr>
        <w:tc>
          <w:tcPr>
            <w:tcW w:w="300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Andrew J. Briggs, Director</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3000" w:type="dxa"/>
            <w:vAlign w:val="bottom"/>
            <w:gridSpan w:val="2"/>
          </w:tcPr>
          <w:p>
            <w:pPr>
              <w:spacing w:after="0"/>
              <w:rPr>
                <w:sz w:val="20"/>
                <w:szCs w:val="20"/>
                <w:color w:val="auto"/>
              </w:rPr>
            </w:pPr>
            <w:r>
              <w:rPr>
                <w:rFonts w:ascii="Arial" w:cs="Arial" w:eastAsia="Arial" w:hAnsi="Arial"/>
                <w:sz w:val="18"/>
                <w:szCs w:val="18"/>
                <w:color w:val="auto"/>
              </w:rPr>
              <w:t>/s/ Eugene N. Burkholder</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Steven A. Everhart</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Eugene N. Burkholder,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A. Everhart,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Jo Ellen Hornish</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Jack C. Johnson</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 Ellen Hornish,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Jack C. Johnson,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Marcia S. Latta</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Steven J. Planson</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Marcia S. Latta,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Steven J. Planson,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Anthony J. Rupp</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Kevin J. Sauder</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Anthony J. Rupp,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Kevin J. Sauder,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000" w:type="dxa"/>
            <w:vAlign w:val="bottom"/>
            <w:gridSpan w:val="2"/>
          </w:tcPr>
          <w:p>
            <w:pPr>
              <w:spacing w:after="0"/>
              <w:rPr>
                <w:sz w:val="20"/>
                <w:szCs w:val="20"/>
                <w:color w:val="auto"/>
              </w:rPr>
            </w:pPr>
            <w:r>
              <w:rPr>
                <w:rFonts w:ascii="Arial" w:cs="Arial" w:eastAsia="Arial" w:hAnsi="Arial"/>
                <w:sz w:val="18"/>
                <w:szCs w:val="18"/>
                <w:color w:val="auto"/>
              </w:rPr>
              <w:t>/s/ Paul S. Siebenmorgen</w:t>
            </w:r>
          </w:p>
        </w:tc>
        <w:tc>
          <w:tcPr>
            <w:tcW w:w="600" w:type="dxa"/>
            <w:vAlign w:val="bottom"/>
          </w:tcPr>
          <w:p>
            <w:pPr>
              <w:ind w:left="80"/>
              <w:spacing w:after="0"/>
              <w:rPr>
                <w:sz w:val="20"/>
                <w:szCs w:val="20"/>
                <w:color w:val="auto"/>
              </w:rPr>
            </w:pPr>
            <w:r>
              <w:rPr>
                <w:rFonts w:ascii="Arial" w:cs="Arial" w:eastAsia="Arial" w:hAnsi="Arial"/>
                <w:sz w:val="18"/>
                <w:szCs w:val="18"/>
                <w:color w:val="auto"/>
              </w:rPr>
              <w:t>Date:</w:t>
            </w: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300" w:type="dxa"/>
            <w:vAlign w:val="bottom"/>
          </w:tcPr>
          <w:p>
            <w:pPr>
              <w:spacing w:after="0"/>
              <w:rPr>
                <w:sz w:val="24"/>
                <w:szCs w:val="24"/>
                <w:color w:val="auto"/>
              </w:rPr>
            </w:pPr>
          </w:p>
        </w:tc>
        <w:tc>
          <w:tcPr>
            <w:tcW w:w="3040" w:type="dxa"/>
            <w:vAlign w:val="bottom"/>
            <w:gridSpan w:val="2"/>
          </w:tcPr>
          <w:p>
            <w:pPr>
              <w:ind w:left="200"/>
              <w:spacing w:after="0"/>
              <w:rPr>
                <w:sz w:val="20"/>
                <w:szCs w:val="20"/>
                <w:color w:val="auto"/>
              </w:rPr>
            </w:pPr>
            <w:r>
              <w:rPr>
                <w:rFonts w:ascii="Arial" w:cs="Arial" w:eastAsia="Arial" w:hAnsi="Arial"/>
                <w:sz w:val="18"/>
                <w:szCs w:val="18"/>
                <w:color w:val="auto"/>
              </w:rPr>
              <w:t>/s/ K. Brad Stamm</w:t>
            </w:r>
          </w:p>
        </w:tc>
        <w:tc>
          <w:tcPr>
            <w:tcW w:w="580" w:type="dxa"/>
            <w:vAlign w:val="bottom"/>
          </w:tcPr>
          <w:p>
            <w:pPr>
              <w:ind w:left="80"/>
              <w:spacing w:after="0"/>
              <w:rPr>
                <w:sz w:val="20"/>
                <w:szCs w:val="20"/>
                <w:color w:val="auto"/>
              </w:rPr>
            </w:pPr>
            <w:r>
              <w:rPr>
                <w:rFonts w:ascii="Arial" w:cs="Arial" w:eastAsia="Arial" w:hAnsi="Arial"/>
                <w:sz w:val="18"/>
                <w:szCs w:val="18"/>
                <w:color w:val="auto"/>
              </w:rPr>
              <w:t>Date:</w:t>
            </w:r>
          </w:p>
        </w:tc>
        <w:tc>
          <w:tcPr>
            <w:tcW w:w="2140" w:type="dxa"/>
            <w:vAlign w:val="bottom"/>
            <w:gridSpan w:val="2"/>
          </w:tcPr>
          <w:p>
            <w:pPr>
              <w:ind w:left="140"/>
              <w:spacing w:after="0"/>
              <w:rPr>
                <w:sz w:val="20"/>
                <w:szCs w:val="20"/>
                <w:color w:val="auto"/>
              </w:rPr>
            </w:pPr>
            <w:r>
              <w:rPr>
                <w:rFonts w:ascii="Arial" w:cs="Arial" w:eastAsia="Arial" w:hAnsi="Arial"/>
                <w:sz w:val="18"/>
                <w:szCs w:val="18"/>
                <w:color w:val="auto"/>
              </w:rPr>
              <w:t>February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Paul S. Siebenmorgen, Director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040" w:type="dxa"/>
            <w:vAlign w:val="bottom"/>
            <w:gridSpan w:val="2"/>
          </w:tcPr>
          <w:p>
            <w:pPr>
              <w:ind w:left="200"/>
              <w:spacing w:after="0" w:line="204" w:lineRule="exact"/>
              <w:rPr>
                <w:sz w:val="20"/>
                <w:szCs w:val="20"/>
                <w:color w:val="auto"/>
              </w:rPr>
            </w:pPr>
            <w:r>
              <w:rPr>
                <w:rFonts w:ascii="Arial" w:cs="Arial" w:eastAsia="Arial" w:hAnsi="Arial"/>
                <w:sz w:val="18"/>
                <w:szCs w:val="18"/>
                <w:color w:val="auto"/>
              </w:rPr>
              <w:t>K. Brad Stamm, Director</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0"/>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87"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Exhibit 21</w:t>
      </w:r>
    </w:p>
    <w:p>
      <w:pPr>
        <w:spacing w:after="0" w:line="21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SUBSIDIAIRIES OF FARMERS &amp; MERCHANTS BANCORP, INC</w:t>
      </w:r>
    </w:p>
    <w:p>
      <w:pPr>
        <w:spacing w:after="0" w:line="2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FARMERS &amp; MERCHANTS STATE BANK</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219"/>
          </w:cols>
          <w:pgMar w:left="240" w:top="121"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Lars B. Eller, President and Chief Executive Officer of Farmers &amp; Merchants Bancorp, Inc., certify that:</w:t>
      </w:r>
    </w:p>
    <w:p>
      <w:pPr>
        <w:spacing w:after="0" w:line="214" w:lineRule="exact"/>
        <w:rPr>
          <w:sz w:val="20"/>
          <w:szCs w:val="20"/>
          <w:color w:val="auto"/>
        </w:rPr>
      </w:pPr>
    </w:p>
    <w:p>
      <w:pPr>
        <w:ind w:left="400" w:hanging="395"/>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6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7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20" w:hanging="3"/>
        <w:spacing w:after="0" w:line="324" w:lineRule="auto"/>
        <w:tabs>
          <w:tab w:leader="none" w:pos="866"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jc w:val="both"/>
        <w:ind w:left="620" w:hanging="3"/>
        <w:spacing w:after="0" w:line="253" w:lineRule="auto"/>
        <w:tabs>
          <w:tab w:leader="none" w:pos="876"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20" w:hanging="3"/>
        <w:spacing w:after="0" w:line="262" w:lineRule="auto"/>
        <w:tabs>
          <w:tab w:leader="none" w:pos="86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20" w:hanging="3"/>
        <w:spacing w:after="0" w:line="262" w:lineRule="auto"/>
        <w:tabs>
          <w:tab w:leader="none" w:pos="8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2019</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2540</wp:posOffset>
            </wp:positionV>
            <wp:extent cx="36207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3620770"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Lars B. Eller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CEO</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Chief Financial Officer of Farmers &amp; Merchants Bancorp, Inc., certify that:</w:t>
      </w:r>
    </w:p>
    <w:p>
      <w:pPr>
        <w:spacing w:after="0" w:line="214" w:lineRule="exact"/>
        <w:rPr>
          <w:sz w:val="20"/>
          <w:szCs w:val="20"/>
          <w:color w:val="auto"/>
        </w:rPr>
      </w:pPr>
    </w:p>
    <w:p>
      <w:pPr>
        <w:ind w:left="400" w:hanging="395"/>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Farmers &amp; Merchants Bancorp, Inc.;</w:t>
      </w:r>
    </w:p>
    <w:p>
      <w:pPr>
        <w:spacing w:after="0" w:line="214"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6"/>
          <w:szCs w:val="16"/>
          <w:color w:val="auto"/>
        </w:rPr>
      </w:pPr>
    </w:p>
    <w:p>
      <w:pPr>
        <w:ind w:left="400" w:hanging="395"/>
        <w:spacing w:after="0" w:line="262"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jc w:val="both"/>
        <w:ind w:left="400" w:hanging="395"/>
        <w:spacing w:after="0" w:line="253" w:lineRule="auto"/>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Arial" w:cs="Arial" w:eastAsia="Arial" w:hAnsi="Arial"/>
          <w:sz w:val="18"/>
          <w:szCs w:val="18"/>
          <w:color w:val="auto"/>
        </w:rPr>
      </w:pPr>
    </w:p>
    <w:p>
      <w:pPr>
        <w:jc w:val="both"/>
        <w:ind w:left="620" w:hanging="3"/>
        <w:spacing w:after="0" w:line="253" w:lineRule="auto"/>
        <w:tabs>
          <w:tab w:leader="none" w:pos="87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8" w:lineRule="exact"/>
        <w:rPr>
          <w:rFonts w:ascii="Arial" w:cs="Arial" w:eastAsia="Arial" w:hAnsi="Arial"/>
          <w:sz w:val="18"/>
          <w:szCs w:val="18"/>
          <w:color w:val="auto"/>
        </w:rPr>
      </w:pPr>
    </w:p>
    <w:p>
      <w:pPr>
        <w:ind w:left="620" w:hanging="3"/>
        <w:spacing w:after="0" w:line="324" w:lineRule="auto"/>
        <w:tabs>
          <w:tab w:leader="none" w:pos="866"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6"/>
          <w:szCs w:val="16"/>
          <w:color w:val="auto"/>
        </w:rPr>
      </w:pPr>
    </w:p>
    <w:p>
      <w:pPr>
        <w:jc w:val="both"/>
        <w:ind w:left="620" w:hanging="3"/>
        <w:spacing w:after="0" w:line="253" w:lineRule="auto"/>
        <w:tabs>
          <w:tab w:leader="none" w:pos="87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8" w:lineRule="exact"/>
        <w:rPr>
          <w:rFonts w:ascii="Arial" w:cs="Arial" w:eastAsia="Arial" w:hAnsi="Arial"/>
          <w:sz w:val="18"/>
          <w:szCs w:val="18"/>
          <w:color w:val="auto"/>
        </w:rPr>
      </w:pPr>
    </w:p>
    <w:p>
      <w:pPr>
        <w:ind w:left="400" w:hanging="395"/>
        <w:spacing w:after="0" w:line="324" w:lineRule="auto"/>
        <w:tabs>
          <w:tab w:leader="none" w:pos="4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620" w:hanging="3"/>
        <w:spacing w:after="0" w:line="262" w:lineRule="auto"/>
        <w:tabs>
          <w:tab w:leader="none" w:pos="86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20" w:hanging="3"/>
        <w:spacing w:after="0" w:line="262" w:lineRule="auto"/>
        <w:tabs>
          <w:tab w:leader="none" w:pos="873"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February 27,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572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2018, as filed with the Securities and Exchange Commission (the “Report”), I, Lars B. Eller, Chief Executive Officer, of the Company, certify, pursuant to 18 U.S.C. 1350, as added by 906 of the Sarbanes-Oxley Act of 2002, that:</w:t>
      </w:r>
    </w:p>
    <w:p>
      <w:pPr>
        <w:spacing w:after="0" w:line="188" w:lineRule="exact"/>
        <w:rPr>
          <w:sz w:val="20"/>
          <w:szCs w:val="20"/>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February 27,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Lars B. Eller</w:t>
            </w:r>
          </w:p>
        </w:tc>
      </w:tr>
      <w:tr>
        <w:trPr>
          <w:trHeight w:val="192"/>
        </w:trPr>
        <w:tc>
          <w:tcPr>
            <w:tcW w:w="572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Lars B. Eller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ENACTED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FARMERS &amp; MERCHANTS BANCORP, INC.</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Annual Report on Form 10-K of Farmers &amp; Merchants Bancorp, Inc. for the year ended December 31, 2018, as filed with the Securities and Exchange Commission (the “Report”), I, Barbara J. Britenriker, Chief Financial Officer, of the Company, certify, pursuant to 18 U.S.C. 1350, as added by 906 of the Sarbanes-Oxley Act of 2002, that:</w:t>
      </w:r>
    </w:p>
    <w:p>
      <w:pPr>
        <w:spacing w:after="0" w:line="188" w:lineRule="exact"/>
        <w:rPr>
          <w:sz w:val="20"/>
          <w:szCs w:val="20"/>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15(d) of the Securities Exchange Act of 1934; and;</w:t>
      </w:r>
    </w:p>
    <w:p>
      <w:pPr>
        <w:spacing w:after="0" w:line="214"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Date: February 27, 2019</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192"/>
        </w:trPr>
        <w:tc>
          <w:tcPr>
            <w:tcW w:w="5720" w:type="dxa"/>
            <w:vAlign w:val="bottom"/>
          </w:tcPr>
          <w:p>
            <w:pPr>
              <w:spacing w:after="0"/>
              <w:rPr>
                <w:sz w:val="16"/>
                <w:szCs w:val="16"/>
                <w:color w:val="auto"/>
              </w:rPr>
            </w:pPr>
          </w:p>
        </w:tc>
        <w:tc>
          <w:tcPr>
            <w:tcW w:w="5700" w:type="dxa"/>
            <w:vAlign w:val="bottom"/>
          </w:tcPr>
          <w:p>
            <w:pPr>
              <w:spacing w:after="0" w:line="192" w:lineRule="exact"/>
              <w:rPr>
                <w:sz w:val="20"/>
                <w:szCs w:val="20"/>
                <w:color w:val="auto"/>
              </w:rPr>
            </w:pPr>
            <w:r>
              <w:rPr>
                <w:rFonts w:ascii="Arial" w:cs="Arial" w:eastAsia="Arial" w:hAnsi="Arial"/>
                <w:sz w:val="18"/>
                <w:szCs w:val="18"/>
                <w:color w:val="auto"/>
              </w:rPr>
              <w:t>Barbara J. Britenriker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o"/>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5"/>
    </w:lvl>
  </w:abstractNum>
  <w:abstractNum w:abstractNumId="13">
    <w:nsid w:val="62BBD95A"/>
    <w:multiLevelType w:val="hybridMultilevel"/>
    <w:lvl w:ilvl="0">
      <w:lvlJc w:val="left"/>
      <w:lvlText w:val="o"/>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lvl w:ilvl="1">
      <w:lvlJc w:val="left"/>
      <w:lvlText w:val="%2."/>
      <w:numFmt w:val="lowerLetter"/>
      <w:start w:val="1"/>
    </w:lvl>
  </w:abstractNum>
  <w:abstractNum w:abstractNumId="17">
    <w:nsid w:val="721DA317"/>
    <w:multiLevelType w:val="hybridMultilevel"/>
    <w:lvl w:ilvl="0">
      <w:lvlJc w:val="left"/>
      <w:lvlText w:val="%1."/>
      <w:numFmt w:val="decimal"/>
      <w:start w:val="5"/>
    </w:lvl>
    <w:lvl w:ilvl="1">
      <w:lvlJc w:val="left"/>
      <w:lvlText w:val="%2."/>
      <w:numFmt w:val="lowerLetter"/>
      <w:start w:val="1"/>
    </w:lvl>
  </w:abstractNum>
  <w:abstractNum w:abstractNumId="18">
    <w:nsid w:val="2443A858"/>
    <w:multiLevelType w:val="hybridMultilevel"/>
    <w:lvl w:ilvl="0">
      <w:lvlJc w:val="left"/>
      <w:lvlText w:val="%1"/>
      <w:numFmt w:val="decimal"/>
      <w:start w:val="1"/>
    </w:lvl>
    <w:lvl w:ilvl="1">
      <w:lvlJc w:val="left"/>
      <w:lvlText w:val="%2."/>
      <w:numFmt w:val="lowerLetter"/>
      <w:start w:val="9"/>
    </w:lvl>
  </w:abstractNum>
  <w:abstractNum w:abstractNumId="19">
    <w:nsid w:val="2D1D5AE9"/>
    <w:multiLevelType w:val="hybridMultilevel"/>
    <w:lvl w:ilvl="0">
      <w:lvlJc w:val="left"/>
      <w:lvlText w:val="%1."/>
      <w:numFmt w:val="decimal"/>
      <w:start w:val="8"/>
    </w:lvl>
    <w:lvl w:ilvl="1">
      <w:lvlJc w:val="left"/>
      <w:lvlText w:val="%2."/>
      <w:numFmt w:val="lowerLetter"/>
      <w:start w:val="1"/>
    </w:lvl>
  </w:abstractNum>
  <w:abstractNum w:abstractNumId="20">
    <w:nsid w:val="6763845E"/>
    <w:multiLevelType w:val="hybridMultilevel"/>
    <w:lvl w:ilvl="0">
      <w:lvlJc w:val="left"/>
      <w:lvlText w:val="%1."/>
      <w:numFmt w:val="lowerLetter"/>
      <w:start w:val="1"/>
    </w:lvl>
    <w:lvl w:ilvl="1">
      <w:lvlJc w:val="left"/>
      <w:lvlText w:val="(%2)"/>
      <w:numFmt w:val="decimal"/>
      <w:start w:val="1"/>
    </w:lvl>
  </w:abstractNum>
  <w:abstractNum w:abstractNumId="21">
    <w:nsid w:val="75A2A8D4"/>
    <w:multiLevelType w:val="hybridMultilevel"/>
    <w:lvl w:ilvl="0">
      <w:lvlJc w:val="left"/>
      <w:lvlText w:val="(%1)"/>
      <w:numFmt w:val="decimal"/>
      <w:start w:val="2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33" Type="http://schemas.openxmlformats.org/officeDocument/2006/relationships/hyperlink" Target="http://www.sec.gov/Archives/edgar/data/792966/000119312517318709/d447990d10q.htm" TargetMode="External"/><Relationship Id="rId134" Type="http://schemas.openxmlformats.org/officeDocument/2006/relationships/hyperlink" Target="http://www.sec.gov/Archives/edgar/data/792966/000119312517235925/d422994dex32.htm" TargetMode="External"/><Relationship Id="rId135" Type="http://schemas.openxmlformats.org/officeDocument/2006/relationships/hyperlink" Target="http://www.sec.gov/Archives/edgar/data/792966/000119312513073008/d445099dex101.htm" TargetMode="External"/><Relationship Id="rId136" Type="http://schemas.openxmlformats.org/officeDocument/2006/relationships/hyperlink" Target="http://www.sec.gov/Archives/edgar/data/792966/000119312513073008/d445099dex102.htm" TargetMode="External"/><Relationship Id="rId137" Type="http://schemas.openxmlformats.org/officeDocument/2006/relationships/hyperlink" Target="http://www.sec.gov/Archives/edgar/data/792966/000119312518272836/d595662dex101.htm" TargetMode="External"/><Relationship Id="rId138" Type="http://schemas.openxmlformats.org/officeDocument/2006/relationships/hyperlink" Target="http://www.sec.gov/Archives/edgar/data/792966/000119312515093241/d891255ddef14a.htm" TargetMode="External"/><Relationship Id="rId139" Type="http://schemas.openxmlformats.org/officeDocument/2006/relationships/hyperlink" Target="http://www.sec.gov/Archives/edgar/data/792966/000095012405005979/k99341exv10w1.txt" TargetMode="External"/><Relationship Id="rId140" Type="http://schemas.openxmlformats.org/officeDocument/2006/relationships/hyperlink" Target="http://www.sec.gov/Archives/edgar/data/792966/000095012405005979/k99341exv10w2.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2020-01-09T23:49:38Z</dcterms:created>
  <dcterms:modified xsi:type="dcterms:W3CDTF">2020-01-09T23:49:38Z</dcterms:modified>
</cp:coreProperties>
</file>