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81915</wp:posOffset>
            </wp:positionV>
            <wp:extent cx="1929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8"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108585</wp:posOffset>
            </wp:positionV>
            <wp:extent cx="1929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5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March 31,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4193540</wp:posOffset>
            </wp:positionH>
            <wp:positionV relativeFrom="paragraph">
              <wp:posOffset>-7620</wp:posOffset>
            </wp:positionV>
            <wp:extent cx="219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100330</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90170</wp:posOffset>
            </wp:positionV>
            <wp:extent cx="1929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53" w:lineRule="exact"/>
        <w:rPr>
          <w:sz w:val="24"/>
          <w:szCs w:val="24"/>
          <w:color w:val="auto"/>
        </w:rPr>
      </w:pPr>
    </w:p>
    <w:tbl>
      <w:tblPr>
        <w:tblLayout w:type="fixed"/>
        <w:tblInd w:w="1260" w:type="dxa"/>
        <w:tblCellMar>
          <w:top w:w="0" w:type="dxa"/>
          <w:left w:w="0" w:type="dxa"/>
          <w:bottom w:w="0" w:type="dxa"/>
          <w:right w:w="0" w:type="dxa"/>
        </w:tblCellMar>
      </w:tblPr>
      <w:tr>
        <w:trPr>
          <w:trHeight w:val="225"/>
        </w:trPr>
        <w:tc>
          <w:tcPr>
            <w:tcW w:w="4980" w:type="dxa"/>
            <w:vAlign w:val="bottom"/>
          </w:tcPr>
          <w:p>
            <w:pPr>
              <w:jc w:val="center"/>
              <w:ind w:right="1701"/>
              <w:spacing w:after="0"/>
              <w:rPr>
                <w:sz w:val="20"/>
                <w:szCs w:val="20"/>
                <w:color w:val="auto"/>
              </w:rPr>
            </w:pPr>
            <w:r>
              <w:rPr>
                <w:rFonts w:ascii="Arial" w:cs="Arial" w:eastAsia="Arial" w:hAnsi="Arial"/>
                <w:sz w:val="18"/>
                <w:szCs w:val="18"/>
                <w:b w:val="1"/>
                <w:bCs w:val="1"/>
                <w:color w:val="auto"/>
              </w:rPr>
              <w:t>OHIO</w:t>
            </w:r>
          </w:p>
        </w:tc>
        <w:tc>
          <w:tcPr>
            <w:tcW w:w="2880" w:type="dxa"/>
            <w:vAlign w:val="bottom"/>
          </w:tcPr>
          <w:p>
            <w:pPr>
              <w:jc w:val="right"/>
              <w:ind w:right="41"/>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4980" w:type="dxa"/>
            <w:vAlign w:val="bottom"/>
          </w:tcPr>
          <w:p>
            <w:pPr>
              <w:jc w:val="center"/>
              <w:ind w:right="17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80" w:type="dxa"/>
            <w:vAlign w:val="bottom"/>
          </w:tcPr>
          <w:p>
            <w:pPr>
              <w:jc w:val="center"/>
              <w:ind w:right="1701"/>
              <w:spacing w:after="0"/>
              <w:rPr>
                <w:sz w:val="20"/>
                <w:szCs w:val="20"/>
                <w:color w:val="auto"/>
              </w:rPr>
            </w:pPr>
            <w:r>
              <w:rPr>
                <w:rFonts w:ascii="Arial" w:cs="Arial" w:eastAsia="Arial" w:hAnsi="Arial"/>
                <w:sz w:val="14"/>
                <w:szCs w:val="14"/>
                <w:b w:val="1"/>
                <w:bCs w:val="1"/>
                <w:color w:val="auto"/>
                <w:w w:val="94"/>
              </w:rPr>
              <w:t>incorporation or organization)</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4980" w:type="dxa"/>
            <w:vAlign w:val="bottom"/>
          </w:tcPr>
          <w:p>
            <w:pPr>
              <w:jc w:val="center"/>
              <w:ind w:right="170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288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86"/>
        </w:trPr>
        <w:tc>
          <w:tcPr>
            <w:tcW w:w="4980" w:type="dxa"/>
            <w:vAlign w:val="bottom"/>
          </w:tcPr>
          <w:p>
            <w:pPr>
              <w:jc w:val="center"/>
              <w:ind w:right="170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88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(419) 446-2501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99060</wp:posOffset>
            </wp:positionV>
            <wp:extent cx="1929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35"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20"/>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59" w:lineRule="exact"/>
        <w:rPr>
          <w:sz w:val="24"/>
          <w:szCs w:val="24"/>
          <w:color w:val="auto"/>
        </w:rPr>
      </w:pPr>
    </w:p>
    <w:p>
      <w:pPr>
        <w:ind w:right="4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Indicated by check mark whether the registrant is a shell company (as defined in Rule 12b-2 of the Exchange Act).</w:t>
      </w:r>
    </w:p>
    <w:p>
      <w:pPr>
        <w:sectPr>
          <w:pgSz w:w="11900" w:h="16838" w:orient="portrait"/>
          <w:cols w:equalWidth="0" w:num="1">
            <w:col w:w="11420"/>
          </w:cols>
          <w:pgMar w:left="240" w:top="256" w:right="239" w:bottom="1440" w:gutter="0" w:footer="0" w:header="0"/>
        </w:sectPr>
      </w:pPr>
    </w:p>
    <w:p>
      <w:pPr>
        <w:spacing w:after="0" w:line="7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840"/>
          </w:cols>
          <w:pgMar w:left="240" w:top="256" w:right="2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420"/>
          </w:cols>
          <w:pgMar w:left="240" w:top="256" w:right="239" w:bottom="1440" w:gutter="0" w:footer="0" w:header="0"/>
          <w:type w:val="continuous"/>
        </w:sectPr>
      </w:pPr>
    </w:p>
    <w:p>
      <w:pPr>
        <w:spacing w:after="0" w:line="123" w:lineRule="exact"/>
        <w:rPr>
          <w:sz w:val="24"/>
          <w:szCs w:val="24"/>
          <w:color w:val="auto"/>
        </w:rPr>
      </w:pPr>
    </w:p>
    <w:p>
      <w:pPr>
        <w:jc w:val="center"/>
        <w:ind w:right="102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740"/>
        <w:spacing w:after="0"/>
        <w:rPr>
          <w:sz w:val="20"/>
          <w:szCs w:val="20"/>
          <w:color w:val="auto"/>
        </w:rPr>
      </w:pPr>
      <w:r>
        <w:rPr>
          <w:rFonts w:ascii="Arial" w:cs="Arial" w:eastAsia="Arial" w:hAnsi="Arial"/>
          <w:sz w:val="16"/>
          <w:szCs w:val="16"/>
          <w:u w:val="single" w:color="auto"/>
          <w:color w:val="auto"/>
        </w:rPr>
        <w:t>11,106,183</w:t>
      </w:r>
    </w:p>
    <w:p>
      <w:pPr>
        <w:spacing w:after="0" w:line="22" w:lineRule="exact"/>
        <w:rPr>
          <w:sz w:val="24"/>
          <w:szCs w:val="24"/>
          <w:color w:val="auto"/>
        </w:rPr>
      </w:pPr>
    </w:p>
    <w:p>
      <w:pPr>
        <w:jc w:val="center"/>
        <w:ind w:right="1740"/>
        <w:spacing w:after="0"/>
        <w:rPr>
          <w:sz w:val="20"/>
          <w:szCs w:val="20"/>
          <w:color w:val="auto"/>
        </w:rPr>
      </w:pPr>
      <w:r>
        <w:rPr>
          <w:rFonts w:ascii="Arial" w:cs="Arial" w:eastAsia="Arial" w:hAnsi="Arial"/>
          <w:sz w:val="14"/>
          <w:szCs w:val="14"/>
          <w:color w:val="auto"/>
        </w:rPr>
        <w:t>Outstanding as of April 26, 2019</w:t>
      </w:r>
    </w:p>
    <w:p>
      <w:pPr>
        <w:spacing w:after="0" w:line="222" w:lineRule="exact"/>
        <w:rPr>
          <w:sz w:val="24"/>
          <w:szCs w:val="24"/>
          <w:color w:val="auto"/>
        </w:rPr>
      </w:pPr>
    </w:p>
    <w:p>
      <w:pPr>
        <w:sectPr>
          <w:pgSz w:w="11900" w:h="16838" w:orient="portrait"/>
          <w:cols w:equalWidth="0" w:num="2">
            <w:col w:w="6880" w:space="720"/>
            <w:col w:w="3820"/>
          </w:cols>
          <w:pgMar w:left="240" w:top="256" w:right="239" w:bottom="144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Form 10-Q Items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80" w:type="dxa"/>
            <w:vAlign w:val="bottom"/>
          </w:tcPr>
          <w:p>
            <w:pPr>
              <w:ind w:left="2300"/>
              <w:spacing w:after="0"/>
              <w:rPr>
                <w:sz w:val="20"/>
                <w:szCs w:val="20"/>
                <w:color w:val="auto"/>
              </w:rPr>
            </w:pPr>
            <w:r>
              <w:rPr>
                <w:rFonts w:ascii="Arial" w:cs="Arial" w:eastAsia="Arial" w:hAnsi="Arial"/>
                <w:sz w:val="18"/>
                <w:szCs w:val="18"/>
                <w:color w:val="auto"/>
                <w:w w:val="85"/>
              </w:rPr>
              <w:t>Page</w:t>
            </w:r>
          </w:p>
        </w:tc>
      </w:tr>
      <w:tr>
        <w:trPr>
          <w:trHeight w:val="237"/>
        </w:trPr>
        <w:tc>
          <w:tcPr>
            <w:tcW w:w="12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780" w:type="dxa"/>
            <w:vAlign w:val="bottom"/>
          </w:tcPr>
          <w:p>
            <w:pPr>
              <w:spacing w:after="0"/>
              <w:rPr>
                <w:sz w:val="20"/>
                <w:szCs w:val="20"/>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3120" w:type="dxa"/>
            <w:vAlign w:val="bottom"/>
            <w:gridSpan w:val="14"/>
          </w:tcPr>
          <w:p>
            <w:pPr>
              <w:spacing w:after="0"/>
              <w:rPr>
                <w:sz w:val="20"/>
                <w:szCs w:val="20"/>
                <w:color w:val="auto"/>
              </w:rPr>
            </w:pPr>
          </w:p>
        </w:tc>
        <w:tc>
          <w:tcPr>
            <w:tcW w:w="2680" w:type="dxa"/>
            <w:vAlign w:val="bottom"/>
          </w:tcPr>
          <w:p>
            <w:pPr>
              <w:spacing w:after="0"/>
              <w:rPr>
                <w:sz w:val="20"/>
                <w:szCs w:val="20"/>
                <w:color w:val="auto"/>
              </w:rPr>
            </w:pPr>
          </w:p>
        </w:tc>
      </w:tr>
      <w:tr>
        <w:trPr>
          <w:trHeight w:val="372"/>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2960" w:type="dxa"/>
            <w:vAlign w:val="bottom"/>
            <w:gridSpan w:val="12"/>
          </w:tcPr>
          <w:p>
            <w:pPr>
              <w:spacing w:after="0"/>
              <w:rPr>
                <w:sz w:val="24"/>
                <w:szCs w:val="24"/>
                <w:color w:val="auto"/>
              </w:rPr>
            </w:pPr>
          </w:p>
        </w:tc>
        <w:tc>
          <w:tcPr>
            <w:tcW w:w="2680" w:type="dxa"/>
            <w:vAlign w:val="bottom"/>
          </w:tcPr>
          <w:p>
            <w:pPr>
              <w:spacing w:after="0"/>
              <w:rPr>
                <w:sz w:val="24"/>
                <w:szCs w:val="24"/>
                <w:color w:val="auto"/>
              </w:rPr>
            </w:pP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2340" w:type="dxa"/>
            <w:vAlign w:val="bottom"/>
            <w:gridSpan w:val="11"/>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March 31, 2019 and December 31, 2018</w:t>
              </w:r>
            </w:hyperlink>
          </w:p>
        </w:tc>
        <w:tc>
          <w:tcPr>
            <w:tcW w:w="2220" w:type="dxa"/>
            <w:vAlign w:val="bottom"/>
            <w:gridSpan w:val="10"/>
          </w:tcPr>
          <w:p>
            <w:pPr>
              <w:spacing w:after="0"/>
              <w:rPr>
                <w:sz w:val="17"/>
                <w:szCs w:val="17"/>
                <w:color w:val="auto"/>
              </w:rPr>
            </w:pPr>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9"/>
              </w:rPr>
              <w:t>3</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1820" w:type="dxa"/>
            <w:vAlign w:val="bottom"/>
            <w:gridSpan w:val="9"/>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Three Months Ended March 31, 2019 and March 31, 2018</w:t>
              </w:r>
            </w:hyperlink>
          </w:p>
        </w:tc>
        <w:tc>
          <w:tcPr>
            <w:tcW w:w="920" w:type="dxa"/>
            <w:vAlign w:val="bottom"/>
            <w:gridSpan w:val="3"/>
          </w:tcPr>
          <w:p>
            <w:pPr>
              <w:spacing w:after="0"/>
              <w:rPr>
                <w:sz w:val="17"/>
                <w:szCs w:val="17"/>
                <w:color w:val="auto"/>
              </w:rPr>
            </w:pPr>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9"/>
              </w:rPr>
              <w:t>4</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w:t>
              </w:r>
            </w:hyperlink>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Three Months Ended March 31, 2019 and March 31, 2018</w:t>
              </w:r>
            </w:hyperlink>
          </w:p>
        </w:tc>
        <w:tc>
          <w:tcPr>
            <w:tcW w:w="920" w:type="dxa"/>
            <w:vAlign w:val="bottom"/>
            <w:gridSpan w:val="3"/>
          </w:tcPr>
          <w:p>
            <w:pPr>
              <w:spacing w:after="0"/>
              <w:rPr>
                <w:sz w:val="17"/>
                <w:szCs w:val="17"/>
                <w:color w:val="auto"/>
              </w:rPr>
            </w:pPr>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9"/>
              </w:rPr>
              <w:t>5</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268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2019 and March 31, 2018</w:t>
              </w:r>
            </w:hyperlink>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9"/>
              </w:rPr>
              <w:t>6</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w:t>
              </w:r>
            </w:hyperlink>
          </w:p>
        </w:tc>
        <w:tc>
          <w:tcPr>
            <w:tcW w:w="1520" w:type="dxa"/>
            <w:vAlign w:val="bottom"/>
            <w:gridSpan w:val="8"/>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Three Months Ended March 31, 2019 and March 31, 2018</w:t>
              </w:r>
            </w:hyperlink>
          </w:p>
        </w:tc>
        <w:tc>
          <w:tcPr>
            <w:tcW w:w="2680" w:type="dxa"/>
            <w:vAlign w:val="bottom"/>
          </w:tcPr>
          <w:p>
            <w:pPr>
              <w:jc w:val="center"/>
              <w:ind w:left="2150"/>
              <w:spacing w:after="0" w:line="196" w:lineRule="exact"/>
              <w:rPr>
                <w:sz w:val="20"/>
                <w:szCs w:val="20"/>
                <w:color w:val="auto"/>
              </w:rPr>
            </w:pPr>
            <w:r>
              <w:rPr>
                <w:rFonts w:ascii="Arial" w:cs="Arial" w:eastAsia="Arial" w:hAnsi="Arial"/>
                <w:sz w:val="18"/>
                <w:szCs w:val="18"/>
                <w:color w:val="auto"/>
                <w:w w:val="92"/>
              </w:rPr>
              <w:t>7-8</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1380" w:type="dxa"/>
            <w:vAlign w:val="bottom"/>
            <w:gridSpan w:val="7"/>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99"/>
              </w:rPr>
              <w:t>9</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Management's Discussion and Analysis of Financial Condition</w:t>
              </w:r>
            </w:hyperlink>
          </w:p>
        </w:tc>
        <w:tc>
          <w:tcPr>
            <w:tcW w:w="80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and Results of Operations</w:t>
              </w:r>
            </w:hyperlink>
          </w:p>
        </w:tc>
        <w:tc>
          <w:tcPr>
            <w:tcW w:w="2680" w:type="dxa"/>
            <w:vAlign w:val="bottom"/>
          </w:tcPr>
          <w:p>
            <w:pPr>
              <w:jc w:val="center"/>
              <w:ind w:left="2170"/>
              <w:spacing w:after="0" w:line="196" w:lineRule="exact"/>
              <w:rPr>
                <w:sz w:val="20"/>
                <w:szCs w:val="20"/>
                <w:color w:val="auto"/>
              </w:rPr>
            </w:pPr>
            <w:r>
              <w:rPr>
                <w:rFonts w:ascii="Arial" w:cs="Arial" w:eastAsia="Arial" w:hAnsi="Arial"/>
                <w:sz w:val="18"/>
                <w:szCs w:val="18"/>
                <w:color w:val="auto"/>
                <w:w w:val="91"/>
              </w:rPr>
              <w:t>38-50</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Qualitative and Quantitative Disclosures About Market Risk</w:t>
              </w:r>
            </w:hyperlink>
          </w:p>
        </w:tc>
        <w:tc>
          <w:tcPr>
            <w:tcW w:w="1020" w:type="dxa"/>
            <w:vAlign w:val="bottom"/>
            <w:gridSpan w:val="5"/>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51</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Controls and Procedures</w:t>
              </w:r>
            </w:hyperlink>
          </w:p>
        </w:tc>
        <w:tc>
          <w:tcPr>
            <w:tcW w:w="3600" w:type="dxa"/>
            <w:vAlign w:val="bottom"/>
            <w:gridSpan w:val="17"/>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52</w:t>
            </w:r>
          </w:p>
        </w:tc>
      </w:tr>
      <w:tr>
        <w:trPr>
          <w:trHeight w:val="358"/>
        </w:trPr>
        <w:tc>
          <w:tcPr>
            <w:tcW w:w="12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80" w:type="dxa"/>
            <w:vAlign w:val="bottom"/>
          </w:tcPr>
          <w:p>
            <w:pPr>
              <w:spacing w:after="0"/>
              <w:rPr>
                <w:sz w:val="24"/>
                <w:szCs w:val="24"/>
                <w:color w:val="auto"/>
              </w:rPr>
            </w:pPr>
          </w:p>
        </w:tc>
        <w:tc>
          <w:tcPr>
            <w:tcW w:w="538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52</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3500" w:type="dxa"/>
            <w:vAlign w:val="bottom"/>
            <w:gridSpan w:val="16"/>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52</w:t>
            </w:r>
          </w:p>
        </w:tc>
      </w:tr>
      <w:tr>
        <w:trPr>
          <w:trHeight w:val="358"/>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780" w:type="dxa"/>
            <w:vAlign w:val="bottom"/>
          </w:tcPr>
          <w:p>
            <w:pPr>
              <w:spacing w:after="0"/>
              <w:rPr>
                <w:sz w:val="24"/>
                <w:szCs w:val="24"/>
                <w:color w:val="auto"/>
              </w:rPr>
            </w:pPr>
          </w:p>
        </w:tc>
        <w:tc>
          <w:tcPr>
            <w:tcW w:w="538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52</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52</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24"/>
                <w:szCs w:val="24"/>
                <w:color w:val="auto"/>
              </w:rPr>
            </w:pPr>
          </w:p>
        </w:tc>
        <w:tc>
          <w:tcPr>
            <w:tcW w:w="1040" w:type="dxa"/>
            <w:vAlign w:val="bottom"/>
            <w:gridSpan w:val="6"/>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52</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52</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3620" w:type="dxa"/>
            <w:vAlign w:val="bottom"/>
            <w:gridSpan w:val="18"/>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52</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53</w:t>
            </w:r>
          </w:p>
        </w:tc>
      </w:tr>
      <w:tr>
        <w:trPr>
          <w:trHeight w:val="358"/>
        </w:trPr>
        <w:tc>
          <w:tcPr>
            <w:tcW w:w="126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7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jc w:val="center"/>
              <w:ind w:left="2170"/>
              <w:spacing w:after="0"/>
              <w:rPr>
                <w:sz w:val="20"/>
                <w:szCs w:val="20"/>
                <w:color w:val="auto"/>
              </w:rPr>
            </w:pPr>
            <w:r>
              <w:rPr>
                <w:rFonts w:ascii="Arial" w:cs="Arial" w:eastAsia="Arial" w:hAnsi="Arial"/>
                <w:sz w:val="18"/>
                <w:szCs w:val="18"/>
                <w:color w:val="auto"/>
                <w:w w:val="89"/>
              </w:rPr>
              <w:t>54</w:t>
            </w:r>
          </w:p>
        </w:tc>
      </w:tr>
      <w:tr>
        <w:trPr>
          <w:trHeight w:val="412"/>
        </w:trPr>
        <w:tc>
          <w:tcPr>
            <w:tcW w:w="7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4"/>
          </w:tcPr>
          <w:p>
            <w:pPr>
              <w:spacing w:after="0"/>
              <w:rPr>
                <w:sz w:val="20"/>
                <w:szCs w:val="20"/>
                <w:color w:val="auto"/>
              </w:rPr>
            </w:pPr>
            <w:r>
              <w:rPr>
                <w:rFonts w:ascii="Arial" w:cs="Arial" w:eastAsia="Arial" w:hAnsi="Arial"/>
                <w:sz w:val="18"/>
                <w:szCs w:val="18"/>
                <w:color w:val="auto"/>
              </w:rPr>
              <w:t>XBRL Instance Document (1)</w:t>
            </w:r>
          </w:p>
        </w:tc>
        <w:tc>
          <w:tcPr>
            <w:tcW w:w="2680" w:type="dxa"/>
            <w:vAlign w:val="bottom"/>
          </w:tcPr>
          <w:p>
            <w:pPr>
              <w:spacing w:after="0"/>
              <w:rPr>
                <w:sz w:val="24"/>
                <w:szCs w:val="24"/>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2"/>
                <w:szCs w:val="22"/>
                <w:color w:val="auto"/>
              </w:rPr>
            </w:pPr>
          </w:p>
        </w:tc>
        <w:tc>
          <w:tcPr>
            <w:tcW w:w="5380" w:type="dxa"/>
            <w:vAlign w:val="bottom"/>
            <w:gridSpan w:val="24"/>
          </w:tcPr>
          <w:p>
            <w:pPr>
              <w:spacing w:after="0"/>
              <w:rPr>
                <w:sz w:val="20"/>
                <w:szCs w:val="20"/>
                <w:color w:val="auto"/>
              </w:rPr>
            </w:pPr>
            <w:r>
              <w:rPr>
                <w:rFonts w:ascii="Arial" w:cs="Arial" w:eastAsia="Arial" w:hAnsi="Arial"/>
                <w:sz w:val="18"/>
                <w:szCs w:val="18"/>
                <w:color w:val="auto"/>
              </w:rPr>
              <w:t>XBRL Taxonomy Extension Scheme Document (1)</w:t>
            </w:r>
          </w:p>
        </w:tc>
        <w:tc>
          <w:tcPr>
            <w:tcW w:w="268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2"/>
                <w:szCs w:val="22"/>
                <w:color w:val="auto"/>
              </w:rPr>
            </w:pPr>
          </w:p>
        </w:tc>
        <w:tc>
          <w:tcPr>
            <w:tcW w:w="538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268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2"/>
                <w:szCs w:val="22"/>
                <w:color w:val="auto"/>
              </w:rPr>
            </w:pPr>
          </w:p>
        </w:tc>
        <w:tc>
          <w:tcPr>
            <w:tcW w:w="538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268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2"/>
                <w:szCs w:val="22"/>
                <w:color w:val="auto"/>
              </w:rPr>
            </w:pPr>
          </w:p>
        </w:tc>
        <w:tc>
          <w:tcPr>
            <w:tcW w:w="538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 (1)</w:t>
            </w:r>
          </w:p>
        </w:tc>
        <w:tc>
          <w:tcPr>
            <w:tcW w:w="268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2"/>
                <w:szCs w:val="22"/>
                <w:color w:val="auto"/>
              </w:rPr>
            </w:pPr>
          </w:p>
        </w:tc>
        <w:tc>
          <w:tcPr>
            <w:tcW w:w="538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2680" w:type="dxa"/>
            <w:vAlign w:val="bottom"/>
          </w:tcPr>
          <w:p>
            <w:pPr>
              <w:spacing w:after="0"/>
              <w:rPr>
                <w:sz w:val="22"/>
                <w:szCs w:val="22"/>
                <w:color w:val="auto"/>
              </w:rPr>
            </w:pPr>
          </w:p>
        </w:tc>
      </w:tr>
    </w:tbl>
    <w:p>
      <w:pPr>
        <w:spacing w:after="0" w:line="202" w:lineRule="exact"/>
        <w:rPr>
          <w:sz w:val="20"/>
          <w:szCs w:val="20"/>
          <w:color w:val="auto"/>
        </w:rPr>
      </w:pPr>
    </w:p>
    <w:p>
      <w:pPr>
        <w:jc w:val="both"/>
        <w:ind w:left="380" w:hanging="372"/>
        <w:spacing w:after="0" w:line="26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1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4"/>
          </w:tcPr>
          <w:p>
            <w:pPr>
              <w:jc w:val="right"/>
              <w:ind w:right="1230"/>
              <w:spacing w:after="0"/>
              <w:rPr>
                <w:sz w:val="20"/>
                <w:szCs w:val="20"/>
                <w:color w:val="auto"/>
              </w:rPr>
            </w:pPr>
            <w:r>
              <w:rPr>
                <w:rFonts w:ascii="Arial" w:cs="Arial" w:eastAsia="Arial" w:hAnsi="Arial"/>
                <w:sz w:val="18"/>
                <w:szCs w:val="18"/>
                <w:color w:val="auto"/>
              </w:rPr>
              <w:t>(in thousands of dollars)</w:t>
            </w:r>
          </w:p>
        </w:tc>
      </w:tr>
      <w:tr>
        <w:trPr>
          <w:trHeight w:val="230"/>
        </w:trPr>
        <w:tc>
          <w:tcPr>
            <w:tcW w:w="6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March 31, 2019</w:t>
            </w: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3"/>
              </w:rPr>
              <w:t>December 31, 2018</w:t>
            </w:r>
          </w:p>
        </w:tc>
      </w:tr>
      <w:tr>
        <w:trPr>
          <w:trHeight w:val="223"/>
        </w:trPr>
        <w:tc>
          <w:tcPr>
            <w:tcW w:w="6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48,740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37,492</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33,109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873</w:t>
            </w:r>
          </w:p>
        </w:tc>
      </w:tr>
      <w:tr>
        <w:trPr>
          <w:trHeight w:val="223"/>
        </w:trPr>
        <w:tc>
          <w:tcPr>
            <w:tcW w:w="642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81,849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38,365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4,019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174,682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168,447</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5,789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3,679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495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1,091,829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839,599</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25,205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22,615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47,340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4,074</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2,397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2,385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600</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14,963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14,884</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15,729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17,001</w:t>
            </w:r>
          </w:p>
        </w:tc>
      </w:tr>
      <w:tr>
        <w:trPr>
          <w:trHeight w:val="26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1,465,661</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1,116,163</w:t>
            </w:r>
          </w:p>
        </w:tc>
      </w:tr>
      <w:tr>
        <w:trPr>
          <w:trHeight w:val="21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236,847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215,422</w:t>
            </w: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418,773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298,254</w:t>
            </w:r>
          </w:p>
        </w:tc>
      </w:tr>
      <w:tr>
        <w:trPr>
          <w:trHeight w:val="230"/>
        </w:trPr>
        <w:tc>
          <w:tcPr>
            <w:tcW w:w="64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272,875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227,701</w:t>
            </w:r>
          </w:p>
        </w:tc>
      </w:tr>
      <w:tr>
        <w:trPr>
          <w:trHeight w:val="230"/>
        </w:trPr>
        <w:tc>
          <w:tcPr>
            <w:tcW w:w="64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258,929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187,413</w:t>
            </w:r>
          </w:p>
        </w:tc>
      </w:tr>
      <w:tr>
        <w:trPr>
          <w:trHeight w:val="223"/>
        </w:trPr>
        <w:tc>
          <w:tcPr>
            <w:tcW w:w="64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1,187,424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928,790</w:t>
            </w:r>
          </w:p>
        </w:tc>
      </w:tr>
      <w:tr>
        <w:trPr>
          <w:trHeight w:val="215"/>
        </w:trPr>
        <w:tc>
          <w:tcPr>
            <w:tcW w:w="642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42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25,521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32,181</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24,682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Dividend payable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1,379</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9,446</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10,526</w:t>
            </w:r>
          </w:p>
        </w:tc>
      </w:tr>
      <w:tr>
        <w:trPr>
          <w:trHeight w:val="223"/>
        </w:trPr>
        <w:tc>
          <w:tcPr>
            <w:tcW w:w="642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1,248,727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972,876</w:t>
            </w: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5"/>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12,230,000 shares 3/31/19, 10,400,000 shares 12/31/18</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81,760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10,823</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Treasury stock - 1,122,937 shares 3/31/19, 1,114,739 shares 12/31/18</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(12,680)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(12,409)</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Retained earnings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149,466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147,887</w:t>
            </w:r>
          </w:p>
        </w:tc>
      </w:tr>
      <w:tr>
        <w:trPr>
          <w:trHeight w:val="230"/>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r>
      <w:tr>
        <w:trPr>
          <w:trHeight w:val="223"/>
        </w:trPr>
        <w:tc>
          <w:tcPr>
            <w:tcW w:w="64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stockholders' equity</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216,934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143,287</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1,465,661</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1,116,163</w:t>
            </w:r>
          </w:p>
        </w:tc>
      </w:tr>
      <w:tr>
        <w:trPr>
          <w:trHeight w:val="20"/>
        </w:trPr>
        <w:tc>
          <w:tcPr>
            <w:tcW w:w="6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2018, Condensed Consolidated Balance Sheet has been derived from the audited Consolidated Balance Sheet as of that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FARMERS &amp; MERCHANTS BANCORP, INC. AND SUBSIDIARIES</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CONDENSED CONSOLIDATED STATEMENTS OF INCOME</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3920" w:type="dxa"/>
            <w:vAlign w:val="bottom"/>
            <w:gridSpan w:val="7"/>
            <w:vMerge w:val="restart"/>
          </w:tcPr>
          <w:p>
            <w:pPr>
              <w:jc w:val="center"/>
              <w:ind w:right="320"/>
              <w:spacing w:after="0"/>
              <w:rPr>
                <w:sz w:val="20"/>
                <w:szCs w:val="20"/>
                <w:color w:val="auto"/>
              </w:rPr>
            </w:pPr>
            <w:r>
              <w:rPr>
                <w:rFonts w:ascii="Arial" w:cs="Arial" w:eastAsia="Arial" w:hAnsi="Arial"/>
                <w:sz w:val="18"/>
                <w:szCs w:val="18"/>
                <w:color w:val="auto"/>
                <w:w w:val="89"/>
              </w:rPr>
              <w:t>(in thousands of dollars, except per share data)</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2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20" w:type="dxa"/>
            <w:vAlign w:val="bottom"/>
            <w:gridSpan w:val="7"/>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ind w:left="140"/>
              <w:spacing w:after="0"/>
              <w:rPr>
                <w:sz w:val="20"/>
                <w:szCs w:val="20"/>
                <w:color w:val="auto"/>
              </w:rPr>
            </w:pPr>
            <w:r>
              <w:rPr>
                <w:rFonts w:ascii="Arial" w:cs="Arial" w:eastAsia="Arial" w:hAnsi="Arial"/>
                <w:sz w:val="18"/>
                <w:szCs w:val="18"/>
                <w:color w:val="auto"/>
              </w:rPr>
              <w:t>March 31, 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223"/>
        </w:trPr>
        <w:tc>
          <w:tcPr>
            <w:tcW w:w="7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14,680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 and other</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purchased and securities sold under agreements</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 repurchase</w:t>
            </w:r>
          </w:p>
        </w:tc>
        <w:tc>
          <w:tcPr>
            <w:tcW w:w="2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Borrowed funds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for Loan Losses</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Income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Customer service fees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service charges and fees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Net gain on sale of loans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sale of available-for-sale securities</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50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Expense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Salaries and wages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benefits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Net occupancy expense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Furniture and equipment</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Data processing</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Franchise taxes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ATM expense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Net loss on sale of other assets owned</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FDIC assessment</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Consulting fees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general and administrative</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right="5140"/>
        <w:spacing w:after="0" w:line="264"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gridSpan w:val="4"/>
          </w:tcPr>
          <w:p>
            <w:pPr>
              <w:jc w:val="right"/>
              <w:ind w:right="1090"/>
              <w:spacing w:after="0"/>
              <w:rPr>
                <w:sz w:val="20"/>
                <w:szCs w:val="20"/>
                <w:color w:val="auto"/>
              </w:rPr>
            </w:pPr>
            <w:r>
              <w:rPr>
                <w:rFonts w:ascii="Arial" w:cs="Arial" w:eastAsia="Arial" w:hAnsi="Arial"/>
                <w:sz w:val="18"/>
                <w:szCs w:val="18"/>
                <w:color w:val="auto"/>
              </w:rPr>
              <w:t>(in thousands of dollars)</w:t>
            </w:r>
          </w:p>
        </w:tc>
      </w:tr>
      <w:tr>
        <w:trPr>
          <w:trHeight w:val="230"/>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gridSpan w:val="4"/>
          </w:tcPr>
          <w:p>
            <w:pPr>
              <w:jc w:val="right"/>
              <w:ind w:right="1210"/>
              <w:spacing w:after="0"/>
              <w:rPr>
                <w:sz w:val="20"/>
                <w:szCs w:val="20"/>
                <w:color w:val="auto"/>
              </w:rPr>
            </w:pPr>
            <w:r>
              <w:rPr>
                <w:rFonts w:ascii="Arial" w:cs="Arial" w:eastAsia="Arial" w:hAnsi="Arial"/>
                <w:sz w:val="18"/>
                <w:szCs w:val="18"/>
                <w:color w:val="auto"/>
              </w:rPr>
              <w:t>Three Months Ended</w:t>
            </w:r>
          </w:p>
        </w:tc>
      </w:tr>
      <w:tr>
        <w:trPr>
          <w:trHeight w:val="230"/>
        </w:trPr>
        <w:tc>
          <w:tcPr>
            <w:tcW w:w="74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March 31, 2019</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March 31, 2018</w:t>
            </w: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3,767</w:t>
            </w: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Reclassification adjustment for loss on sale of</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74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 (benefit)</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373</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4,626</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1,815</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60" w:right="3540" w:hanging="1350"/>
        <w:spacing w:after="0" w:line="778" w:lineRule="auto"/>
        <w:tabs>
          <w:tab w:leader="none" w:pos="440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jc w:val="right"/>
        <w:ind w:left="4040"/>
        <w:spacing w:after="0" w:line="255" w:lineRule="auto"/>
        <w:rPr>
          <w:sz w:val="20"/>
          <w:szCs w:val="20"/>
          <w:color w:val="auto"/>
        </w:rPr>
      </w:pPr>
      <w:r>
        <w:rPr>
          <w:rFonts w:ascii="Arial" w:cs="Arial" w:eastAsia="Arial" w:hAnsi="Arial"/>
          <w:sz w:val="18"/>
          <w:szCs w:val="18"/>
          <w:color w:val="auto"/>
        </w:rPr>
        <w:t>CONDENSED CONSOLIDATED STATEMENTS OF CHANGES TO STOCKHOLDERS’ EQUITY FOR THE THREE MONTHS ENDED MARCH 31, 2018 AND 2019 (000’S OMITTED,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Common</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Treasury</w:t>
            </w:r>
          </w:p>
        </w:tc>
        <w:tc>
          <w:tcPr>
            <w:tcW w:w="8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Stock</w:t>
            </w:r>
          </w:p>
        </w:tc>
        <w:tc>
          <w:tcPr>
            <w:tcW w:w="8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Earnings</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 January 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9,265,880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136,547</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Adoption of ASU 2018-02</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Issuance of 100 shares of 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dividends declared - $0.13 per share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(1,193)</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9,265,980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139,483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Balance - January 1, 2019</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780" w:type="dxa"/>
            <w:vAlign w:val="bottom"/>
            <w:vMerge w:val="continue"/>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9,285,261</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10,823</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147,887</w:t>
            </w: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1,830,000  shares  of  common  stock  in</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400 shares of restricted stock</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- 2,040)</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 $0.15 per share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 March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11,107,063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81,760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149,466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532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6"/>
          </w:tcPr>
          <w:p>
            <w:pPr>
              <w:jc w:val="right"/>
              <w:ind w:right="1320"/>
              <w:spacing w:after="0"/>
              <w:rPr>
                <w:sz w:val="20"/>
                <w:szCs w:val="20"/>
                <w:color w:val="auto"/>
              </w:rPr>
            </w:pPr>
            <w:r>
              <w:rPr>
                <w:rFonts w:ascii="Arial" w:cs="Arial" w:eastAsia="Arial" w:hAnsi="Arial"/>
                <w:sz w:val="18"/>
                <w:szCs w:val="18"/>
                <w:color w:val="auto"/>
              </w:rPr>
              <w:t>(in thousands of dollars)</w:t>
            </w:r>
          </w:p>
        </w:tc>
      </w:tr>
      <w:tr>
        <w:trPr>
          <w:trHeight w:val="230"/>
        </w:trPr>
        <w:tc>
          <w:tcPr>
            <w:tcW w:w="6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6"/>
          </w:tcPr>
          <w:p>
            <w:pPr>
              <w:jc w:val="right"/>
              <w:ind w:right="1440"/>
              <w:spacing w:after="0"/>
              <w:rPr>
                <w:sz w:val="20"/>
                <w:szCs w:val="20"/>
                <w:color w:val="auto"/>
              </w:rPr>
            </w:pPr>
            <w:r>
              <w:rPr>
                <w:rFonts w:ascii="Arial" w:cs="Arial" w:eastAsia="Arial" w:hAnsi="Arial"/>
                <w:sz w:val="18"/>
                <w:szCs w:val="18"/>
                <w:color w:val="auto"/>
              </w:rPr>
              <w:t>Three Months Ended</w:t>
            </w:r>
          </w:p>
        </w:tc>
      </w:tr>
      <w:tr>
        <w:trPr>
          <w:trHeight w:val="230"/>
        </w:trPr>
        <w:tc>
          <w:tcPr>
            <w:tcW w:w="6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ind w:left="140"/>
              <w:spacing w:after="0"/>
              <w:rPr>
                <w:sz w:val="20"/>
                <w:szCs w:val="20"/>
                <w:color w:val="auto"/>
              </w:rPr>
            </w:pPr>
            <w:r>
              <w:rPr>
                <w:rFonts w:ascii="Arial" w:cs="Arial" w:eastAsia="Arial" w:hAnsi="Arial"/>
                <w:sz w:val="18"/>
                <w:szCs w:val="18"/>
                <w:color w:val="auto"/>
              </w:rPr>
              <w:t>March 31, 2019</w:t>
            </w:r>
          </w:p>
        </w:tc>
        <w:tc>
          <w:tcPr>
            <w:tcW w:w="240" w:type="dxa"/>
            <w:vAlign w:val="bottom"/>
          </w:tcPr>
          <w:p>
            <w:pPr>
              <w:spacing w:after="0"/>
              <w:rPr>
                <w:sz w:val="20"/>
                <w:szCs w:val="20"/>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March 31, 2018</w:t>
            </w:r>
          </w:p>
        </w:tc>
      </w:tr>
      <w:tr>
        <w:trPr>
          <w:trHeight w:val="223"/>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available-for-sale securities, net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Amortization of fair value adjustments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(8,340)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(11,626)</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9,971</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Loss on sale of other assets owned</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Loss on sales of securities available-for-sale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Change in other assets and other liabilities, net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(4,015)</w:t>
            </w:r>
          </w:p>
        </w:tc>
      </w:tr>
      <w:tr>
        <w:trPr>
          <w:trHeight w:val="223"/>
        </w:trPr>
        <w:tc>
          <w:tcPr>
            <w:tcW w:w="6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Activity in available-for-sale securities: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Maturities, prepayments and calls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(1,308)</w:t>
            </w: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other assets owned</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Loan originations and principal collections, net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(10,166)</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Acquisition of Limberlost, net of cash received</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6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deposits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33,998</w:t>
            </w:r>
          </w:p>
        </w:tc>
        <w:tc>
          <w:tcPr>
            <w:tcW w:w="120" w:type="dxa"/>
            <w:vAlign w:val="bottom"/>
            <w:shd w:val="clear" w:color="auto" w:fill="CFF0FC"/>
          </w:tcPr>
          <w:p>
            <w:pPr>
              <w:spacing w:after="0"/>
              <w:rPr>
                <w:sz w:val="19"/>
                <w:szCs w:val="19"/>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to repurchase</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(6,660)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(16,188)</w:t>
            </w: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Repayment of FHLB advances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(23,651)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paid on common stock</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(1,193)</w:t>
            </w:r>
          </w:p>
        </w:tc>
      </w:tr>
      <w:tr>
        <w:trPr>
          <w:trHeight w:val="230"/>
        </w:trPr>
        <w:tc>
          <w:tcPr>
            <w:tcW w:w="6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16,617</w:t>
            </w:r>
          </w:p>
        </w:tc>
        <w:tc>
          <w:tcPr>
            <w:tcW w:w="120" w:type="dxa"/>
            <w:vAlign w:val="bottom"/>
            <w:tcBorders>
              <w:bottom w:val="single" w:sz="8" w:color="CFF0FC"/>
            </w:tcBorders>
          </w:tcPr>
          <w:p>
            <w:pPr>
              <w:spacing w:after="0"/>
              <w:rPr>
                <w:sz w:val="19"/>
                <w:szCs w:val="19"/>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5,441</w:t>
            </w:r>
          </w:p>
        </w:tc>
        <w:tc>
          <w:tcPr>
            <w:tcW w:w="120" w:type="dxa"/>
            <w:vAlign w:val="bottom"/>
            <w:shd w:val="clear" w:color="auto" w:fill="CFF0FC"/>
          </w:tcPr>
          <w:p>
            <w:pPr>
              <w:spacing w:after="0"/>
              <w:rPr>
                <w:sz w:val="19"/>
                <w:szCs w:val="19"/>
                <w:color w:val="auto"/>
              </w:rPr>
            </w:pPr>
          </w:p>
        </w:tc>
      </w:tr>
      <w:tr>
        <w:trPr>
          <w:trHeight w:val="223"/>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34,467</w:t>
            </w:r>
          </w:p>
        </w:tc>
        <w:tc>
          <w:tcPr>
            <w:tcW w:w="120" w:type="dxa"/>
            <w:vAlign w:val="bottom"/>
            <w:tcBorders>
              <w:bottom w:val="single" w:sz="8" w:color="CFF0FC"/>
            </w:tcBorders>
          </w:tcPr>
          <w:p>
            <w:pPr>
              <w:spacing w:after="0"/>
              <w:rPr>
                <w:sz w:val="19"/>
                <w:szCs w:val="19"/>
                <w:color w:val="auto"/>
              </w:rPr>
            </w:pPr>
          </w:p>
        </w:tc>
      </w:tr>
      <w:tr>
        <w:trPr>
          <w:trHeight w:val="223"/>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8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7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7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March 31, 2019</w:t>
            </w:r>
          </w:p>
        </w:tc>
        <w:tc>
          <w:tcPr>
            <w:tcW w:w="40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activities: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Transfer of loans to other real estate owned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The Company purchased all of the capital stock of Limberlost for $78,902 on January 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2019. In conjunction with the acquisition, liabilities were assumed as follows:</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Fair value of assets acquired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336,380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common stock issued</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Cash paid for the capital stock</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257,478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60" w:right="3540" w:hanging="1350"/>
        <w:spacing w:after="0" w:line="810" w:lineRule="auto"/>
        <w:tabs>
          <w:tab w:leader="none" w:pos="4406"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2019 are not necessarily indicative of the results that are expected for the year ended December 31, 2019. The condensed consolidated balance sheet of the Company as of December 31, 2018,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2018.</w:t>
      </w:r>
    </w:p>
    <w:p>
      <w:pPr>
        <w:spacing w:after="0" w:line="157"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Reclassification</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Certain amounts in the 2018 condensed consolidated financial statements have been reclassified to conform with the 2019 presentation. These reclassifications had no effect on income.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2 BUSINESS COMBINATION AND ASSET PURCHASE</w:t>
      </w:r>
    </w:p>
    <w:p>
      <w:pPr>
        <w:spacing w:after="0" w:line="225"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will have an opportunity to increase its deposit base and reduce transaction costs. The Company also expects to reduce costs through economies of scale.</w:t>
      </w:r>
    </w:p>
    <w:p>
      <w:pPr>
        <w:spacing w:after="0" w:line="20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2018, the Company incurred $742.1 thousand of third-party acquisition-related costs. The largest portion of the expenses recognized in 2018 related to consulting fees of $340 thousand, other general and administration expenses of $331.5 thousand and data processing expenses of $58.6 thousand. These three categories of expense accounted for 98.4% of the total acquisition expenses impacting the 2018 financial statements of the Company.</w:t>
      </w:r>
    </w:p>
    <w:p>
      <w:pPr>
        <w:spacing w:after="0" w:line="214"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2019, the Company has incurred additional third-party acquisition-related costs of $1.3 million. These expenses are comprised of data processing of $891.7 thousand, employee benefits of $107.6 thousand, ATM expense of $31.4 thousand, consulting fees of $18.3 thousand and other general and administrative expense of $238.3 thousand in the Company’s consolidated statement of income for the quarter ended March 31, 2019.</w:t>
      </w:r>
    </w:p>
    <w:p>
      <w:pPr>
        <w:spacing w:after="0" w:line="133"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is allocated to net tangible and intangible assets based on their current estimated fair values on the date of acquisition. Of the total purchase price of $78.9 million, $3.9 million has been allocated to core deposit intangible included in other assets and will be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 The following table summarizes the consideration paid for Bank of Geneva and the amounts of the assets acquired and liabilities assumed recognized at the acquisition date.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NOTE 2 BUSINESS COMBINATION AND ASSET PURCHASE (Continued)</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80" w:type="dxa"/>
            <w:vAlign w:val="bottom"/>
          </w:tcPr>
          <w:p>
            <w:pPr>
              <w:spacing w:after="0"/>
              <w:rPr>
                <w:sz w:val="24"/>
                <w:szCs w:val="24"/>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Borders>
              <w:top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8,465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spacing w:after="0" w:line="189" w:lineRule="exact"/>
              <w:rPr>
                <w:sz w:val="20"/>
                <w:szCs w:val="20"/>
                <w:color w:val="auto"/>
              </w:rPr>
            </w:pPr>
            <w:r>
              <w:rPr>
                <w:rFonts w:ascii="Arial" w:cs="Arial" w:eastAsia="Arial" w:hAnsi="Arial"/>
                <w:sz w:val="18"/>
                <w:szCs w:val="18"/>
                <w:color w:val="auto"/>
              </w:rPr>
              <w:t>Common Shares (1,830,000 shares)</w:t>
            </w:r>
          </w:p>
        </w:tc>
        <w:tc>
          <w:tcPr>
            <w:tcW w:w="80" w:type="dxa"/>
            <w:vAlign w:val="bottom"/>
          </w:tcPr>
          <w:p>
            <w:pPr>
              <w:spacing w:after="0"/>
              <w:rPr>
                <w:sz w:val="16"/>
                <w:szCs w:val="16"/>
                <w:color w:val="auto"/>
              </w:rPr>
            </w:pPr>
          </w:p>
        </w:tc>
        <w:tc>
          <w:tcPr>
            <w:tcW w:w="18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auto"/>
              </w:rPr>
              <w:t>70,437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78,902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80" w:type="dxa"/>
            <w:vAlign w:val="bottom"/>
            <w:shd w:val="clear" w:color="auto" w:fill="CFF0FC"/>
          </w:tcPr>
          <w:p>
            <w:pPr>
              <w:spacing w:after="0"/>
              <w:rPr>
                <w:sz w:val="19"/>
                <w:szCs w:val="19"/>
                <w:color w:val="auto"/>
              </w:rPr>
            </w:pPr>
          </w:p>
        </w:tc>
        <w:tc>
          <w:tcPr>
            <w:tcW w:w="182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17,494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80" w:type="dxa"/>
            <w:vAlign w:val="bottom"/>
          </w:tcPr>
          <w:p>
            <w:pPr>
              <w:spacing w:after="0"/>
              <w:rPr>
                <w:sz w:val="19"/>
                <w:szCs w:val="19"/>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80" w:type="dxa"/>
            <w:vAlign w:val="bottom"/>
            <w:shd w:val="clear" w:color="auto" w:fill="CFF0FC"/>
          </w:tcPr>
          <w:p>
            <w:pPr>
              <w:spacing w:after="0"/>
              <w:rPr>
                <w:sz w:val="19"/>
                <w:szCs w:val="19"/>
                <w:color w:val="auto"/>
              </w:rPr>
            </w:pPr>
          </w:p>
        </w:tc>
        <w:tc>
          <w:tcPr>
            <w:tcW w:w="182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257,183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Premises and equipment</w:t>
            </w:r>
          </w:p>
        </w:tc>
        <w:tc>
          <w:tcPr>
            <w:tcW w:w="80" w:type="dxa"/>
            <w:vAlign w:val="bottom"/>
          </w:tcPr>
          <w:p>
            <w:pPr>
              <w:spacing w:after="0"/>
              <w:rPr>
                <w:sz w:val="19"/>
                <w:szCs w:val="19"/>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FF0FC"/>
          </w:tcPr>
          <w:p>
            <w:pPr>
              <w:spacing w:after="0"/>
              <w:rPr>
                <w:sz w:val="19"/>
                <w:szCs w:val="19"/>
                <w:color w:val="auto"/>
              </w:rPr>
            </w:pPr>
          </w:p>
        </w:tc>
        <w:tc>
          <w:tcPr>
            <w:tcW w:w="182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43,266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240"/>
              <w:spacing w:after="0" w:line="189"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6"/>
                <w:szCs w:val="16"/>
                <w:color w:val="auto"/>
              </w:rPr>
            </w:pPr>
          </w:p>
        </w:tc>
        <w:tc>
          <w:tcPr>
            <w:tcW w:w="18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auto"/>
              </w:rPr>
              <w:t>7,176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336,380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Borders>
              <w:right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Noninterest bearing</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37,822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80" w:type="dxa"/>
            <w:vAlign w:val="bottom"/>
          </w:tcPr>
          <w:p>
            <w:pPr>
              <w:ind w:left="480"/>
              <w:spacing w:after="0" w:line="189" w:lineRule="exact"/>
              <w:rPr>
                <w:sz w:val="20"/>
                <w:szCs w:val="20"/>
                <w:color w:val="auto"/>
              </w:rPr>
            </w:pPr>
            <w:r>
              <w:rPr>
                <w:rFonts w:ascii="Arial" w:cs="Arial" w:eastAsia="Arial" w:hAnsi="Arial"/>
                <w:sz w:val="18"/>
                <w:szCs w:val="18"/>
                <w:color w:val="auto"/>
              </w:rPr>
              <w:t>Interest bearing</w:t>
            </w:r>
          </w:p>
        </w:tc>
        <w:tc>
          <w:tcPr>
            <w:tcW w:w="80" w:type="dxa"/>
            <w:vAlign w:val="bottom"/>
          </w:tcPr>
          <w:p>
            <w:pPr>
              <w:spacing w:after="0"/>
              <w:rPr>
                <w:sz w:val="16"/>
                <w:szCs w:val="16"/>
                <w:color w:val="auto"/>
              </w:rPr>
            </w:pPr>
          </w:p>
        </w:tc>
        <w:tc>
          <w:tcPr>
            <w:tcW w:w="18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auto"/>
              </w:rPr>
              <w:t>168,312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Borders>
              <w:right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FF0FC"/>
          </w:tcPr>
          <w:p>
            <w:pPr>
              <w:spacing w:after="0"/>
              <w:rPr>
                <w:sz w:val="19"/>
                <w:szCs w:val="19"/>
                <w:color w:val="auto"/>
              </w:rPr>
            </w:pPr>
          </w:p>
        </w:tc>
        <w:tc>
          <w:tcPr>
            <w:tcW w:w="1820" w:type="dxa"/>
            <w:vAlign w:val="bottom"/>
            <w:tcBorders>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206,134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240"/>
              <w:spacing w:after="0"/>
              <w:rPr>
                <w:sz w:val="20"/>
                <w:szCs w:val="20"/>
                <w:color w:val="auto"/>
              </w:rPr>
            </w:pPr>
            <w:r>
              <w:rPr>
                <w:rFonts w:ascii="Arial" w:cs="Arial" w:eastAsia="Arial" w:hAnsi="Arial"/>
                <w:sz w:val="18"/>
                <w:szCs w:val="18"/>
                <w:color w:val="auto"/>
              </w:rPr>
              <w:t>Federal Home Loan Bank (FHLB) advances</w:t>
            </w:r>
          </w:p>
        </w:tc>
        <w:tc>
          <w:tcPr>
            <w:tcW w:w="80" w:type="dxa"/>
            <w:vAlign w:val="bottom"/>
          </w:tcPr>
          <w:p>
            <w:pPr>
              <w:spacing w:after="0"/>
              <w:rPr>
                <w:sz w:val="19"/>
                <w:szCs w:val="19"/>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auto"/>
              </w:rPr>
              <w:t>48,196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right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Assumed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auto"/>
              </w:rPr>
              <w:t>257,478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fair value of the assets acquired includes loans with a fair value of $257.2 million. The gross principal and contractual interest due under the contracts is $359.2 million, of which $4.7 million is expected to be uncollectible. The loans have a weighted average life of 70 months.</w:t>
      </w:r>
    </w:p>
    <w:p>
      <w:pPr>
        <w:spacing w:after="0" w:line="9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$1.2 million and will be amortized based on the remaining life of each building. The combined average remaining life is 16.75 years.</w:t>
      </w:r>
    </w:p>
    <w:p>
      <w:pPr>
        <w:spacing w:after="0" w:line="116"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fair value for certificates of deposit incorporates a valuation amount of $0.5 million which will be amortized over 1.5 years. The fair value of Federal Home Loan Bank (FHLB) advances includes a valuation amount of $1.3 million which will be amortized over 2.3 years.</w:t>
      </w:r>
    </w:p>
    <w:p>
      <w:pPr>
        <w:spacing w:after="0" w:line="9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1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760"/>
        <w:spacing w:after="0" w:line="258" w:lineRule="auto"/>
        <w:rPr>
          <w:sz w:val="20"/>
          <w:szCs w:val="20"/>
          <w:color w:val="auto"/>
        </w:rPr>
      </w:pPr>
      <w:r>
        <w:rPr>
          <w:rFonts w:ascii="Arial" w:cs="Arial" w:eastAsia="Arial" w:hAnsi="Arial"/>
          <w:sz w:val="18"/>
          <w:szCs w:val="18"/>
          <w:color w:val="auto"/>
        </w:rPr>
        <w:t>The carrying amount of those loans is included in loans, net on the balance sheet at March 31. The amounts of loans at March 31, 2019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jc w:val="right"/>
              <w:ind w:right="10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420" w:type="dxa"/>
            <w:vAlign w:val="bottom"/>
            <w:tcBorders>
              <w:top w:val="single" w:sz="8" w:color="auto"/>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Carrying amount, net of allowance of $2,118</w:t>
            </w: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Balance - March 31, 2019</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42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Carrying amount, net of allowance of $2,081</w:t>
            </w: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Loans acquired during 2019 for which it was probable at acquisition that all contractually required payments would not be collected are as follows:</w:t>
      </w:r>
    </w:p>
    <w:p>
      <w:pPr>
        <w:spacing w:after="0" w:line="46"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9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w:t>
            </w:r>
          </w:p>
        </w:tc>
        <w:tc>
          <w:tcPr>
            <w:tcW w:w="9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required payments receivable</w:t>
            </w: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Cash flows expected to be collected at acquisition</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20" w:type="dxa"/>
            <w:vAlign w:val="bottom"/>
            <w:shd w:val="clear" w:color="auto" w:fill="CFF0FC"/>
          </w:tcPr>
          <w:p>
            <w:pPr>
              <w:spacing w:after="0"/>
              <w:rPr>
                <w:sz w:val="20"/>
                <w:szCs w:val="20"/>
                <w:color w:val="auto"/>
              </w:rPr>
            </w:pPr>
            <w:r>
              <w:rPr>
                <w:rFonts w:ascii="Arial" w:cs="Arial" w:eastAsia="Arial" w:hAnsi="Arial"/>
                <w:sz w:val="18"/>
                <w:szCs w:val="18"/>
                <w:color w:val="auto"/>
              </w:rPr>
              <w:t>Basis in acquired loans at acquisition</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No allowances for loan losses were reversed in 2019. The balance of the allowance for loan losses for loans acquired and accounted for under this guidance (ASC 310-30) was $2.081 million at March 31, 2019 and $2.118 million on January 1, 2019,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tc>
        <w:tc>
          <w:tcPr>
            <w:tcW w:w="300" w:type="dxa"/>
            <w:vAlign w:val="bottom"/>
          </w:tcPr>
          <w:p>
            <w:pPr>
              <w:spacing w:after="0"/>
              <w:rPr>
                <w:sz w:val="20"/>
                <w:szCs w:val="20"/>
                <w:color w:val="auto"/>
              </w:rPr>
            </w:pPr>
          </w:p>
        </w:tc>
        <w:tc>
          <w:tcPr>
            <w:tcW w:w="1880" w:type="dxa"/>
            <w:vAlign w:val="bottom"/>
            <w:vMerge w:val="restart"/>
          </w:tcPr>
          <w:p>
            <w:pPr>
              <w:jc w:val="right"/>
              <w:ind w:right="8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right"/>
              <w:ind w:right="6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9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4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w:t>
            </w:r>
          </w:p>
        </w:tc>
        <w:tc>
          <w:tcPr>
            <w:tcW w:w="3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9140" w:type="dxa"/>
            <w:vAlign w:val="bottom"/>
          </w:tcPr>
          <w:p>
            <w:pPr>
              <w:ind w:left="260"/>
              <w:spacing w:after="0"/>
              <w:rPr>
                <w:sz w:val="20"/>
                <w:szCs w:val="20"/>
                <w:color w:val="auto"/>
              </w:rPr>
            </w:pPr>
            <w:r>
              <w:rPr>
                <w:rFonts w:ascii="Arial" w:cs="Arial" w:eastAsia="Arial" w:hAnsi="Arial"/>
                <w:sz w:val="18"/>
                <w:szCs w:val="18"/>
                <w:color w:val="auto"/>
              </w:rPr>
              <w:t>Reclassification from nonaccretable difference</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Disposals</w:t>
            </w:r>
          </w:p>
        </w:tc>
        <w:tc>
          <w:tcPr>
            <w:tcW w:w="30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Balance - March 31, 2019</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results of operations of Bank of Geneva have been included in the Company’s consolidated financial statements since the acquisition date of January 1, 2019. The following schedule includes pro-forma results for the three months ended March 31, 2019 and 2018 as if the Bank of Geneva acquisitions had occurred as of the beginning of the comparable prior reporting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ind w:left="1300"/>
              <w:spacing w:after="0"/>
              <w:rPr>
                <w:sz w:val="20"/>
                <w:szCs w:val="20"/>
                <w:color w:val="auto"/>
              </w:rPr>
            </w:pPr>
            <w:r>
              <w:rPr>
                <w:rFonts w:ascii="Arial" w:cs="Arial" w:eastAsia="Arial" w:hAnsi="Arial"/>
                <w:sz w:val="18"/>
                <w:szCs w:val="18"/>
                <w:color w:val="auto"/>
                <w:w w:val="96"/>
              </w:rPr>
              <w:t>NOTE 2 BUSINESS COMBINATION AND ASSET PURCHASE (Continued)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8"/>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6"/>
          </w:tcPr>
          <w:p>
            <w:pPr>
              <w:jc w:val="center"/>
              <w:ind w:right="340"/>
              <w:spacing w:after="0"/>
              <w:rPr>
                <w:sz w:val="20"/>
                <w:szCs w:val="20"/>
                <w:color w:val="auto"/>
              </w:rPr>
            </w:pPr>
            <w:r>
              <w:rPr>
                <w:rFonts w:ascii="Arial" w:cs="Arial" w:eastAsia="Arial" w:hAnsi="Arial"/>
                <w:sz w:val="18"/>
                <w:szCs w:val="18"/>
                <w:color w:val="auto"/>
                <w:w w:val="89"/>
              </w:rPr>
              <w:t>(in thousands of dollars, except per share data)</w:t>
            </w:r>
          </w:p>
        </w:tc>
      </w:tr>
      <w:tr>
        <w:trPr>
          <w:trHeight w:val="230"/>
        </w:trPr>
        <w:tc>
          <w:tcPr>
            <w:tcW w:w="7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3"/>
          </w:tcPr>
          <w:p>
            <w:pPr>
              <w:ind w:left="140"/>
              <w:spacing w:after="0"/>
              <w:rPr>
                <w:sz w:val="20"/>
                <w:szCs w:val="20"/>
                <w:color w:val="auto"/>
              </w:rPr>
            </w:pPr>
            <w:r>
              <w:rPr>
                <w:rFonts w:ascii="Arial" w:cs="Arial" w:eastAsia="Arial" w:hAnsi="Arial"/>
                <w:sz w:val="18"/>
                <w:szCs w:val="18"/>
                <w:color w:val="auto"/>
              </w:rPr>
              <w:t>March 31, 2019</w:t>
            </w:r>
          </w:p>
        </w:tc>
        <w:tc>
          <w:tcPr>
            <w:tcW w:w="22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March 31, 2018</w:t>
            </w: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Summary of Operations</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12,639</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12,494</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9,346</w:t>
            </w:r>
          </w:p>
        </w:tc>
        <w:tc>
          <w:tcPr>
            <w:tcW w:w="120" w:type="dxa"/>
            <w:vAlign w:val="bottom"/>
            <w:shd w:val="clear" w:color="auto" w:fill="CFF0FC"/>
          </w:tcPr>
          <w:p>
            <w:pPr>
              <w:spacing w:after="0"/>
              <w:rPr>
                <w:sz w:val="19"/>
                <w:szCs w:val="19"/>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FF0FC"/>
          </w:tcPr>
          <w:p>
            <w:pPr>
              <w:spacing w:after="0"/>
              <w:rPr>
                <w:sz w:val="19"/>
                <w:szCs w:val="19"/>
                <w:color w:val="auto"/>
              </w:rPr>
            </w:pPr>
          </w:p>
        </w:tc>
      </w:tr>
      <w:tr>
        <w:trPr>
          <w:trHeight w:val="263"/>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22"/>
                <w:szCs w:val="22"/>
                <w:color w:val="auto"/>
              </w:rPr>
            </w:pPr>
          </w:p>
        </w:tc>
      </w:tr>
      <w:tr>
        <w:trPr>
          <w:trHeight w:val="210"/>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312" w:lineRule="auto"/>
        <w:rPr>
          <w:sz w:val="20"/>
          <w:szCs w:val="20"/>
          <w:color w:val="auto"/>
        </w:rPr>
      </w:pPr>
      <w:r>
        <w:rPr>
          <w:rFonts w:ascii="Arial" w:cs="Arial" w:eastAsia="Arial" w:hAnsi="Arial"/>
          <w:sz w:val="16"/>
          <w:szCs w:val="16"/>
          <w:color w:val="auto"/>
        </w:rPr>
        <w:t>The pro-forma information includes adjustments for interest income on loans, amortization of intangibles arising from the transaction, interest expense on deposits acquired, premises expense for the branches acquired and the related income tax effects. The pro-forma information for the quarter ended March 31, 2019 includes approximately $2.1 million, net of tax, of operating revenue from Bank of Geneva since acquisition.</w:t>
      </w:r>
    </w:p>
    <w:p>
      <w:pPr>
        <w:spacing w:after="0" w:line="174" w:lineRule="exact"/>
        <w:rPr>
          <w:sz w:val="20"/>
          <w:szCs w:val="20"/>
          <w:color w:val="auto"/>
        </w:rPr>
      </w:pPr>
    </w:p>
    <w:p>
      <w:pPr>
        <w:jc w:val="both"/>
        <w:ind w:left="760" w:right="40"/>
        <w:spacing w:after="0" w:line="308" w:lineRule="auto"/>
        <w:rPr>
          <w:sz w:val="20"/>
          <w:szCs w:val="20"/>
          <w:color w:val="auto"/>
        </w:rPr>
      </w:pPr>
      <w:r>
        <w:rPr>
          <w:rFonts w:ascii="Arial" w:cs="Arial" w:eastAsia="Arial" w:hAnsi="Arial"/>
          <w:sz w:val="17"/>
          <w:szCs w:val="17"/>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74"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9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are being amortized over its remaining life of 7 years on a straight line basis.</w:t>
      </w:r>
    </w:p>
    <w:p>
      <w:pPr>
        <w:spacing w:after="0" w:line="197" w:lineRule="exact"/>
        <w:rPr>
          <w:sz w:val="20"/>
          <w:szCs w:val="20"/>
          <w:color w:val="auto"/>
        </w:rPr>
      </w:pPr>
    </w:p>
    <w:p>
      <w:pPr>
        <w:jc w:val="both"/>
        <w:ind w:left="760" w:right="40"/>
        <w:spacing w:after="0" w:line="277" w:lineRule="auto"/>
        <w:rPr>
          <w:sz w:val="20"/>
          <w:szCs w:val="20"/>
          <w:color w:val="auto"/>
        </w:rPr>
      </w:pPr>
      <w:r>
        <w:rPr>
          <w:rFonts w:ascii="Arial" w:cs="Arial" w:eastAsia="Arial" w:hAnsi="Arial"/>
          <w:sz w:val="18"/>
          <w:szCs w:val="18"/>
          <w:color w:val="auto"/>
        </w:rPr>
        <w:t>The amortization expense for the three months ended March 31, 2018 was $42 thousand. Of the $727 thousand to be expensed in 2019, $182 thousand has been expensed for the three months ended March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w w:val="90"/>
              </w:rPr>
              <w:t>(In Thousands)</w:t>
            </w:r>
          </w:p>
        </w:tc>
        <w:tc>
          <w:tcPr>
            <w:tcW w:w="230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Custar</w:t>
            </w:r>
          </w:p>
        </w:tc>
        <w:tc>
          <w:tcPr>
            <w:tcW w:w="1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Geneva</w:t>
            </w: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2019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2020</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2023</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02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84"/>
              </w:rPr>
              <w:t>2025</w:t>
            </w: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750"/>
        </w:trPr>
        <w:tc>
          <w:tcPr>
            <w:tcW w:w="2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March 31, 2019 and December 31, 2018,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91"/>
              </w:rPr>
              <w:t>March 31, 2019</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9"/>
        </w:trPr>
        <w:tc>
          <w:tcPr>
            <w:tcW w:w="3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250"/>
              <w:spacing w:after="0"/>
              <w:rPr>
                <w:sz w:val="20"/>
                <w:szCs w:val="20"/>
                <w:color w:val="auto"/>
              </w:rPr>
            </w:pPr>
            <w:r>
              <w:rPr>
                <w:rFonts w:ascii="Arial" w:cs="Arial" w:eastAsia="Arial" w:hAnsi="Arial"/>
                <w:sz w:val="18"/>
                <w:szCs w:val="18"/>
                <w:color w:val="auto"/>
                <w:w w:val="90"/>
              </w:rPr>
              <w:t>Fair</w:t>
            </w:r>
          </w:p>
        </w:tc>
      </w:tr>
      <w:tr>
        <w:trPr>
          <w:trHeight w:val="230"/>
        </w:trPr>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22,883</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75,289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74,215</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38,619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37,894</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39,756</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39,690</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176,723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174,682</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9"/>
        </w:trPr>
        <w:tc>
          <w:tcPr>
            <w:tcW w:w="3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89"/>
              </w:rPr>
              <w:t>December 31, 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9"/>
        </w:trPr>
        <w:tc>
          <w:tcPr>
            <w:tcW w:w="3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250"/>
              <w:spacing w:after="0"/>
              <w:rPr>
                <w:sz w:val="20"/>
                <w:szCs w:val="20"/>
                <w:color w:val="auto"/>
              </w:rPr>
            </w:pPr>
            <w:r>
              <w:rPr>
                <w:rFonts w:ascii="Arial" w:cs="Arial" w:eastAsia="Arial" w:hAnsi="Arial"/>
                <w:sz w:val="18"/>
                <w:szCs w:val="18"/>
                <w:color w:val="auto"/>
                <w:w w:val="90"/>
              </w:rPr>
              <w:t>Fair</w:t>
            </w:r>
          </w:p>
        </w:tc>
      </w:tr>
      <w:tr>
        <w:trPr>
          <w:trHeight w:val="230"/>
        </w:trPr>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22,830</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71,235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69,327</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36,262</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40,608</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40,028</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172,263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(4,111)</w:t>
            </w:r>
          </w:p>
        </w:tc>
        <w:tc>
          <w:tcPr>
            <w:tcW w:w="140" w:type="dxa"/>
            <w:vAlign w:val="bottom"/>
            <w:gridSpan w:val="2"/>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168,447</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80" w:hanging="759"/>
        <w:spacing w:after="0" w:line="250"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80" w:hanging="759"/>
        <w:spacing w:after="0"/>
        <w:tabs>
          <w:tab w:leader="none" w:pos="2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20" w:lineRule="exact"/>
        <w:rPr>
          <w:rFonts w:ascii="Arial" w:cs="Arial" w:eastAsia="Arial" w:hAnsi="Arial"/>
          <w:sz w:val="17"/>
          <w:szCs w:val="17"/>
          <w:color w:val="auto"/>
        </w:rPr>
      </w:pPr>
    </w:p>
    <w:p>
      <w:pPr>
        <w:ind w:left="2280" w:hanging="759"/>
        <w:spacing w:after="0" w:line="261"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2019 and December 31, 2018,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color w:val="auto"/>
                <w:w w:val="91"/>
              </w:rPr>
              <w:t>March 31, 2019</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5"/>
              </w:rPr>
              <w:t>Less Than Twelve Months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Twelve Months &amp; Over</w:t>
            </w:r>
          </w:p>
        </w:tc>
      </w:tr>
      <w:tr>
        <w:trPr>
          <w:trHeight w:val="209"/>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25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20,908</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65,412</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29,528</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27,792</w:t>
            </w: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143,640</w:t>
            </w: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53"/>
        </w:trPr>
        <w:tc>
          <w:tcPr>
            <w:tcW w:w="5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color w:val="auto"/>
                <w:w w:val="89"/>
              </w:rPr>
              <w:t>December 31, 2018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5"/>
              </w:rPr>
              <w:t>Less Than Twelve Months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Twelve Months &amp; Over</w:t>
            </w:r>
          </w:p>
        </w:tc>
      </w:tr>
      <w:tr>
        <w:trPr>
          <w:trHeight w:val="209"/>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1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25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20,861</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64,727</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30,347</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29,413</w:t>
            </w: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145,348</w:t>
            </w: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months ended March 31, 2019 and March 31, 2018.</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gridSpan w:val="4"/>
          </w:tcPr>
          <w:p>
            <w:pPr>
              <w:jc w:val="right"/>
              <w:ind w:right="25"/>
              <w:spacing w:after="0"/>
              <w:rPr>
                <w:sz w:val="20"/>
                <w:szCs w:val="20"/>
                <w:color w:val="auto"/>
              </w:rPr>
            </w:pPr>
            <w:r>
              <w:rPr>
                <w:rFonts w:ascii="Arial" w:cs="Arial" w:eastAsia="Arial" w:hAnsi="Arial"/>
                <w:sz w:val="18"/>
                <w:szCs w:val="18"/>
                <w:color w:val="auto"/>
                <w:w w:val="99"/>
              </w:rPr>
              <w:t>Three Months</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(In Thousands)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19"/>
                <w:szCs w:val="19"/>
                <w:color w:val="auto"/>
              </w:rPr>
            </w:pPr>
          </w:p>
        </w:tc>
        <w:tc>
          <w:tcPr>
            <w:tcW w:w="20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20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20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losses</w:t>
            </w:r>
          </w:p>
        </w:tc>
        <w:tc>
          <w:tcPr>
            <w:tcW w:w="20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losses</w:t>
            </w:r>
          </w:p>
        </w:tc>
        <w:tc>
          <w:tcPr>
            <w:tcW w:w="2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net realized losses on sales and related tax expense is a reclassification out of accumulated other comprehensive income (loss). The net realized loss is included in net loss on sale of available-for-sale securities and the related tax expense is included in income taxes in the condensed consolidated statements of income and comprehensive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amortized cost and fair value of debt securities at March 31, 2019,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30,820</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59,594</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45,152</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138,104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136,788</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38,619</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37,894</w:t>
            </w: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176,723</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174,682</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Investments with a carrying value of $83.1 million and $81.8 million at March 31, 2019 and December 31, 2018, respectively, were pledged to secure public deposits and securities sold under repurchase agreements.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Other securities include Federal Home Loan Bank of Cincinnati and Indianapolis stock as of March 31, 2019. As of December 31, 2018, other securities only includes Federal Home Loan Bank of Cincinnati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20" w:right="3540" w:hanging="1310"/>
        <w:spacing w:after="0" w:line="669" w:lineRule="auto"/>
        <w:tabs>
          <w:tab w:leader="none" w:pos="441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NOTE 4 LOANS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20" w:type="dxa"/>
            <w:vAlign w:val="bottom"/>
            <w:gridSpan w:val="3"/>
          </w:tcPr>
          <w:p>
            <w:pPr>
              <w:ind w:left="380"/>
              <w:spacing w:after="0"/>
              <w:rPr>
                <w:sz w:val="20"/>
                <w:szCs w:val="20"/>
                <w:color w:val="auto"/>
              </w:rPr>
            </w:pPr>
            <w:r>
              <w:rPr>
                <w:rFonts w:ascii="Arial" w:cs="Arial" w:eastAsia="Arial" w:hAnsi="Arial"/>
                <w:sz w:val="18"/>
                <w:szCs w:val="18"/>
                <w:color w:val="auto"/>
              </w:rPr>
              <w:t>Loan balances as of March 31, 2019 and December 31, 2018:</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5820" w:type="dxa"/>
            <w:vAlign w:val="bottom"/>
            <w:gridSpan w:val="3"/>
            <w:vMerge w:val="restart"/>
          </w:tcPr>
          <w:p>
            <w:pPr>
              <w:ind w:left="1340"/>
              <w:spacing w:after="0"/>
              <w:rPr>
                <w:sz w:val="20"/>
                <w:szCs w:val="20"/>
                <w:color w:val="auto"/>
              </w:rPr>
            </w:pPr>
            <w:r>
              <w:rPr>
                <w:rFonts w:ascii="Arial" w:cs="Arial" w:eastAsia="Arial" w:hAnsi="Arial"/>
                <w:sz w:val="18"/>
                <w:szCs w:val="18"/>
                <w:color w:val="auto"/>
              </w:rPr>
              <w:t>Loans: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82"/>
        </w:trPr>
        <w:tc>
          <w:tcPr>
            <w:tcW w:w="582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500" w:type="dxa"/>
            <w:vAlign w:val="bottom"/>
            <w:tcBorders>
              <w:top w:val="single" w:sz="8" w:color="auto"/>
              <w:bottom w:val="single" w:sz="8" w:color="CFF0FC"/>
            </w:tcBorders>
          </w:tcPr>
          <w:p>
            <w:pPr>
              <w:spacing w:after="0"/>
              <w:rPr>
                <w:sz w:val="11"/>
                <w:szCs w:val="11"/>
                <w:color w:val="auto"/>
              </w:rPr>
            </w:pPr>
          </w:p>
        </w:tc>
        <w:tc>
          <w:tcPr>
            <w:tcW w:w="3980" w:type="dxa"/>
            <w:vAlign w:val="bottom"/>
            <w:tcBorders>
              <w:bottom w:val="single" w:sz="8" w:color="CFF0FC"/>
            </w:tcBorders>
          </w:tcPr>
          <w:p>
            <w:pPr>
              <w:spacing w:after="0"/>
              <w:rPr>
                <w:sz w:val="11"/>
                <w:szCs w:val="11"/>
                <w:color w:val="auto"/>
              </w:rPr>
            </w:pPr>
          </w:p>
        </w:tc>
        <w:tc>
          <w:tcPr>
            <w:tcW w:w="94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161,180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192,903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68,609</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114,920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441,200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419,784</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137,936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41,953</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Development Bonds</w:t>
            </w:r>
          </w:p>
        </w:tc>
        <w:tc>
          <w:tcPr>
            <w:tcW w:w="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7,384</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1,103,096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847,289</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1,101,963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846,374</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44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Less: Purchase Accounting Adjustments</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Loans - Net</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1,091,829</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839,599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contractual maturity schedule by major category of loans as of March 31, 2019:</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3"/>
              </w:rPr>
              <w:t>After One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Within</w:t>
            </w:r>
          </w:p>
        </w:tc>
        <w:tc>
          <w:tcPr>
            <w:tcW w:w="22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2"/>
              </w:rPr>
              <w:t>Year Within</w:t>
            </w:r>
          </w:p>
        </w:tc>
        <w:tc>
          <w:tcPr>
            <w:tcW w:w="24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After</w:t>
            </w: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One Year</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Five Years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Five Years</w:t>
            </w: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6,370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17,260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137,550</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6,082</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186,141</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71,544</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31,632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11,744</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18,402</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169,066</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253,732</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74,195</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53,787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9,954</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6,025</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30,870</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10,678</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6,669</w:t>
            </w: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March 31, 2019:</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66,857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94,323</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86,756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106,147</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41,061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73,859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272,827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168,373</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54,861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83,075</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42,487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5,086</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7,282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March 31, 2019 and December 31, 2018 one to four family residential mortgage loans amounting to $85.5 and $14.9 million, respectively, have been pledged as security for future loans and existing loans the Bank has received from the Federal Home Loan Bank.</w:t>
      </w:r>
    </w:p>
    <w:p>
      <w:pPr>
        <w:spacing w:after="0" w:line="120" w:lineRule="exact"/>
        <w:rPr>
          <w:sz w:val="20"/>
          <w:szCs w:val="20"/>
          <w:color w:val="auto"/>
        </w:rPr>
      </w:pPr>
    </w:p>
    <w:p>
      <w:pPr>
        <w:ind w:left="760" w:right="240"/>
        <w:spacing w:after="0" w:line="277" w:lineRule="auto"/>
        <w:rPr>
          <w:sz w:val="20"/>
          <w:szCs w:val="20"/>
          <w:color w:val="auto"/>
        </w:rPr>
      </w:pPr>
      <w:r>
        <w:rPr>
          <w:rFonts w:ascii="Arial" w:cs="Arial" w:eastAsia="Arial" w:hAnsi="Arial"/>
          <w:sz w:val="18"/>
          <w:szCs w:val="18"/>
          <w:color w:val="auto"/>
        </w:rPr>
        <w:t>Unless listed separately, Industrial Development Bonds are included in the Commercial and Industrial category for the remainder of the tables in this Note 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March 31, 2019 and December 31, 2018,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1"/>
              </w:rPr>
              <w:t>30-59</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w w:val="91"/>
              </w:rPr>
              <w:t>60-89</w:t>
            </w:r>
          </w:p>
        </w:tc>
        <w:tc>
          <w:tcPr>
            <w:tcW w:w="100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8"/>
              </w:rPr>
              <w:t>Greater</w:t>
            </w: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80" w:type="dxa"/>
            <w:vAlign w:val="bottom"/>
            <w:tcBorders>
              <w:right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Days Past</w:t>
            </w:r>
          </w:p>
        </w:tc>
        <w:tc>
          <w:tcPr>
            <w:tcW w:w="100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Total Past</w:t>
            </w: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Due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Days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Due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86"/>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158,803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160,489</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192,887</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192,887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114,969</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115,043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440,488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440,488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145,360</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145,360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47,580</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47,696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1080" w:type="dxa"/>
            <w:vAlign w:val="bottom"/>
            <w:tcBorders>
              <w:bottom w:val="single" w:sz="8" w:color="auto"/>
              <w:right w:val="single" w:sz="8" w:color="auto"/>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8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995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1,876</w:t>
            </w:r>
          </w:p>
        </w:tc>
        <w:tc>
          <w:tcPr>
            <w:tcW w:w="102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0"/>
              </w:rPr>
              <w:t>$ 1,100,087</w:t>
            </w:r>
          </w:p>
        </w:tc>
        <w:tc>
          <w:tcPr>
            <w:tcW w:w="108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$ 1,101,963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30-59</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Greater</w:t>
            </w: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Total Past</w:t>
            </w: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Days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Due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79,612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80,232</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68,588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68,588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108,616</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108,616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419,131</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419,131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127,752</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127,752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41,938</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42,055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8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262</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845,637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846,374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BFBFBF"/>
          </w:tcPr>
          <w:p>
            <w:pPr>
              <w:spacing w:after="0"/>
              <w:rPr>
                <w:sz w:val="21"/>
                <w:szCs w:val="21"/>
                <w:color w:val="auto"/>
              </w:rPr>
            </w:pPr>
          </w:p>
        </w:tc>
        <w:tc>
          <w:tcPr>
            <w:tcW w:w="60" w:type="dxa"/>
            <w:vAlign w:val="bottom"/>
            <w:shd w:val="clear" w:color="auto" w:fill="BFBFBF"/>
          </w:tcPr>
          <w:p>
            <w:pPr>
              <w:spacing w:after="0"/>
              <w:rPr>
                <w:sz w:val="21"/>
                <w:szCs w:val="21"/>
                <w:color w:val="auto"/>
              </w:rPr>
            </w:pPr>
          </w:p>
        </w:tc>
        <w:tc>
          <w:tcPr>
            <w:tcW w:w="100" w:type="dxa"/>
            <w:vAlign w:val="bottom"/>
            <w:shd w:val="clear" w:color="auto" w:fill="BFBFBF"/>
          </w:tcPr>
          <w:p>
            <w:pPr>
              <w:spacing w:after="0"/>
              <w:rPr>
                <w:sz w:val="21"/>
                <w:szCs w:val="21"/>
                <w:color w:val="auto"/>
              </w:rPr>
            </w:pPr>
          </w:p>
        </w:tc>
        <w:tc>
          <w:tcPr>
            <w:tcW w:w="820" w:type="dxa"/>
            <w:vAlign w:val="bottom"/>
            <w:tcBorders>
              <w:right w:val="single" w:sz="8" w:color="BFBFBF"/>
            </w:tcBorders>
            <w:shd w:val="clear" w:color="auto" w:fill="BFBFBF"/>
          </w:tcPr>
          <w:p>
            <w:pPr>
              <w:spacing w:after="0"/>
              <w:rPr>
                <w:sz w:val="21"/>
                <w:szCs w:val="21"/>
                <w:color w:val="auto"/>
              </w:rPr>
            </w:pPr>
          </w:p>
        </w:tc>
        <w:tc>
          <w:tcPr>
            <w:tcW w:w="200" w:type="dxa"/>
            <w:vAlign w:val="bottom"/>
            <w:shd w:val="clear" w:color="auto" w:fill="BFBFBF"/>
          </w:tcPr>
          <w:p>
            <w:pPr>
              <w:spacing w:after="0"/>
              <w:rPr>
                <w:sz w:val="21"/>
                <w:szCs w:val="21"/>
                <w:color w:val="auto"/>
              </w:rPr>
            </w:pPr>
          </w:p>
        </w:tc>
        <w:tc>
          <w:tcPr>
            <w:tcW w:w="820" w:type="dxa"/>
            <w:vAlign w:val="bottom"/>
            <w:tcBorders>
              <w:right w:val="single" w:sz="8" w:color="BFBFBF"/>
            </w:tcBorders>
            <w:shd w:val="clear" w:color="auto" w:fill="BFBFBF"/>
          </w:tcPr>
          <w:p>
            <w:pPr>
              <w:spacing w:after="0"/>
              <w:rPr>
                <w:sz w:val="21"/>
                <w:szCs w:val="21"/>
                <w:color w:val="auto"/>
              </w:rPr>
            </w:pPr>
          </w:p>
        </w:tc>
        <w:tc>
          <w:tcPr>
            <w:tcW w:w="180" w:type="dxa"/>
            <w:vAlign w:val="bottom"/>
            <w:shd w:val="clear" w:color="auto" w:fill="BFBFBF"/>
          </w:tcPr>
          <w:p>
            <w:pPr>
              <w:spacing w:after="0"/>
              <w:rPr>
                <w:sz w:val="21"/>
                <w:szCs w:val="21"/>
                <w:color w:val="auto"/>
              </w:rPr>
            </w:pPr>
          </w:p>
        </w:tc>
        <w:tc>
          <w:tcPr>
            <w:tcW w:w="820" w:type="dxa"/>
            <w:vAlign w:val="bottom"/>
            <w:tcBorders>
              <w:right w:val="single" w:sz="8" w:color="BFBFBF"/>
            </w:tcBorders>
            <w:shd w:val="clear" w:color="auto" w:fill="BFBFBF"/>
          </w:tcPr>
          <w:p>
            <w:pPr>
              <w:spacing w:after="0"/>
              <w:rPr>
                <w:sz w:val="21"/>
                <w:szCs w:val="21"/>
                <w:color w:val="auto"/>
              </w:rPr>
            </w:pPr>
          </w:p>
        </w:tc>
        <w:tc>
          <w:tcPr>
            <w:tcW w:w="240" w:type="dxa"/>
            <w:vAlign w:val="bottom"/>
            <w:shd w:val="clear" w:color="auto" w:fill="BFBFBF"/>
          </w:tcPr>
          <w:p>
            <w:pPr>
              <w:spacing w:after="0"/>
              <w:rPr>
                <w:sz w:val="21"/>
                <w:szCs w:val="21"/>
                <w:color w:val="auto"/>
              </w:rPr>
            </w:pPr>
          </w:p>
        </w:tc>
        <w:tc>
          <w:tcPr>
            <w:tcW w:w="780" w:type="dxa"/>
            <w:vAlign w:val="bottom"/>
            <w:tcBorders>
              <w:right w:val="single" w:sz="8" w:color="BFBFBF"/>
            </w:tcBorders>
            <w:shd w:val="clear" w:color="auto" w:fill="BFBFBF"/>
          </w:tcPr>
          <w:p>
            <w:pPr>
              <w:spacing w:after="0"/>
              <w:rPr>
                <w:sz w:val="21"/>
                <w:szCs w:val="21"/>
                <w:color w:val="auto"/>
              </w:rPr>
            </w:pPr>
          </w:p>
        </w:tc>
        <w:tc>
          <w:tcPr>
            <w:tcW w:w="180" w:type="dxa"/>
            <w:vAlign w:val="bottom"/>
            <w:shd w:val="clear" w:color="auto" w:fill="BFBFBF"/>
          </w:tcPr>
          <w:p>
            <w:pPr>
              <w:spacing w:after="0"/>
              <w:rPr>
                <w:sz w:val="21"/>
                <w:szCs w:val="21"/>
                <w:color w:val="auto"/>
              </w:rPr>
            </w:pPr>
          </w:p>
        </w:tc>
        <w:tc>
          <w:tcPr>
            <w:tcW w:w="840" w:type="dxa"/>
            <w:vAlign w:val="bottom"/>
            <w:tcBorders>
              <w:right w:val="single" w:sz="8" w:color="BFBFBF"/>
            </w:tcBorders>
            <w:shd w:val="clear" w:color="auto" w:fill="BFBFBF"/>
          </w:tcPr>
          <w:p>
            <w:pPr>
              <w:spacing w:after="0"/>
              <w:rPr>
                <w:sz w:val="21"/>
                <w:szCs w:val="21"/>
                <w:color w:val="auto"/>
              </w:rPr>
            </w:pPr>
          </w:p>
        </w:tc>
        <w:tc>
          <w:tcPr>
            <w:tcW w:w="240" w:type="dxa"/>
            <w:vAlign w:val="bottom"/>
            <w:shd w:val="clear" w:color="auto" w:fill="BFBFBF"/>
          </w:tcPr>
          <w:p>
            <w:pPr>
              <w:spacing w:after="0"/>
              <w:rPr>
                <w:sz w:val="21"/>
                <w:szCs w:val="21"/>
                <w:color w:val="auto"/>
              </w:rPr>
            </w:pPr>
          </w:p>
        </w:tc>
        <w:tc>
          <w:tcPr>
            <w:tcW w:w="840" w:type="dxa"/>
            <w:vAlign w:val="bottom"/>
            <w:tcBorders>
              <w:right w:val="single" w:sz="8" w:color="BFBFBF"/>
            </w:tcBorders>
            <w:shd w:val="clear" w:color="auto" w:fill="BFBFBF"/>
          </w:tcPr>
          <w:p>
            <w:pPr>
              <w:spacing w:after="0"/>
              <w:rPr>
                <w:sz w:val="21"/>
                <w:szCs w:val="21"/>
                <w:color w:val="auto"/>
              </w:rPr>
            </w:pPr>
          </w:p>
        </w:tc>
        <w:tc>
          <w:tcPr>
            <w:tcW w:w="200" w:type="dxa"/>
            <w:vAlign w:val="bottom"/>
            <w:shd w:val="clear" w:color="auto" w:fill="BFBFBF"/>
          </w:tcPr>
          <w:p>
            <w:pPr>
              <w:spacing w:after="0"/>
              <w:rPr>
                <w:sz w:val="21"/>
                <w:szCs w:val="21"/>
                <w:color w:val="auto"/>
              </w:rPr>
            </w:pPr>
          </w:p>
        </w:tc>
        <w:tc>
          <w:tcPr>
            <w:tcW w:w="920" w:type="dxa"/>
            <w:vAlign w:val="bottom"/>
            <w:shd w:val="clear" w:color="auto" w:fill="BFBFB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presents the recorded investment in nonaccrual loans by class of loans as of March 31, 2019 and December 31, 2018:</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(In Thousands)</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7"/>
              </w:rPr>
              <w:t>March 31,</w:t>
            </w:r>
          </w:p>
        </w:tc>
        <w:tc>
          <w:tcPr>
            <w:tcW w:w="1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94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future contracts. The risk related to weather is often mitigated by requiring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302"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1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2280" w:hanging="759"/>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2280" w:hanging="759"/>
        <w:spacing w:after="0" w:line="288" w:lineRule="auto"/>
        <w:tabs>
          <w:tab w:leader="none" w:pos="2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2280" w:hanging="759"/>
        <w:spacing w:after="0" w:line="253"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3" w:lineRule="exact"/>
        <w:rPr>
          <w:rFonts w:ascii="Arial" w:cs="Arial" w:eastAsia="Arial" w:hAnsi="Arial"/>
          <w:sz w:val="18"/>
          <w:szCs w:val="18"/>
          <w:color w:val="auto"/>
        </w:rPr>
      </w:pPr>
    </w:p>
    <w:p>
      <w:pPr>
        <w:jc w:val="both"/>
        <w:ind w:left="2280" w:hanging="759"/>
        <w:spacing w:after="0" w:line="265" w:lineRule="auto"/>
        <w:tabs>
          <w:tab w:leader="none" w:pos="2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ind w:left="2300"/>
        <w:spacing w:after="0" w:line="250" w:lineRule="auto"/>
        <w:rPr>
          <w:rFonts w:ascii="Arial" w:cs="Arial" w:eastAsia="Arial" w:hAnsi="Arial"/>
          <w:sz w:val="17"/>
          <w:szCs w:val="17"/>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ind w:left="2300"/>
        <w:spacing w:after="0"/>
        <w:rPr>
          <w:rFonts w:ascii="Arial" w:cs="Arial" w:eastAsia="Arial" w:hAnsi="Arial"/>
          <w:sz w:val="17"/>
          <w:szCs w:val="17"/>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loan-to-value adequate to protect the Bank from loss;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loan exhibited two or more years of satisfactory repayment with a reasonable reduction of the principal balance;</w:t>
      </w:r>
    </w:p>
    <w:p>
      <w:pPr>
        <w:spacing w:after="0" w:line="20" w:lineRule="exact"/>
        <w:rPr>
          <w:rFonts w:ascii="Arial" w:cs="Arial" w:eastAsia="Arial" w:hAnsi="Arial"/>
          <w:sz w:val="17"/>
          <w:szCs w:val="17"/>
          <w:color w:val="auto"/>
        </w:rPr>
      </w:pPr>
    </w:p>
    <w:p>
      <w:pPr>
        <w:jc w:val="both"/>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1"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2"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2" w:lineRule="exact"/>
        <w:rPr>
          <w:rFonts w:ascii="Arial" w:cs="Arial" w:eastAsia="Arial" w:hAnsi="Arial"/>
          <w:sz w:val="18"/>
          <w:szCs w:val="18"/>
          <w:color w:val="auto"/>
        </w:rPr>
      </w:pPr>
    </w:p>
    <w:p>
      <w:pPr>
        <w:ind w:left="2280" w:hanging="759"/>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9" w:lineRule="exact"/>
        <w:rPr>
          <w:rFonts w:ascii="Arial" w:cs="Arial" w:eastAsia="Arial" w:hAnsi="Arial"/>
          <w:sz w:val="18"/>
          <w:szCs w:val="18"/>
          <w:color w:val="auto"/>
        </w:rPr>
      </w:pPr>
    </w:p>
    <w:p>
      <w:pPr>
        <w:jc w:val="both"/>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60" w:hanging="370"/>
        <w:spacing w:after="0"/>
        <w:tabs>
          <w:tab w:leader="none" w:pos="2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but continues to make interest payments.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60" w:hanging="370"/>
        <w:spacing w:after="0"/>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2280" w:hanging="759"/>
        <w:spacing w:after="0"/>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these weaknesses make collection or liquidation in full based on existing conditions improbable.</w:t>
      </w:r>
    </w:p>
    <w:p>
      <w:pPr>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60" w:hanging="370"/>
        <w:spacing w:after="0" w:line="250" w:lineRule="auto"/>
        <w:tabs>
          <w:tab w:leader="none" w:pos="2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2280" w:hanging="759"/>
        <w:spacing w:after="0" w:line="254" w:lineRule="auto"/>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20" w:right="3540" w:hanging="1310"/>
        <w:spacing w:after="0" w:line="810" w:lineRule="auto"/>
        <w:tabs>
          <w:tab w:leader="none" w:pos="44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51"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March 31, 2019 and 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4"/>
              </w:rPr>
              <w:t>(In Thousands)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95"/>
              </w:rPr>
              <w:t>Industrial</w:t>
            </w:r>
          </w:p>
        </w:tc>
        <w:tc>
          <w:tcPr>
            <w:tcW w:w="20" w:type="dxa"/>
            <w:vAlign w:val="bottom"/>
          </w:tcPr>
          <w:p>
            <w:pPr>
              <w:spacing w:after="0"/>
              <w:rPr>
                <w:sz w:val="19"/>
                <w:szCs w:val="19"/>
                <w:color w:val="auto"/>
              </w:rPr>
            </w:pPr>
          </w:p>
        </w:tc>
      </w:tr>
      <w:tr>
        <w:trPr>
          <w:trHeight w:val="230"/>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Development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Bonds</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March 31, 2019</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42,560</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7,515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9,985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4,641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60,378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82,470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27,547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2,505</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74,077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60,588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340,200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93,937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4,879</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15,740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192,887</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115,043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440,488</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137,976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7,384</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95"/>
              </w:rPr>
              <w:t>Industrial</w:t>
            </w:r>
          </w:p>
        </w:tc>
        <w:tc>
          <w:tcPr>
            <w:tcW w:w="20" w:type="dxa"/>
            <w:vAlign w:val="bottom"/>
          </w:tcPr>
          <w:p>
            <w:pPr>
              <w:spacing w:after="0"/>
              <w:rPr>
                <w:sz w:val="24"/>
                <w:szCs w:val="24"/>
                <w:color w:val="auto"/>
              </w:rPr>
            </w:pPr>
          </w:p>
        </w:tc>
      </w:tr>
      <w:tr>
        <w:trPr>
          <w:trHeight w:val="230"/>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Development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Bonds</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5,753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3,199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38,852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64,341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16,284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49,596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346,072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100,644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2,754</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68,588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108,616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419,131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121,863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9"/>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March 31, 2019 and December 31, 2018.</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Consumer</w:t>
            </w:r>
          </w:p>
        </w:tc>
      </w:tr>
      <w:tr>
        <w:trPr>
          <w:trHeight w:val="230"/>
        </w:trPr>
        <w:tc>
          <w:tcPr>
            <w:tcW w:w="4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Real Estate</w:t>
            </w:r>
          </w:p>
        </w:tc>
      </w:tr>
      <w:tr>
        <w:trPr>
          <w:trHeight w:val="209"/>
        </w:trPr>
        <w:tc>
          <w:tcPr>
            <w:tcW w:w="4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41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Pass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158,309</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79,121</w:t>
            </w: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Pr>
          <w:p>
            <w:pPr>
              <w:ind w:left="246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160,489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80,232</w:t>
            </w: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Consumer - Credit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Consumer - Other</w:t>
            </w:r>
          </w:p>
        </w:tc>
      </w:tr>
      <w:tr>
        <w:trPr>
          <w:trHeight w:val="209"/>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4"/>
              </w:rPr>
              <w:t>March 31,</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2"/>
              </w:rPr>
              <w:t>March 31,</w:t>
            </w:r>
          </w:p>
        </w:tc>
        <w:tc>
          <w:tcPr>
            <w:tcW w:w="1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230"/>
        </w:trPr>
        <w:tc>
          <w:tcPr>
            <w:tcW w:w="5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43,366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38,073</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3,928</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43,821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38,127</w:t>
            </w: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March 31, 2019, December 31, 2018 and March 31, 2018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March 31, 2019</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December 31, 2018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March 31, 2018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1,808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2,054</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5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still accruing</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2,135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2,533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loans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funds of $1 thousand are available to be advanced in connection with impaired loans.</w:t>
      </w:r>
    </w:p>
    <w:p>
      <w:pPr>
        <w:spacing w:after="0" w:line="185"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Bank had approximately $102 thousand of its impaired loans classified as troubled debt restructured (TDR) as of March 31, 2019, $178 thousand as of December 31, 2018 and $527 thousand as of March 31, 2018. During the year to date 2019 and 2018, there were no new loans considered TDR.</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three month period ended March 31, 2019 and 2018, there were no TDRs that subsequently defaulted after modification.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three month period ended March 31, 2019, there were no impaired loans classified as TDR paid off.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760" w:right="2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3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three months ended March 31, 2019 and March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9"/>
              </w:rPr>
              <w:t>QTD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QTD</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Three Months Ended March 31, 2019</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0"/>
              </w:rPr>
              <w:t>Related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3"/>
              </w:rPr>
              <w:t>Investment</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Balance</w:t>
            </w:r>
          </w:p>
        </w:tc>
        <w:tc>
          <w:tcPr>
            <w:tcW w:w="112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Allowance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648</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603</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1,075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1,085</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902</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857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1,075</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1,075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1,085</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52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9"/>
              </w:rPr>
              <w:t>QTD</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QTD</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Three Months Ended March 31, 2018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060" w:type="dxa"/>
            <w:vAlign w:val="bottom"/>
            <w:tcBorders>
              <w:bottom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3"/>
              </w:rPr>
              <w:t>Investment</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Balance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Allowance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489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492</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618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621</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419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428</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As of March 31, 2019, the Company had no foreclosed residential real estate property obtained by physical possession and $639 thousand of consumer mortgage loans secured by residential real estate properties for which foreclosure proceedings are in process according to local jurisdictions. As of March 31, 2018, the Company had $3 thousand of foreclosed residential real estate property obtained by physical possession and $49 thousand of consumer mortgage loans secured by residential real estate properties for which foreclosure proceedings were in process according to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20" w:right="3540" w:hanging="1310"/>
        <w:spacing w:after="0" w:line="810" w:lineRule="auto"/>
        <w:tabs>
          <w:tab w:leader="none" w:pos="44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(In Thousands)</w:t>
            </w:r>
          </w:p>
        </w:tc>
      </w:tr>
      <w:tr>
        <w:trPr>
          <w:trHeight w:val="209"/>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20" w:type="dxa"/>
            <w:vAlign w:val="bottom"/>
          </w:tcPr>
          <w:p>
            <w:pPr>
              <w:spacing w:after="0"/>
              <w:rPr>
                <w:sz w:val="18"/>
                <w:szCs w:val="18"/>
                <w:color w:val="auto"/>
              </w:rPr>
            </w:pPr>
          </w:p>
        </w:tc>
        <w:tc>
          <w:tcPr>
            <w:tcW w:w="128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Twelve Months</w:t>
            </w:r>
          </w:p>
        </w:tc>
      </w:tr>
      <w:tr>
        <w:trPr>
          <w:trHeight w:val="230"/>
        </w:trPr>
        <w:tc>
          <w:tcPr>
            <w:tcW w:w="4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r>
      <w:tr>
        <w:trPr>
          <w:trHeight w:val="216"/>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0"/>
              </w:rPr>
              <w:t>December 31,</w:t>
            </w:r>
          </w:p>
        </w:tc>
      </w:tr>
      <w:tr>
        <w:trPr>
          <w:trHeight w:val="230"/>
        </w:trPr>
        <w:tc>
          <w:tcPr>
            <w:tcW w:w="438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6,775</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6,868</w:t>
            </w: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Letters of Credit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r>
      <w:tr>
        <w:trPr>
          <w:trHeight w:val="20"/>
        </w:trPr>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20" w:hanging="110"/>
        <w:spacing w:after="0"/>
        <w:tabs>
          <w:tab w:leader="none" w:pos="4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March 31, 2019 and March 31, 2018 in addition to the ending balances as of December 31, 2018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Unfunded</w:t>
            </w: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Loan</w:t>
            </w: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Commitment</w:t>
            </w: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89"/>
              </w:rPr>
              <w:t>Consumer</w:t>
            </w: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Commercial</w:t>
            </w:r>
          </w:p>
        </w:tc>
        <w:tc>
          <w:tcPr>
            <w:tcW w:w="11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9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4"/>
              </w:rPr>
              <w:t>Real Estate</w:t>
            </w:r>
          </w:p>
        </w:tc>
        <w:tc>
          <w:tcPr>
            <w:tcW w:w="10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10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6"/>
              </w:rPr>
              <w:t>Real Estate</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Credit</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Unallocated</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9"/>
              </w:rPr>
              <w:t>Three Months Ended</w:t>
            </w:r>
          </w:p>
        </w:tc>
        <w:tc>
          <w:tcPr>
            <w:tcW w:w="14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31, 2019</w:t>
            </w:r>
          </w:p>
        </w:tc>
        <w:tc>
          <w:tcPr>
            <w:tcW w:w="14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3,217</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Other  Non-interest</w:t>
            </w:r>
          </w:p>
        </w:tc>
        <w:tc>
          <w:tcPr>
            <w:tcW w:w="14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14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268</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270</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3,203</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1,490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20" w:type="dxa"/>
            <w:vAlign w:val="bottom"/>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14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balance:</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0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270</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3,203</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1,490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Ending</w:t>
            </w:r>
          </w:p>
        </w:tc>
        <w:tc>
          <w:tcPr>
            <w:tcW w:w="1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4"/>
              </w:rPr>
              <w:t>balance: loans</w:t>
            </w:r>
          </w:p>
        </w:tc>
        <w:tc>
          <w:tcPr>
            <w:tcW w:w="14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4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deteriorated credit</w:t>
            </w:r>
          </w:p>
        </w:tc>
        <w:tc>
          <w:tcPr>
            <w:tcW w:w="14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1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160,489</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192,887</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115,043</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440,488</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145,360</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8"/>
              </w:rPr>
              <w:t>47,696</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1,101,963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balance:</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0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902</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192</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1,075</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Ending</w:t>
            </w:r>
          </w:p>
        </w:tc>
        <w:tc>
          <w:tcPr>
            <w:tcW w:w="1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balance:</w:t>
            </w:r>
          </w:p>
        </w:tc>
        <w:tc>
          <w:tcPr>
            <w:tcW w:w="14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159,241</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192,887</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115,043</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440,296</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142,242</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8"/>
              </w:rPr>
              <w:t>47,696</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1,097,405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w w:val="94"/>
              </w:rPr>
              <w:t>balance: loans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deteriorated credit</w:t>
            </w: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quality</w:t>
            </w: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2,043</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040" w:type="dxa"/>
            <w:vAlign w:val="bottom"/>
            <w:gridSpan w:val="7"/>
          </w:tcPr>
          <w:p>
            <w:pPr>
              <w:jc w:val="right"/>
              <w:spacing w:after="0"/>
              <w:rPr>
                <w:sz w:val="20"/>
                <w:szCs w:val="20"/>
                <w:color w:val="auto"/>
              </w:rPr>
            </w:pPr>
            <w:r>
              <w:rPr>
                <w:rFonts w:ascii="Arial" w:cs="Arial" w:eastAsia="Arial" w:hAnsi="Arial"/>
                <w:sz w:val="18"/>
                <w:szCs w:val="18"/>
                <w:color w:val="auto"/>
              </w:rPr>
              <w:t>NOTE 4 LOANS (Continued)</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Unfunded</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Loan</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Arial" w:cs="Arial" w:eastAsia="Arial" w:hAnsi="Arial"/>
                <w:sz w:val="18"/>
                <w:szCs w:val="18"/>
                <w:color w:val="auto"/>
              </w:rPr>
              <w:t>Commitment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2"/>
              </w:rPr>
              <w:t>December 31, 2018</w:t>
            </w:r>
          </w:p>
        </w:tc>
        <w:tc>
          <w:tcPr>
            <w:tcW w:w="5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9"/>
              </w:rPr>
              <w:t>Consumer</w:t>
            </w:r>
          </w:p>
        </w:tc>
        <w:tc>
          <w:tcPr>
            <w:tcW w:w="1400" w:type="dxa"/>
            <w:vAlign w:val="bottom"/>
            <w:gridSpan w:val="4"/>
          </w:tcPr>
          <w:p>
            <w:pPr>
              <w:jc w:val="center"/>
              <w:ind w:left="70"/>
              <w:spacing w:after="0"/>
              <w:rPr>
                <w:sz w:val="20"/>
                <w:szCs w:val="20"/>
                <w:color w:val="auto"/>
              </w:rPr>
            </w:pPr>
            <w:r>
              <w:rPr>
                <w:rFonts w:ascii="Arial" w:cs="Arial" w:eastAsia="Arial" w:hAnsi="Arial"/>
                <w:sz w:val="18"/>
                <w:szCs w:val="18"/>
                <w:color w:val="auto"/>
                <w:w w:val="97"/>
              </w:rPr>
              <w:t>Agricultural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180" w:type="dxa"/>
            <w:vAlign w:val="bottom"/>
            <w:gridSpan w:val="3"/>
          </w:tcPr>
          <w:p>
            <w:pPr>
              <w:ind w:left="6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&amp; Letters of</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gridSpan w:val="3"/>
            <w:vMerge w:val="continue"/>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340" w:type="dxa"/>
            <w:vAlign w:val="bottom"/>
          </w:tcPr>
          <w:p>
            <w:pPr>
              <w:spacing w:after="0"/>
              <w:rPr>
                <w:sz w:val="20"/>
                <w:szCs w:val="20"/>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Real Estate</w:t>
            </w:r>
          </w:p>
        </w:tc>
        <w:tc>
          <w:tcPr>
            <w:tcW w:w="1060" w:type="dxa"/>
            <w:vAlign w:val="bottom"/>
            <w:gridSpan w:val="3"/>
          </w:tcPr>
          <w:p>
            <w:pPr>
              <w:spacing w:after="0"/>
              <w:rPr>
                <w:sz w:val="20"/>
                <w:szCs w:val="20"/>
                <w:color w:val="auto"/>
              </w:rPr>
            </w:pPr>
            <w:r>
              <w:rPr>
                <w:rFonts w:ascii="Arial" w:cs="Arial" w:eastAsia="Arial" w:hAnsi="Arial"/>
                <w:sz w:val="18"/>
                <w:szCs w:val="18"/>
                <w:color w:val="auto"/>
              </w:rPr>
              <w:t>Agricultural</w:t>
            </w: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Real Estate</w:t>
            </w:r>
          </w:p>
        </w:tc>
        <w:tc>
          <w:tcPr>
            <w:tcW w:w="1180" w:type="dxa"/>
            <w:vAlign w:val="bottom"/>
            <w:gridSpan w:val="3"/>
          </w:tcPr>
          <w:p>
            <w:pPr>
              <w:spacing w:after="0"/>
              <w:rPr>
                <w:sz w:val="20"/>
                <w:szCs w:val="20"/>
                <w:color w:val="auto"/>
              </w:rPr>
            </w:pPr>
            <w:r>
              <w:rPr>
                <w:rFonts w:ascii="Arial" w:cs="Arial" w:eastAsia="Arial" w:hAnsi="Arial"/>
                <w:sz w:val="18"/>
                <w:szCs w:val="18"/>
                <w:color w:val="auto"/>
              </w:rPr>
              <w:t>and Industrial</w:t>
            </w:r>
          </w:p>
        </w:tc>
        <w:tc>
          <w:tcPr>
            <w:tcW w:w="740" w:type="dxa"/>
            <w:vAlign w:val="bottom"/>
            <w:gridSpan w:val="2"/>
          </w:tcPr>
          <w:p>
            <w:pPr>
              <w:spacing w:after="0"/>
              <w:rPr>
                <w:sz w:val="20"/>
                <w:szCs w:val="20"/>
                <w:color w:val="auto"/>
              </w:rPr>
            </w:pPr>
            <w:r>
              <w:rPr>
                <w:rFonts w:ascii="Arial" w:cs="Arial" w:eastAsia="Arial" w:hAnsi="Arial"/>
                <w:sz w:val="18"/>
                <w:szCs w:val="18"/>
                <w:color w:val="auto"/>
                <w:w w:val="86"/>
              </w:rPr>
              <w:t>Consumer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Credit</w:t>
            </w:r>
          </w:p>
        </w:tc>
        <w:tc>
          <w:tcPr>
            <w:tcW w:w="880" w:type="dxa"/>
            <w:vAlign w:val="bottom"/>
            <w:gridSpan w:val="2"/>
          </w:tcPr>
          <w:p>
            <w:pPr>
              <w:spacing w:after="0"/>
              <w:rPr>
                <w:sz w:val="20"/>
                <w:szCs w:val="20"/>
                <w:color w:val="auto"/>
              </w:rPr>
            </w:pPr>
            <w:r>
              <w:rPr>
                <w:rFonts w:ascii="Arial" w:cs="Arial" w:eastAsia="Arial" w:hAnsi="Arial"/>
                <w:sz w:val="18"/>
                <w:szCs w:val="18"/>
                <w:color w:val="auto"/>
                <w:w w:val="90"/>
              </w:rPr>
              <w:t>Unallocated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36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16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FOR</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w w:val="99"/>
              </w:rPr>
              <w:t>CREDIT LOSSES:</w:t>
            </w:r>
          </w:p>
        </w:tc>
        <w:tc>
          <w:tcPr>
            <w:tcW w:w="5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89"/>
              </w:rPr>
              <w:t>Ending</w:t>
            </w:r>
          </w:p>
        </w:tc>
        <w:tc>
          <w:tcPr>
            <w:tcW w:w="8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individually evaluated for</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auto"/>
                <w:w w:val="89"/>
              </w:rPr>
              <w:t>Ending</w:t>
            </w:r>
          </w:p>
        </w:tc>
        <w:tc>
          <w:tcPr>
            <w:tcW w:w="840" w:type="dxa"/>
            <w:vAlign w:val="bottom"/>
          </w:tcPr>
          <w:p>
            <w:pPr>
              <w:spacing w:after="0"/>
              <w:rPr>
                <w:sz w:val="17"/>
                <w:szCs w:val="17"/>
                <w:color w:val="auto"/>
              </w:rPr>
            </w:pPr>
          </w:p>
        </w:tc>
        <w:tc>
          <w:tcPr>
            <w:tcW w:w="7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tcPr>
          <w:p>
            <w:pPr>
              <w:spacing w:after="0"/>
              <w:rPr>
                <w:sz w:val="20"/>
                <w:szCs w:val="20"/>
                <w:color w:val="auto"/>
              </w:rPr>
            </w:pPr>
            <w:r>
              <w:rPr>
                <w:rFonts w:ascii="Arial" w:cs="Arial" w:eastAsia="Arial" w:hAnsi="Arial"/>
                <w:sz w:val="18"/>
                <w:szCs w:val="18"/>
                <w:color w:val="auto"/>
              </w:rPr>
              <w:t>collectively evaluated for</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3"/>
                <w:szCs w:val="23"/>
                <w:color w:val="auto"/>
              </w:rPr>
            </w:pP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89"/>
              </w:rPr>
              <w:t>Ending</w:t>
            </w:r>
          </w:p>
        </w:tc>
        <w:tc>
          <w:tcPr>
            <w:tcW w:w="840" w:type="dxa"/>
            <w:vAlign w:val="bottom"/>
            <w:tcBorders>
              <w:top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w w:val="85"/>
              </w:rPr>
              <w:t>balance:</w:t>
            </w:r>
          </w:p>
        </w:tc>
        <w:tc>
          <w:tcPr>
            <w:tcW w:w="16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loans</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acquired with deteriorated</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credit quality</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99"/>
              </w:rPr>
              <w:t>RECEIVABLES: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80,232</w:t>
            </w:r>
          </w:p>
        </w:tc>
        <w:tc>
          <w:tcPr>
            <w:tcW w:w="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68,588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419,131</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42,055</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846,374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5" w:lineRule="exact"/>
              <w:rPr>
                <w:sz w:val="20"/>
                <w:szCs w:val="20"/>
                <w:color w:val="auto"/>
              </w:rPr>
            </w:pPr>
            <w:r>
              <w:rPr>
                <w:rFonts w:ascii="Arial" w:cs="Arial" w:eastAsia="Arial" w:hAnsi="Arial"/>
                <w:sz w:val="18"/>
                <w:szCs w:val="18"/>
                <w:color w:val="auto"/>
                <w:w w:val="89"/>
              </w:rPr>
              <w:t>Ending</w:t>
            </w:r>
          </w:p>
        </w:tc>
        <w:tc>
          <w:tcPr>
            <w:tcW w:w="840" w:type="dxa"/>
            <w:vAlign w:val="bottom"/>
          </w:tcPr>
          <w:p>
            <w:pPr>
              <w:spacing w:after="0"/>
              <w:rPr>
                <w:sz w:val="17"/>
                <w:szCs w:val="17"/>
                <w:color w:val="auto"/>
              </w:rPr>
            </w:pPr>
          </w:p>
        </w:tc>
        <w:tc>
          <w:tcPr>
            <w:tcW w:w="72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tcPr>
          <w:p>
            <w:pPr>
              <w:spacing w:after="0"/>
              <w:rPr>
                <w:sz w:val="20"/>
                <w:szCs w:val="20"/>
                <w:color w:val="auto"/>
              </w:rPr>
            </w:pPr>
            <w:r>
              <w:rPr>
                <w:rFonts w:ascii="Arial" w:cs="Arial" w:eastAsia="Arial" w:hAnsi="Arial"/>
                <w:sz w:val="18"/>
                <w:szCs w:val="18"/>
                <w:color w:val="auto"/>
              </w:rPr>
              <w:t>individually evaluated for</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3"/>
                <w:szCs w:val="23"/>
                <w:color w:val="auto"/>
              </w:rPr>
            </w:pP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757</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89"/>
              </w:rPr>
              <w:t>Ending</w:t>
            </w:r>
          </w:p>
        </w:tc>
        <w:tc>
          <w:tcPr>
            <w:tcW w:w="84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collectively evaluated for</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79,359</w:t>
            </w:r>
          </w:p>
        </w:tc>
        <w:tc>
          <w:tcPr>
            <w:tcW w:w="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68,588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418,937</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126,649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42,055</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844,204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auto"/>
                <w:w w:val="89"/>
              </w:rPr>
              <w:t>Ending</w:t>
            </w:r>
          </w:p>
        </w:tc>
        <w:tc>
          <w:tcPr>
            <w:tcW w:w="840" w:type="dxa"/>
            <w:vAlign w:val="bottom"/>
          </w:tcPr>
          <w:p>
            <w:pPr>
              <w:ind w:left="240"/>
              <w:spacing w:after="0" w:line="196" w:lineRule="exact"/>
              <w:rPr>
                <w:sz w:val="20"/>
                <w:szCs w:val="20"/>
                <w:color w:val="auto"/>
              </w:rPr>
            </w:pPr>
            <w:r>
              <w:rPr>
                <w:rFonts w:ascii="Arial" w:cs="Arial" w:eastAsia="Arial" w:hAnsi="Arial"/>
                <w:sz w:val="18"/>
                <w:szCs w:val="18"/>
                <w:color w:val="auto"/>
                <w:w w:val="85"/>
              </w:rPr>
              <w:t>balance:</w:t>
            </w:r>
          </w:p>
        </w:tc>
        <w:tc>
          <w:tcPr>
            <w:tcW w:w="160" w:type="dxa"/>
            <w:vAlign w:val="bottom"/>
          </w:tcPr>
          <w:p>
            <w:pPr>
              <w:spacing w:after="0"/>
              <w:rPr>
                <w:sz w:val="17"/>
                <w:szCs w:val="17"/>
                <w:color w:val="auto"/>
              </w:rPr>
            </w:pPr>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loans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deteriorated</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credit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6"/>
              </w:rPr>
              <w:t>quality</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420" w:type="dxa"/>
            <w:vAlign w:val="bottom"/>
            <w:gridSpan w:val="7"/>
          </w:tcPr>
          <w:p>
            <w:pPr>
              <w:jc w:val="right"/>
              <w:ind w:right="510"/>
              <w:spacing w:after="0"/>
              <w:rPr>
                <w:sz w:val="20"/>
                <w:szCs w:val="20"/>
                <w:color w:val="auto"/>
              </w:rPr>
            </w:pPr>
            <w:r>
              <w:rPr>
                <w:rFonts w:ascii="Arial" w:cs="Arial" w:eastAsia="Arial" w:hAnsi="Arial"/>
                <w:sz w:val="18"/>
                <w:szCs w:val="18"/>
                <w:color w:val="auto"/>
              </w:rPr>
              <w:t>NOTE 4 LOANS (Continued)</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Unfunded</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Loan</w:t>
            </w:r>
          </w:p>
        </w:tc>
        <w:tc>
          <w:tcPr>
            <w:tcW w:w="4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7"/>
              </w:rPr>
              <w:t>Commitment</w:t>
            </w:r>
          </w:p>
        </w:tc>
        <w:tc>
          <w:tcPr>
            <w:tcW w:w="4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89"/>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Commercial</w:t>
            </w:r>
          </w:p>
        </w:tc>
        <w:tc>
          <w:tcPr>
            <w:tcW w:w="11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4"/>
              </w:rPr>
              <w:t>Real Estate</w:t>
            </w:r>
          </w:p>
        </w:tc>
        <w:tc>
          <w:tcPr>
            <w:tcW w:w="1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5"/>
              </w:rPr>
              <w:t>Credit</w:t>
            </w:r>
          </w:p>
        </w:tc>
        <w:tc>
          <w:tcPr>
            <w:tcW w:w="108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8"/>
              </w:rPr>
              <w:t>Unallocated</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w:t>
            </w:r>
          </w:p>
        </w:tc>
        <w:tc>
          <w:tcPr>
            <w:tcW w:w="70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b w:val="1"/>
                <w:bCs w:val="1"/>
                <w:color w:val="auto"/>
                <w:w w:val="90"/>
              </w:rPr>
              <w:t>Months</w:t>
            </w:r>
          </w:p>
        </w:tc>
        <w:tc>
          <w:tcPr>
            <w:tcW w:w="720" w:type="dxa"/>
            <w:vAlign w:val="bottom"/>
            <w:gridSpan w:val="2"/>
            <w:shd w:val="clear" w:color="auto" w:fill="CFF0FC"/>
          </w:tcPr>
          <w:p>
            <w:pPr>
              <w:jc w:val="right"/>
              <w:ind w:right="30"/>
              <w:spacing w:after="0" w:line="205" w:lineRule="exact"/>
              <w:rPr>
                <w:sz w:val="20"/>
                <w:szCs w:val="20"/>
                <w:color w:val="auto"/>
              </w:rPr>
            </w:pPr>
            <w:r>
              <w:rPr>
                <w:rFonts w:ascii="Arial" w:cs="Arial" w:eastAsia="Arial" w:hAnsi="Arial"/>
                <w:sz w:val="18"/>
                <w:szCs w:val="18"/>
                <w:b w:val="1"/>
                <w:bCs w:val="1"/>
                <w:color w:val="auto"/>
              </w:rPr>
              <w:t>Ended</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tcBorders>
              <w:left w:val="single" w:sz="8" w:color="auto"/>
            </w:tcBorders>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tcBorders>
              <w:left w:val="single" w:sz="8" w:color="auto"/>
            </w:tcBorders>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200" w:type="dxa"/>
            <w:vAlign w:val="bottom"/>
          </w:tcPr>
          <w:p>
            <w:pPr>
              <w:spacing w:after="0"/>
              <w:rPr>
                <w:sz w:val="18"/>
                <w:szCs w:val="18"/>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FOR</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Beginning balance</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3,149</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1,546</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227</w:t>
            </w:r>
          </w:p>
        </w:tc>
        <w:tc>
          <w:tcPr>
            <w:tcW w:w="40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gridSpan w:val="3"/>
          </w:tcPr>
          <w:p>
            <w:pPr>
              <w:ind w:left="260"/>
              <w:spacing w:after="0"/>
              <w:rPr>
                <w:sz w:val="20"/>
                <w:szCs w:val="20"/>
                <w:color w:val="auto"/>
              </w:rPr>
            </w:pPr>
            <w:r>
              <w:rPr>
                <w:rFonts w:ascii="Arial" w:cs="Arial" w:eastAsia="Arial" w:hAnsi="Arial"/>
                <w:sz w:val="18"/>
                <w:szCs w:val="18"/>
                <w:color w:val="auto"/>
                <w:w w:val="92"/>
              </w:rPr>
              <w:t>Provision (Credit)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4"/>
              </w:rPr>
              <w:t>Other</w:t>
            </w:r>
          </w:p>
        </w:tc>
        <w:tc>
          <w:tcPr>
            <w:tcW w:w="1620" w:type="dxa"/>
            <w:vAlign w:val="bottom"/>
            <w:gridSpan w:val="4"/>
            <w:shd w:val="clear" w:color="auto" w:fill="CFF0FC"/>
          </w:tcPr>
          <w:p>
            <w:pPr>
              <w:jc w:val="right"/>
              <w:ind w:right="210"/>
              <w:spacing w:after="0"/>
              <w:rPr>
                <w:sz w:val="20"/>
                <w:szCs w:val="20"/>
                <w:color w:val="auto"/>
              </w:rPr>
            </w:pPr>
            <w:r>
              <w:rPr>
                <w:rFonts w:ascii="Arial" w:cs="Arial" w:eastAsia="Arial" w:hAnsi="Arial"/>
                <w:sz w:val="18"/>
                <w:szCs w:val="18"/>
                <w:color w:val="auto"/>
              </w:rPr>
              <w:t>Non-interest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86"/>
              </w:rPr>
              <w:t>expense related to</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auto"/>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400" w:type="dxa"/>
            <w:vAlign w:val="bottom"/>
            <w:tcBorders>
              <w:left w:val="single" w:sz="8" w:color="auto"/>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254</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706</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3,674</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1,443</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4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tcBorders>
              <w:left w:val="single" w:sz="8" w:color="CFF0FC"/>
            </w:tcBorders>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CFF0FC"/>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Pr>
          <w:p>
            <w:pPr>
              <w:spacing w:after="0"/>
              <w:rPr>
                <w:sz w:val="17"/>
                <w:szCs w:val="17"/>
                <w:color w:val="auto"/>
              </w:rPr>
            </w:pPr>
          </w:p>
        </w:tc>
        <w:tc>
          <w:tcPr>
            <w:tcW w:w="7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tcPr>
          <w:p>
            <w:pPr>
              <w:spacing w:after="0"/>
              <w:rPr>
                <w:sz w:val="23"/>
                <w:szCs w:val="23"/>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234</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706</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3,632</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1,401</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2"/>
              </w:rPr>
              <w:t>loans</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left w:val="single" w:sz="8" w:color="CFF0FC"/>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CFF0FC"/>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3"/>
            <w:shd w:val="clear" w:color="auto" w:fill="CFF0FC"/>
          </w:tcPr>
          <w:p>
            <w:pPr>
              <w:jc w:val="center"/>
              <w:ind w:left="250"/>
              <w:spacing w:after="0"/>
              <w:rPr>
                <w:sz w:val="20"/>
                <w:szCs w:val="20"/>
                <w:color w:val="auto"/>
              </w:rPr>
            </w:pPr>
            <w:r>
              <w:rPr>
                <w:rFonts w:ascii="Arial" w:cs="Arial" w:eastAsia="Arial" w:hAnsi="Arial"/>
                <w:sz w:val="18"/>
                <w:szCs w:val="18"/>
                <w:color w:val="auto"/>
                <w:w w:val="89"/>
              </w:rPr>
              <w:t>deteriorated</w:t>
            </w:r>
          </w:p>
        </w:tc>
        <w:tc>
          <w:tcPr>
            <w:tcW w:w="7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90"/>
              </w:rPr>
              <w:t>credit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CFF0FC"/>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99"/>
              </w:rPr>
              <w:t>RECEIVABLES: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84,052</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67,569</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99,954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414,666</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129,865</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38,631</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834,737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700" w:type="dxa"/>
            <w:vAlign w:val="bottom"/>
          </w:tcPr>
          <w:p>
            <w:pPr>
              <w:spacing w:after="0"/>
              <w:rPr>
                <w:sz w:val="17"/>
                <w:szCs w:val="17"/>
                <w:color w:val="auto"/>
              </w:rPr>
            </w:pPr>
          </w:p>
        </w:tc>
        <w:tc>
          <w:tcPr>
            <w:tcW w:w="72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w w:val="85"/>
              </w:rPr>
              <w:t>balance:</w:t>
            </w: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tcPr>
          <w:p>
            <w:pPr>
              <w:spacing w:after="0"/>
              <w:rPr>
                <w:sz w:val="23"/>
                <w:szCs w:val="23"/>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569</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618</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419</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left w:val="single" w:sz="8" w:color="CFF0FC"/>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tcBorders>
              <w:left w:val="single" w:sz="8" w:color="CFF0FC"/>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83,362</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67,569</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99,954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414,048</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129,446</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38,631</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833,010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bottom w:val="single" w:sz="8" w:color="CFF0FC"/>
            </w:tcBorders>
            <w:vMerge w:val="restart"/>
          </w:tcPr>
          <w:p>
            <w:pPr>
              <w:ind w:left="100"/>
              <w:spacing w:after="0"/>
              <w:rPr>
                <w:sz w:val="20"/>
                <w:szCs w:val="20"/>
                <w:color w:val="auto"/>
              </w:rPr>
            </w:pPr>
            <w:r>
              <w:rPr>
                <w:rFonts w:ascii="Arial" w:cs="Arial" w:eastAsia="Arial" w:hAnsi="Arial"/>
                <w:sz w:val="18"/>
                <w:szCs w:val="18"/>
                <w:color w:val="auto"/>
                <w:w w:val="85"/>
              </w:rPr>
              <w:t>balance:</w:t>
            </w: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92"/>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deteriorated</w:t>
            </w:r>
          </w:p>
        </w:tc>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credit</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quality</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121</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 5 EARNINGS PER SHARE</w:t>
      </w:r>
    </w:p>
    <w:p>
      <w:pPr>
        <w:spacing w:after="0" w:line="252"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5"/>
          </w:tcPr>
          <w:p>
            <w:pPr>
              <w:jc w:val="right"/>
              <w:ind w:right="59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5"/>
          </w:tcPr>
          <w:p>
            <w:pPr>
              <w:jc w:val="right"/>
              <w:ind w:right="7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March 31, 2019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March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ind w:left="1660"/>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10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1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vMerge w:val="restart"/>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CFF0FC"/>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10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11,089,839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9,265,959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participating securities</w:t>
            </w:r>
          </w:p>
        </w:tc>
        <w:tc>
          <w:tcPr>
            <w:tcW w:w="10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average unvested restricted shares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(83,417)</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11,006,422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9,173,530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Basic earnings and diluted per share</w:t>
            </w: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right="3640" w:hanging="1405"/>
        <w:spacing w:after="0" w:line="810" w:lineRule="auto"/>
        <w:tabs>
          <w:tab w:leader="none" w:pos="4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w:t>
      </w:r>
    </w:p>
    <w:p>
      <w:pPr>
        <w:spacing w:after="0" w:line="185"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Bearing Time Deposits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Securities – Available-for-sale</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securities, excluding Federal Home Loan Bank are based on quoted market price, where available. If quoted market prices are not available, fair values are based on quoted market prices of comparable instruments.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Securities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carrying value of Federal Home Loan Bank stock of Cincinnati and Indianapolis, approximates fair value based on the redemption provisions of the respective Federal Home Loan Bank.</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Held for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net</w:t>
      </w:r>
    </w:p>
    <w:p>
      <w:pPr>
        <w:spacing w:after="0" w:line="198"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 and/or the Bank’s most recent acquisition experience.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Deposits</w:t>
      </w:r>
    </w:p>
    <w:p>
      <w:pPr>
        <w:spacing w:after="0" w:line="18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FHLB Advances</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91440</wp:posOffset>
            </wp:positionV>
            <wp:extent cx="676656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Interest Receivable and Payable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 Balance Sheet Financial Instruments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March 31, 2019 and December 31, 2018 are reflected below.</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Time deposits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Deposits</w:t>
      </w:r>
    </w:p>
    <w:p>
      <w:pPr>
        <w:spacing w:after="0" w:line="252" w:lineRule="exact"/>
        <w:rPr>
          <w:sz w:val="20"/>
          <w:szCs w:val="20"/>
          <w:color w:val="auto"/>
        </w:rPr>
      </w:pPr>
    </w:p>
    <w:p>
      <w:pPr>
        <w:ind w:left="380" w:right="720" w:hanging="134"/>
        <w:spacing w:after="0" w:line="258" w:lineRule="auto"/>
        <w:rPr>
          <w:sz w:val="20"/>
          <w:szCs w:val="20"/>
          <w:color w:val="auto"/>
        </w:rPr>
      </w:pPr>
      <w:r>
        <w:rPr>
          <w:rFonts w:ascii="Arial" w:cs="Arial" w:eastAsia="Arial" w:hAnsi="Arial"/>
          <w:sz w:val="18"/>
          <w:szCs w:val="18"/>
          <w:color w:val="auto"/>
        </w:rPr>
        <w:t>Federal funds purchased and securities sold under agreement to repurchase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902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March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r>
      <w:tr>
        <w:trPr>
          <w:trHeight w:val="45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81,849</w:t>
            </w: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81,849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81,849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174,682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174,682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150,356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1,443</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5,789</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859</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1,091,829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1,070,726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1,070,726</w:t>
            </w:r>
          </w:p>
        </w:tc>
      </w:tr>
      <w:tr>
        <w:trPr>
          <w:trHeight w:val="230"/>
        </w:trPr>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7,238</w:t>
            </w:r>
          </w:p>
        </w:tc>
      </w:tr>
      <w:tr>
        <w:trPr>
          <w:trHeight w:val="68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691,648</w:t>
            </w: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691,702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691,702</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236,847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236,847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236,847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258,929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259,395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259,395</w:t>
            </w:r>
          </w:p>
        </w:tc>
      </w:tr>
      <w:tr>
        <w:trPr>
          <w:trHeight w:val="224"/>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1,187,424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1,187,944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236,847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951,097</w:t>
            </w:r>
          </w:p>
        </w:tc>
      </w:tr>
      <w:tr>
        <w:trPr>
          <w:trHeight w:val="674"/>
        </w:trPr>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25,521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25,521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25,521</w:t>
            </w:r>
          </w:p>
        </w:tc>
      </w:tr>
      <w:tr>
        <w:trPr>
          <w:trHeight w:val="230"/>
        </w:trPr>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24,682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24,604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24,604</w:t>
            </w:r>
          </w:p>
        </w:tc>
      </w:tr>
      <w:tr>
        <w:trPr>
          <w:trHeight w:val="230"/>
        </w:trPr>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3,728</w:t>
            </w:r>
          </w:p>
        </w:tc>
      </w:tr>
      <w:tr>
        <w:trPr>
          <w:trHeight w:val="432"/>
        </w:trPr>
        <w:tc>
          <w:tcPr>
            <w:tcW w:w="120" w:type="dxa"/>
            <w:vAlign w:val="bottom"/>
          </w:tcPr>
          <w:p>
            <w:pPr>
              <w:spacing w:after="0"/>
              <w:rPr>
                <w:sz w:val="24"/>
                <w:szCs w:val="24"/>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-3052445</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-2752090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-2460625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-2169160</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-1877695</wp:posOffset>
            </wp:positionV>
            <wp:extent cx="72466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-1585595</wp:posOffset>
            </wp:positionV>
            <wp:extent cx="72466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-1294130</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-994410</wp:posOffset>
            </wp:positionV>
            <wp:extent cx="72466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-565150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55880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560" w:space="720"/>
            <w:col w:w="6140"/>
          </w:cols>
          <w:pgMar w:left="240" w:top="125" w:right="239" w:bottom="1440" w:gutter="0" w:footer="0" w:header="0"/>
          <w:type w:val="continuous"/>
        </w:sectPr>
      </w:pPr>
    </w:p>
    <w:bookmarkStart w:id="31" w:name="page32"/>
    <w:bookmarkEnd w:id="31"/>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2018</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38,365</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38,365</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38,365</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Securities - available-for-sale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168,447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168,447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36,935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130,085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839,599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823,914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823,914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Financial Liabilities: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 deposits</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525,955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525,955</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525,955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Non-interest bearing deposits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7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187,413</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187,545</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Total Deposits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928,790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215,422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Arial" w:cs="Arial" w:eastAsia="Arial" w:hAnsi="Arial"/>
                <w:sz w:val="18"/>
                <w:szCs w:val="18"/>
                <w:color w:val="auto"/>
              </w:rPr>
              <w:t>agreement to repurchase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advances</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Interest payable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1"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20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March 31, 2019 and December 31, 2018, segregated by level or the valuation inputs within the fair value hierarchy utilized to measure fair value:</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Significant</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6"/>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1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6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6"/>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36,935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130,085</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March 31, 2019 and March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7"/>
              </w:rPr>
              <w:t>State and Local</w:t>
            </w:r>
          </w:p>
        </w:tc>
        <w:tc>
          <w:tcPr>
            <w:tcW w:w="136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Governments</w:t>
            </w:r>
          </w:p>
        </w:tc>
        <w:tc>
          <w:tcPr>
            <w:tcW w:w="2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Governments</w:t>
            </w:r>
          </w:p>
        </w:tc>
        <w:tc>
          <w:tcPr>
            <w:tcW w:w="2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0"/>
              </w:rPr>
              <w:t>Taxable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2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20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540" w:type="dxa"/>
            <w:vAlign w:val="bottom"/>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bottom w:val="single" w:sz="8" w:color="CFF0FC"/>
            </w:tcBorders>
            <w:vMerge w:val="restart"/>
          </w:tcPr>
          <w:p>
            <w:pPr>
              <w:jc w:val="right"/>
              <w:ind w:right="470"/>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3" w:name="page34"/>
    <w:bookmarkEnd w:id="33"/>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20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7"/>
              </w:rPr>
              <w:t>State and Local</w:t>
            </w: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Governments</w:t>
            </w:r>
          </w:p>
        </w:tc>
        <w:tc>
          <w:tcPr>
            <w:tcW w:w="2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Governments</w:t>
            </w: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Taxable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1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right="20"/>
        <w:spacing w:after="0" w:line="29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March 31, 2019 and December 31, 2018,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1"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At March 31, 2019 and December 31, 2018, fair value of collateral dependent impaired loans categorized as Level 3 was $195 and $215 thousand, respectively. The specific allocation for impaired loans was $59 and $31 thousand as of March 31, 2019 and December 31, 2018, respectively, which are accounted for in the allowance for loan losses (see Note 4).</w:t>
      </w:r>
    </w:p>
    <w:p>
      <w:pPr>
        <w:spacing w:after="0" w:line="141"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150"/>
              <w:spacing w:after="0"/>
              <w:rPr>
                <w:sz w:val="20"/>
                <w:szCs w:val="20"/>
                <w:color w:val="auto"/>
              </w:rPr>
            </w:pPr>
            <w:r>
              <w:rPr>
                <w:rFonts w:ascii="Arial" w:cs="Arial" w:eastAsia="Arial" w:hAnsi="Arial"/>
                <w:sz w:val="18"/>
                <w:szCs w:val="18"/>
                <w:color w:val="auto"/>
                <w:w w:val="91"/>
              </w:rPr>
              <w:t>March 31, 2019</w:t>
            </w:r>
          </w:p>
        </w:tc>
        <w:tc>
          <w:tcPr>
            <w:tcW w:w="240" w:type="dxa"/>
            <w:vAlign w:val="bottom"/>
          </w:tcPr>
          <w:p>
            <w:pPr>
              <w:spacing w:after="0"/>
              <w:rPr>
                <w:sz w:val="20"/>
                <w:szCs w:val="20"/>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color w:val="auto"/>
              </w:rPr>
              <w:t>Valuation Technique</w:t>
            </w:r>
          </w:p>
        </w:tc>
        <w:tc>
          <w:tcPr>
            <w:tcW w:w="140" w:type="dxa"/>
            <w:vAlign w:val="bottom"/>
          </w:tcPr>
          <w:p>
            <w:pPr>
              <w:spacing w:after="0"/>
              <w:rPr>
                <w:sz w:val="20"/>
                <w:szCs w:val="20"/>
                <w:color w:val="auto"/>
              </w:rPr>
            </w:pPr>
          </w:p>
        </w:tc>
        <w:tc>
          <w:tcPr>
            <w:tcW w:w="3720" w:type="dxa"/>
            <w:vAlign w:val="bottom"/>
            <w:gridSpan w:val="2"/>
          </w:tcPr>
          <w:p>
            <w:pPr>
              <w:ind w:left="104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(23.33%)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8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(48.67%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60" w:type="dxa"/>
            <w:vAlign w:val="bottom"/>
            <w:gridSpan w:val="2"/>
          </w:tcPr>
          <w:p>
            <w:pPr>
              <w:jc w:val="right"/>
              <w:ind w:right="81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2018</w:t>
            </w:r>
          </w:p>
        </w:tc>
        <w:tc>
          <w:tcPr>
            <w:tcW w:w="24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Valuation Technique</w:t>
            </w: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impaired loans and other real estate owned as recorded at fair value on March 31, 2019 and December 31, 2018:</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740" w:type="dxa"/>
            <w:vAlign w:val="bottom"/>
            <w:tcBorders>
              <w:bottom w:val="single" w:sz="8" w:color="auto"/>
            </w:tcBorders>
            <w:gridSpan w:val="10"/>
          </w:tcPr>
          <w:p>
            <w:pPr>
              <w:jc w:val="center"/>
              <w:ind w:left="250"/>
              <w:spacing w:after="0"/>
              <w:rPr>
                <w:sz w:val="20"/>
                <w:szCs w:val="20"/>
                <w:color w:val="auto"/>
              </w:rPr>
            </w:pPr>
            <w:r>
              <w:rPr>
                <w:rFonts w:ascii="Arial" w:cs="Arial" w:eastAsia="Arial" w:hAnsi="Arial"/>
                <w:sz w:val="18"/>
                <w:szCs w:val="18"/>
                <w:color w:val="auto"/>
                <w:w w:val="90"/>
              </w:rPr>
              <w:t>Assets Measured at Fair Value on a Nonrecurring Basis at March 31, 2019</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Arial" w:cs="Arial" w:eastAsia="Arial" w:hAnsi="Arial"/>
                <w:sz w:val="18"/>
                <w:szCs w:val="18"/>
                <w:color w:val="auto"/>
                <w:w w:val="86"/>
              </w:rPr>
              <w:t>Balance at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March 31, 2019</w:t>
            </w:r>
          </w:p>
        </w:tc>
        <w:tc>
          <w:tcPr>
            <w:tcW w:w="2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98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8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20"/>
                <w:szCs w:val="20"/>
                <w:color w:val="auto"/>
              </w:rPr>
            </w:pPr>
          </w:p>
        </w:tc>
      </w:tr>
      <w:tr>
        <w:trPr>
          <w:trHeight w:val="473"/>
        </w:trPr>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40" w:type="dxa"/>
            <w:vAlign w:val="bottom"/>
            <w:tcBorders>
              <w:bottom w:val="single" w:sz="8" w:color="auto"/>
            </w:tcBorders>
            <w:gridSpan w:val="10"/>
          </w:tcPr>
          <w:p>
            <w:pPr>
              <w:jc w:val="center"/>
              <w:ind w:left="230"/>
              <w:spacing w:after="0"/>
              <w:rPr>
                <w:sz w:val="20"/>
                <w:szCs w:val="20"/>
                <w:color w:val="auto"/>
              </w:rPr>
            </w:pPr>
            <w:r>
              <w:rPr>
                <w:rFonts w:ascii="Arial" w:cs="Arial" w:eastAsia="Arial" w:hAnsi="Arial"/>
                <w:sz w:val="18"/>
                <w:szCs w:val="18"/>
                <w:color w:val="auto"/>
                <w:w w:val="89"/>
              </w:rPr>
              <w:t>Assets Measured at Fair Value on a Nonrecurring Basis at December 31, 2018</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Arial" w:cs="Arial" w:eastAsia="Arial" w:hAnsi="Arial"/>
                <w:sz w:val="18"/>
                <w:szCs w:val="18"/>
                <w:color w:val="auto"/>
                <w:w w:val="86"/>
              </w:rPr>
              <w:t>Balance at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2018</w:t>
            </w:r>
          </w:p>
        </w:tc>
        <w:tc>
          <w:tcPr>
            <w:tcW w:w="2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98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68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Company had no Federal Funds purchased as of March 31, 2019 and $6.5 million as of December 31, 2018, respectively. During the same time periods, the company also had $25.5 million and $25.7 million in securities sold under agreement to repurchase.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March 31, 2019</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2"/>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Overnight &amp;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24,840</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24,840</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2018</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2"/>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Overnight &amp;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RECENT ACCOUNTING PRONOUNCEMENTS</w:t>
      </w:r>
    </w:p>
    <w:p>
      <w:pPr>
        <w:spacing w:after="0" w:line="360"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has adopted ASU 2016-02 on January 1, 2019 and recorded a right of use asset and a corresponding liability in the amount of $491.7 thousand. This did not have a significant impact on the company’s financial statements.</w:t>
      </w:r>
    </w:p>
    <w:p>
      <w:pPr>
        <w:spacing w:after="0" w:line="7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In June 2016,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ASU requires the measurement of all expected credit losses for financial assets held at the reporting date based on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0"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has contracted with an external advisor and has formed a committee to determine the methodology to be used. Most importantly, the Company is gathering as much data as possible to enable review scenarios and determine which calculations will produce the most reliable results. The Company is in the early stages of CECL conversion analysis with use of a third party service provider and is working to run parallel for a minimum of the last two quarters of 2019.</w:t>
      </w:r>
    </w:p>
    <w:p>
      <w:pPr>
        <w:spacing w:after="0" w:line="70"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These amendments eliminate Step 2 from the goodwill impairment test. The amendments also eliminate the requirements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financial statements, as goodwill testing has been completed annually without any impairment concerns.</w:t>
      </w:r>
    </w:p>
    <w:p>
      <w:pPr>
        <w:spacing w:after="0" w:line="71"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w:t>
      </w:r>
      <w:r>
        <w:rPr>
          <w:rFonts w:ascii="Arial" w:cs="Arial" w:eastAsia="Arial" w:hAnsi="Arial"/>
          <w:sz w:val="18"/>
          <w:szCs w:val="18"/>
          <w:color w:val="auto"/>
        </w:rPr>
        <w:t>t.” ASU 2018-13 modifies the disclosure requirements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remove disclosures that no longer are considered cost beneficial, modify/clarify the specific requirements of certain disclosures, and add disclosure requirements identified as relevant. ASU 2018-13 will be effective until years beginning after December 15, 2019, with early adoption permitted. The Company is in the process of evaluating and does not expect ASU 2018-13 to have a material impact on its accounting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243205</wp:posOffset>
            </wp:positionV>
            <wp:extent cx="676656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The Company completed the merger with Limberlost on January 1, 2019 and three weeks later integrated the Bank of Geneva into The Farmers &amp; Merchants State Bank’s core operating system. The first quarter of 2019 has been impacted by a very labor-intensive process as we welcomed new employees, customers and shareholders into the F&amp;M family. Training and reconciliation of items has been priority one and has involved many extra hours from all parties involved. Training will continue to be a focus throughout the next two quarters. Great benefits will follow as the Company continues its strategy for long-term sustainable growth from the six offices that have been added. Financially, the merger is expected to be accretive to earnings during 2019, as a larger legal lending limit will enable the expansion of existing customer’s borrowings, a wider range of products and services becomes available to all customers, and a larger organization provides additional revenue-generating opportunities for our employees. F&amp;M will continue to operate on the foundation of a strong community bank platform in the communities we serve.</w:t>
      </w:r>
    </w:p>
    <w:p>
      <w:pPr>
        <w:spacing w:after="0" w:line="193" w:lineRule="exact"/>
        <w:rPr>
          <w:sz w:val="20"/>
          <w:szCs w:val="20"/>
          <w:color w:val="auto"/>
        </w:rPr>
      </w:pPr>
    </w:p>
    <w:p>
      <w:pPr>
        <w:jc w:val="both"/>
        <w:ind w:left="760"/>
        <w:spacing w:after="0" w:line="302" w:lineRule="auto"/>
        <w:rPr>
          <w:sz w:val="20"/>
          <w:szCs w:val="20"/>
          <w:color w:val="auto"/>
        </w:rPr>
      </w:pPr>
      <w:r>
        <w:rPr>
          <w:rFonts w:ascii="Arial" w:cs="Arial" w:eastAsia="Arial" w:hAnsi="Arial"/>
          <w:sz w:val="16"/>
          <w:szCs w:val="16"/>
          <w:color w:val="auto"/>
        </w:rPr>
        <w:t>The positive effect of the merger is in having the balances added on day one of 2019 so we have a whole year of earnings to offset the expense. The negative effect is that most of the acquisition costs have been paid in the first quarter with only three months of earnings available to offset these costs. In first quarter 2019, approximately $1.3 million of direct acquisition costs have been expensed which doesn’t include the many indirect or soft costs such as overtime or the purchase accounting expenses surrounding the goodwill and fair value calculations.</w:t>
      </w:r>
    </w:p>
    <w:p>
      <w:pPr>
        <w:spacing w:after="0" w:line="18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Overall, the local economies continue to remain strong. The manufacturing sector has shown some expansion though tempered somewhat by possible recession concerns for 2020. Unemployment in our market areas remains low and has impacted expansion strategies. Finding quality employees is a challenge for all including the Company.</w:t>
      </w:r>
    </w:p>
    <w:p>
      <w:pPr>
        <w:spacing w:after="0" w:line="20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agricultural sector faces similar challenges as last year with low grain prices (imports still impacting prices along with farm bill) and a very wet first quarter. However, there is time for both situations to improve before it will affect the agricultural community. Land values for good soil types are holding while sales on marginal soil types continue to show a slight deterioration in prices.</w:t>
      </w:r>
    </w:p>
    <w:p>
      <w:pPr>
        <w:spacing w:after="0" w:line="208"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Federal rate increases have resulted in a widening of the net interest margin though Fed appears to be on hold for future increases in 2019. Pressure continues to build on cost of funds as depositors seek out higher rates. The Bank has offered new products in 2019 to attract new depositors and for current depositors to increase their holdings with us. Competitive pressure has forced us to increase rates and thereby put pressure on the margin. The Bank of Geneva had a larger net interest margin than F&amp;M which will help widen the margin in 2019.</w:t>
      </w:r>
    </w:p>
    <w:p>
      <w:pPr>
        <w:spacing w:after="0" w:line="144"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dividend declared for the first quarter represented a 15.4% increase over the declaration of the same period last year. Core earnings were strong for the first quarter and exceeded the prior quarter and first quarter last year after acquisition related expenses are factored out. The focus remains on growth for 2019 along with the widening of our footprint from additional offices. Welcoming and developing our newest offices is also important and a priority. The Company is positioned for positive results in 2019 and remains well capitalized.</w:t>
      </w:r>
    </w:p>
    <w:p>
      <w:pPr>
        <w:spacing w:after="0" w:line="37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16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thirty full service banking offices throughout Northwest Ohio and Northeast Indiana.</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Bank opened an additional office during February of 2018 in Findlay, Ohio and the office is located in Hancock County. The Bank purchased the building in 2017 and was subsequently remodeled. On January 1, 2019, six Bank of Geneva offices located in the Indiana counties of Adams, Allen and Jay, were merged with and into The Farmers &amp; Merchants State Bank. The Bank has continued its expansion strategy and the new offices are expected to provide new growth opportunities.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51" w:lineRule="exact"/>
        <w:rPr>
          <w:sz w:val="20"/>
          <w:szCs w:val="20"/>
          <w:color w:val="auto"/>
        </w:rPr>
      </w:pPr>
    </w:p>
    <w:p>
      <w:pPr>
        <w:jc w:val="both"/>
        <w:ind w:left="700"/>
        <w:spacing w:after="0" w:line="287"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Upgrades to our digital products and services continue to occur in both retail and business lines.</w:t>
      </w:r>
    </w:p>
    <w:p>
      <w:pPr>
        <w:spacing w:after="0" w:line="128" w:lineRule="exact"/>
        <w:rPr>
          <w:sz w:val="20"/>
          <w:szCs w:val="20"/>
          <w:color w:val="auto"/>
        </w:rPr>
      </w:pPr>
    </w:p>
    <w:p>
      <w:pPr>
        <w:jc w:val="both"/>
        <w:ind w:left="700"/>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41"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43"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1460" w:hanging="378"/>
        <w:spacing w:after="0"/>
        <w:tabs>
          <w:tab w:leader="none" w:pos="1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Maximum loan to value (LTV) for cars, trucks and light trucks vary from 90% to 110% depending on whether direct or indirect.</w:t>
      </w:r>
    </w:p>
    <w:p>
      <w:pPr>
        <w:spacing w:after="0" w:line="20" w:lineRule="exact"/>
        <w:rPr>
          <w:rFonts w:ascii="Arial" w:cs="Arial" w:eastAsia="Arial" w:hAnsi="Arial"/>
          <w:sz w:val="17"/>
          <w:szCs w:val="17"/>
          <w:color w:val="auto"/>
        </w:rPr>
      </w:pPr>
    </w:p>
    <w:p>
      <w:pPr>
        <w:ind w:left="1460" w:hanging="378"/>
        <w:spacing w:after="0"/>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32" w:lineRule="exact"/>
        <w:rPr>
          <w:rFonts w:ascii="Arial" w:cs="Arial" w:eastAsia="Arial" w:hAnsi="Arial"/>
          <w:sz w:val="16"/>
          <w:szCs w:val="16"/>
          <w:color w:val="auto"/>
        </w:rPr>
      </w:pPr>
    </w:p>
    <w:p>
      <w:pPr>
        <w:ind w:left="1460" w:hanging="37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9" w:lineRule="exact"/>
        <w:rPr>
          <w:rFonts w:ascii="Arial" w:cs="Arial" w:eastAsia="Arial" w:hAnsi="Arial"/>
          <w:sz w:val="18"/>
          <w:szCs w:val="18"/>
          <w:color w:val="auto"/>
        </w:rPr>
      </w:pPr>
    </w:p>
    <w:p>
      <w:pPr>
        <w:ind w:left="1460" w:hanging="378"/>
        <w:spacing w:after="0" w:line="250"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ind w:left="1460" w:hanging="37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ind w:left="1460" w:hanging="37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460" w:hanging="378"/>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11" w:lineRule="exact"/>
        <w:rPr>
          <w:sz w:val="20"/>
          <w:szCs w:val="20"/>
          <w:color w:val="auto"/>
        </w:rPr>
      </w:pPr>
    </w:p>
    <w:p>
      <w:pPr>
        <w:ind w:left="1460" w:hanging="378"/>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25" w:lineRule="exact"/>
        <w:rPr>
          <w:sz w:val="20"/>
          <w:szCs w:val="20"/>
          <w:color w:val="auto"/>
        </w:rPr>
      </w:pPr>
    </w:p>
    <w:p>
      <w:pPr>
        <w:ind w:left="1460" w:hanging="378"/>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7" w:lineRule="exact"/>
        <w:rPr>
          <w:sz w:val="20"/>
          <w:szCs w:val="20"/>
          <w:color w:val="auto"/>
        </w:rPr>
      </w:pPr>
    </w:p>
    <w:p>
      <w:pPr>
        <w:ind w:left="2220" w:hanging="381"/>
        <w:spacing w:after="0"/>
        <w:tabs>
          <w:tab w:leader="none" w:pos="222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2220" w:hanging="381"/>
        <w:spacing w:after="0" w:line="232" w:lineRule="auto"/>
        <w:tabs>
          <w:tab w:leader="none" w:pos="222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460" w:hanging="378"/>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70"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30"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31"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Defiance, Fulton, Hancock, Henry, Lucas, Williams, Wood and in the Indiana counties of Adams, Allen, DeKalb, Jay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8" w:lineRule="exact"/>
        <w:rPr>
          <w:sz w:val="20"/>
          <w:szCs w:val="20"/>
          <w:color w:val="auto"/>
        </w:rPr>
      </w:pPr>
    </w:p>
    <w:p>
      <w:pPr>
        <w:jc w:val="both"/>
        <w:ind w:left="700"/>
        <w:spacing w:after="0" w:line="342" w:lineRule="auto"/>
        <w:rPr>
          <w:sz w:val="20"/>
          <w:szCs w:val="20"/>
          <w:color w:val="auto"/>
        </w:rPr>
      </w:pPr>
      <w:r>
        <w:rPr>
          <w:rFonts w:ascii="Arial" w:cs="Arial" w:eastAsia="Arial" w:hAnsi="Arial"/>
          <w:sz w:val="16"/>
          <w:szCs w:val="16"/>
          <w:color w:val="auto"/>
        </w:rPr>
        <w:t>At March 31, 2019, we had 313 full time equivalent employees. The employees are not represented by a collective bargaining unit. We provide our employees with a comprehensive benefit program, some of which are contributory. We consider our employee relations to be good.</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REGULATORY DEVELOPMENTS</w:t>
      </w:r>
    </w:p>
    <w:p>
      <w:pPr>
        <w:spacing w:after="0" w:line="20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lack of clarity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Economic Growth Regulatory Relief and Consumer Protection Act (EGRRCPA) was signed into law in May 2018. EGRRCPA was intended to pave the way for banks to lend to creditworthy borrowers and better serve their communities. Regulatory relief was not immediate, as guidance and new rulemaking remains to be completed to implement many of the changes. The Bank along with many community banks welcome the rollback of some burdensome requirements resulting from the Dodd-Frank Wall Street Reform and Consumer Protection Act. Sections in the EGRRCPA address access to mortgage credit; consumer access to credit; protections for veterans, consumers, and homeowners; rules for certain bank holding companies, capital access; and protections for student borrowers. Implementation of the rules and guidance for the various provisions of the EGRRCPA will commence as rulemaking occurs.</w:t>
      </w: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Bank is subject to numerous laws, rules, regulations and guidance which include, but are not limited to, the following significant matters: deposit insurance coverage; equal credit opportunity; fair lending; community reinvestment; anti-money laundering; suspicious activity reporting; identity theft identification and prevention; protections for military members and their dependents; flood disaster protection; integrated mortgage disclosures; mortgage servicing rights; legal lending limits; electronic fund transfers; consumer privacy; and unfair and deceptive acts and practices. Extensive training and training resources are necessary to develop and maintain expertise on the various regulatory matters.</w:t>
      </w:r>
    </w:p>
    <w:p>
      <w:pPr>
        <w:spacing w:after="0" w:line="118"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These U.S. Department of the Treasury’s final rules on Customer Due Diligence (CDD) and Beneficial Ownership added a fifth core element to the original core elements necessary for an effective Bank Secrecy Act and Anti-Money Laundering compliance program. These rules were effective in May 2018. The CDD Final Rule is a significant step toward greater financial transparency. Prior to these new rules, the ability for individuals to hide financial activity through anonymous ownership of business entities was a weakness in the fight against financial crime. By gaining a more complete profile of entity customers, financial institutions can help further reduce the flow of illicit funds through the US banking system. The CDD and Beneficial Ownership final rules added a fifth core element to the original core elements necessary for an effective Bank Secrecy Act and Anti-Money Laundering compliance program.</w:t>
      </w:r>
    </w:p>
    <w:p>
      <w:pPr>
        <w:spacing w:after="0" w:line="162"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41"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ind w:left="700"/>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2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54"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March 31, 2019 OREO property holdings were $510 thousand. OREO totaled $600 thousand and $651 thousand as of December 31, 2018 and March 31, 2018 respectively.</w:t>
      </w:r>
    </w:p>
    <w:p>
      <w:pPr>
        <w:spacing w:after="0" w:line="141"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44"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41"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is has sold without recourse but services for others for a fee represent an asset on the Bank’s balance sheet. The valuation is completed by an independent third party.</w:t>
      </w:r>
    </w:p>
    <w:p>
      <w:pPr>
        <w:spacing w:after="0" w:line="141"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54" w:lineRule="exact"/>
        <w:rPr>
          <w:sz w:val="20"/>
          <w:szCs w:val="20"/>
          <w:color w:val="auto"/>
        </w:rPr>
      </w:pPr>
    </w:p>
    <w:p>
      <w:pPr>
        <w:jc w:val="both"/>
        <w:ind w:left="700"/>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using the level yield method. The amortization thereof is recorded in non-interest expense.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please see Note 4 to the consolidated financial statements provided herewith.</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Company plans to continue in its growth mode in 2019 led by loan growth from within our newer markets. The Bank is focused on funding the loan growth with the least expensive source of deposits, sale of securities or borrowings. Growing deposits will also be a focus especially in our newer markets. The Bank decreased the level of pledged securities by offering the Insured Cash Sweep, “ICS” product accessed through the Promontory network of financial institutions as compared to a year ago. This has provided more availability for runoff of securities by the Bank if warranted to fund loan growth. Competition for deposits is intense with most competitors offering “special” rates for specific terms.</w:t>
      </w:r>
    </w:p>
    <w:p>
      <w:pPr>
        <w:spacing w:after="0" w:line="118"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Liquidity in terms of cash and cash equivalents ended $43.5 million higher as of March 31, 2019 than it was at yearend December 31, 2018. An increase in securities held along with increased deposits funded the $252.2 million increase in net loans since yearend 2018. All loan portfolios increased as a result of the Limberlost acquisition with the largest loan growth having occurred in agricultural real estate and consumer portfolios. Commercial real estate and commercial and industrial portfolios also experienced large increases.</w:t>
      </w:r>
    </w:p>
    <w:p>
      <w:pPr>
        <w:spacing w:after="0" w:line="144"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In comparing to the same prior year period, the March 31, 2019 (net of deferred fees and cost) loan balances of $1.1 billion accounted for $267.2 million or 32.0% increase when compared to 2018’s $834.7 million. The year over year improvement in all loan categories was made up of a combined increase of 200.6% in agricultural related loans (comprised of 185.5% in agricultural real estate loans and 15.1% in non-real estate agricultural loans). Consumer real estate loans increased by 90.9%, consumer loans by 23.5%, Industrial Development Bonds (“IDB’s”) by 16.3%, and commercial and industrial loans by 11.7%. The Company credits the growth not only to the Limberlost acquisition, but also the strong team of lenders focused on providing customers valuable localized services and thereby increasing our market share.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chart below shows the breakdown of the loan portfolio category as of March 31, for the last three years, net of deferred fees and costs.</w:t>
      </w:r>
    </w:p>
    <w:p>
      <w:pPr>
        <w:spacing w:after="0" w:line="200" w:lineRule="exact"/>
        <w:rPr>
          <w:sz w:val="20"/>
          <w:szCs w:val="20"/>
          <w:color w:val="auto"/>
        </w:rPr>
      </w:pPr>
    </w:p>
    <w:p>
      <w:pPr>
        <w:spacing w:after="0" w:line="24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2"/>
              </w:rPr>
              <w:t>March 31, 2019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2"/>
              </w:rPr>
              <w:t>March 31, 2018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4"/>
              </w:rPr>
              <w:t>March 31, 2017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Amount</w:t>
            </w: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160,489</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84,052</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84,081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192,887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87,078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440,488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414,666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382,183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Consumer</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33,878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1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Loans, net</w:t>
            </w:r>
          </w:p>
        </w:tc>
        <w:tc>
          <w:tcPr>
            <w:tcW w:w="1620" w:type="dxa"/>
            <w:vAlign w:val="bottom"/>
            <w:gridSpan w:val="2"/>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1,101,963</w:t>
            </w:r>
          </w:p>
        </w:tc>
        <w:tc>
          <w:tcPr>
            <w:tcW w:w="3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834,737</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771,206</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2017, 2018, and 2019. The security portfolio increased $6.2 million in the first three months 2019 from yearend 2018. The amount of pledged investment securities increased by $1.3 million as compared to yearend and increased $996 thousand as compared to March 31, 2018. The difference in the growth and consequently pledged securities, improves liquidity with the additional option of selling unpledged investment securities if needed to fund loan growth or other initiatives. As of March 31, 2019, pledged investment securities totaled $83.1 million. The current portfolio is in a net unrealized loss position of $2.0 million.</w:t>
      </w:r>
    </w:p>
    <w:p>
      <w:pPr>
        <w:spacing w:after="0" w:line="220"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For the Bank, an additional $31.2 million is also available from the Federal Home Loan Bank based on current collateral pledging with up to $119 million available provided adequate collateral is pledged.</w:t>
      </w:r>
    </w:p>
    <w:p>
      <w:pPr>
        <w:spacing w:after="0" w:line="143"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$123.1 million of unsecured borrowing capacity through its correspondent banks.</w:t>
      </w:r>
    </w:p>
    <w:p>
      <w:pPr>
        <w:spacing w:after="0" w:line="154"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Overall total assets increased 31.3% since yearend 2018 and grew 30.4% since March 31, 2018. The largest growth in both periods was in the loan portfolios followed by goodwill.</w:t>
      </w:r>
    </w:p>
    <w:p>
      <w:pPr>
        <w:spacing w:after="0" w:line="130"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Deposits accounted for the largest growth within liabilities, up 27.8% or $258.6 million since yearend and 24.6% or $234.1 million over March 31, 2018 balances. Core deposits continue to drive the increase which provide the opportunity to generate additional noninterest income. This growth aided the increased liquidity position and funded the loan growth for the periods along with usage of purchased Federal Funds for daily borrowings.</w:t>
      </w:r>
    </w:p>
    <w:p>
      <w:pPr>
        <w:spacing w:after="0" w:line="146"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Shareholders’ equity increased by $73.6 million as of the first quarter of 2019 compared to yearend 2018, as the acquisition of Limberlost, which included stock in the transaction, was completed on January 1, 2019 along with earnings exceeding dividend declarations in the first quarter. Accumulated other comprehensive loss decreased in loss position by $1.4 million from December 2018. Dividends declared were the same as the fourth quarter at $0.15 per share. Compared to March 31, 2018, shareholders’ equity increased 60.8% or $82.1 million. Profits are lower year-to-date March 2019 than year-to-date March 2018 by $543 thousand due to acquisition expenses totaling $1.3 million impacting 2019.</w:t>
      </w:r>
    </w:p>
    <w:p>
      <w:pPr>
        <w:spacing w:after="0" w:line="131"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March 31, 2019, the Company and the Bank are both positioned well above the 2019 requirement.</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Bank continues to be well-capitalized in accordance with Federal regulatory capital requirements as the capital ratios below show:</w:t>
      </w:r>
    </w:p>
    <w:p>
      <w:pPr>
        <w:spacing w:after="0" w:line="278"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50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50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Results of Interest Earnings and Expenses for three month periods ended March 31, 2019 and 2018</w:t>
      </w:r>
    </w:p>
    <w:p>
      <w:pPr>
        <w:spacing w:after="0" w:line="20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When comparing first quarter 2019 to first quarter 2018, average loan balances with the acquisition of Limberlost grew $282.9 million. This represented a 34.3% increase in a one year time period. Interest income on loan balances also experienced an increase of $4.6 million as compared to the quarter ended March 31, 2018. Increases in the prime lending rate between the periods also contributed to the improvement in interest income and rate yield.</w:t>
      </w:r>
    </w:p>
    <w:p>
      <w:pPr>
        <w:spacing w:after="0" w:line="146"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higher levels of loan interest income helped to offset the available-for-sale securities portfolio, which decreased in average balances when comparing to the previous year. The decreased balances were expected as available-for-sale securities were used as a source of funds for loan growth. The income associated with the security portfolio increased $53 thousand over first quarter 2018.</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Overall, interest income for the quarter comparisons was higher for first quarter 2019 by 42.4% or $4.7 million as to first quarter 2018.</w:t>
      </w:r>
    </w:p>
    <w:p>
      <w:pPr>
        <w:spacing w:after="0" w:line="198" w:lineRule="exact"/>
        <w:rPr>
          <w:sz w:val="20"/>
          <w:szCs w:val="20"/>
          <w:color w:val="auto"/>
        </w:rPr>
      </w:pPr>
    </w:p>
    <w:p>
      <w:pPr>
        <w:jc w:val="both"/>
        <w:ind w:left="700"/>
        <w:spacing w:after="0" w:line="276" w:lineRule="auto"/>
        <w:rPr>
          <w:sz w:val="20"/>
          <w:szCs w:val="20"/>
          <w:color w:val="auto"/>
        </w:rPr>
      </w:pPr>
      <w:r>
        <w:rPr>
          <w:rFonts w:ascii="Arial" w:cs="Arial" w:eastAsia="Arial" w:hAnsi="Arial"/>
          <w:sz w:val="17"/>
          <w:szCs w:val="17"/>
          <w:color w:val="auto"/>
        </w:rPr>
        <w:t>In terms of annualized yield, for the quarter ended March 31, 2019, it was 4.80% which compares to a year ago first quarter ended March 31, 2018 of 4.28%. The following chart demonstrates the value of increased loan balances in the balance sheet mix, even if offset by lower balances in the available-for-sale security portfolio. During the current quarter, securities were sold realizing a loss of $26 thousand to fund growth and pay off some of the FHLB advances that were derived from the acquisition of Limberlost. The yields on tax-exempt securities and the portion of the tax-exempt IDB loans included in loans have been tax adjusted based on a 21% tax rate in the charts to follow.</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80" w:type="dxa"/>
            <w:vAlign w:val="bottom"/>
            <w:gridSpan w:val="5"/>
          </w:tcPr>
          <w:p>
            <w:pPr>
              <w:ind w:left="1100"/>
              <w:spacing w:after="0"/>
              <w:rPr>
                <w:sz w:val="20"/>
                <w:szCs w:val="20"/>
                <w:color w:val="auto"/>
              </w:rPr>
            </w:pPr>
            <w:r>
              <w:rPr>
                <w:rFonts w:ascii="Arial" w:cs="Arial" w:eastAsia="Arial" w:hAnsi="Arial"/>
                <w:sz w:val="18"/>
                <w:szCs w:val="18"/>
                <w:color w:val="auto"/>
              </w:rPr>
              <w:t>(In Thousands)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560" w:type="dxa"/>
            <w:vAlign w:val="bottom"/>
            <w:tcBorders>
              <w:top w:val="single" w:sz="8" w:color="auto"/>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w w:val="97"/>
              </w:rPr>
              <w:t>Quarter to Date Ended March 31, 2019</w:t>
            </w:r>
          </w:p>
        </w:tc>
        <w:tc>
          <w:tcPr>
            <w:tcW w:w="1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color w:val="auto"/>
              </w:rPr>
              <w:t>Yield/Rate</w:t>
            </w:r>
          </w:p>
        </w:tc>
      </w:tr>
      <w:tr>
        <w:trPr>
          <w:trHeight w:val="223"/>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Earning Assets:</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Average Balance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Interest/Dividends</w:t>
            </w: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March 31, 2019</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March 31, 2018</w:t>
            </w:r>
          </w:p>
        </w:tc>
      </w:tr>
      <w:tr>
        <w:trPr>
          <w:trHeight w:val="223"/>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1,108,031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14,680</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151,885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34,513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31,394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1,325,823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15,862</w:t>
            </w:r>
          </w:p>
        </w:tc>
        <w:tc>
          <w:tcPr>
            <w:tcW w:w="1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r>
      <w:tr>
        <w:trPr>
          <w:trHeight w:val="20"/>
        </w:trPr>
        <w:tc>
          <w:tcPr>
            <w:tcW w:w="2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Change in Interest Income Quarter to Date March 31, 2019 Compared to March 31, 2018</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0"/>
              </w:rPr>
              <w:t>Due to</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Interest Earning Assets:</w:t>
            </w:r>
          </w:p>
        </w:tc>
        <w:tc>
          <w:tcPr>
            <w:tcW w:w="24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Volume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w w:val="97"/>
              </w:rPr>
              <w:t>Due to Rate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4,578</w:t>
            </w: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3,749</w:t>
            </w:r>
          </w:p>
        </w:tc>
        <w:tc>
          <w:tcPr>
            <w:tcW w:w="320" w:type="dxa"/>
            <w:vAlign w:val="bottom"/>
            <w:tcBorders>
              <w:top w:val="single" w:sz="8" w:color="auto"/>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829</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2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4,726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3,719</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1,007</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3" w:lineRule="auto"/>
        <w:rPr>
          <w:sz w:val="20"/>
          <w:szCs w:val="20"/>
          <w:color w:val="auto"/>
        </w:rPr>
      </w:pPr>
      <w:r>
        <w:rPr>
          <w:rFonts w:ascii="Arial" w:cs="Arial" w:eastAsia="Arial" w:hAnsi="Arial"/>
          <w:sz w:val="17"/>
          <w:szCs w:val="17"/>
          <w:color w:val="auto"/>
        </w:rPr>
        <w:t>Offsetting some of the increase in interest income for the quarter was the increase in cost of funds in 2019. First quarter 2019 was higher by $1.6 million than first quarter 2018. Since 2018 with the Limberlost acquisition, average interest-bearing deposit balances have increased $172.1 million and resulted in $1.3 million more in interest expense for the most recent quarter. During the quarter, 10- and 34-month CD specials and 31-month IRA specials have been rolled out which carry a higher interest rate, in addition to rates increasing on Kasasa II savings, account balances over $20,000 and Ultimate checking accounts. Additionally, interest expense on FHLB borrowings was up $267 thousand in the first quarter 2019 over the same time frame in 2018 due to borrowings taken on from the acquisition.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6"/>
              </w:rPr>
              <w:t>Quarter to Date Ended March 31, 2019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8"/>
                <w:szCs w:val="18"/>
                <w:color w:val="auto"/>
                <w:w w:val="93"/>
              </w:rPr>
              <w:t>Yield/Rate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80" w:type="dxa"/>
            <w:vAlign w:val="bottom"/>
            <w:gridSpan w:val="3"/>
          </w:tcPr>
          <w:p>
            <w:pPr>
              <w:ind w:left="480"/>
              <w:spacing w:after="0"/>
              <w:rPr>
                <w:sz w:val="20"/>
                <w:szCs w:val="20"/>
                <w:color w:val="auto"/>
              </w:rPr>
            </w:pPr>
            <w:r>
              <w:rPr>
                <w:rFonts w:ascii="Arial" w:cs="Arial" w:eastAsia="Arial" w:hAnsi="Arial"/>
                <w:sz w:val="18"/>
                <w:szCs w:val="18"/>
                <w:color w:val="auto"/>
              </w:rPr>
              <w:t>Interest Bearing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6"/>
          </w:tcPr>
          <w:p>
            <w:pPr>
              <w:ind w:left="180"/>
              <w:spacing w:after="0"/>
              <w:rPr>
                <w:sz w:val="20"/>
                <w:szCs w:val="20"/>
                <w:color w:val="auto"/>
              </w:rPr>
            </w:pPr>
            <w:r>
              <w:rPr>
                <w:rFonts w:ascii="Arial" w:cs="Arial" w:eastAsia="Arial" w:hAnsi="Arial"/>
                <w:sz w:val="18"/>
                <w:szCs w:val="18"/>
                <w:color w:val="auto"/>
              </w:rPr>
              <w:t>March 31,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March 31,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30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1"/>
              </w:rPr>
              <w:t>Average Balance</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Interest</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671,227</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3"/>
              </w:rPr>
              <w:t>0.91%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Other time deposits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243,342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4"/>
          </w:tcPr>
          <w:p>
            <w:pPr>
              <w:jc w:val="right"/>
              <w:ind w:right="30"/>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3"/>
              </w:rPr>
              <w:t>1.79%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29,392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93"/>
              </w:rPr>
              <w:t>287</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3"/>
              </w:rPr>
              <w:t>3.91%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Fed funds purchased &amp;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33,794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93"/>
              </w:rPr>
              <w:t>185</w:t>
            </w:r>
          </w:p>
        </w:tc>
        <w:tc>
          <w:tcPr>
            <w:tcW w:w="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3"/>
              </w:rPr>
              <w:t>2.19%</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3"/>
          </w:tcPr>
          <w:p>
            <w:pPr>
              <w:ind w:left="480"/>
              <w:spacing w:after="0"/>
              <w:rPr>
                <w:sz w:val="20"/>
                <w:szCs w:val="20"/>
                <w:color w:val="auto"/>
              </w:rPr>
            </w:pPr>
            <w:r>
              <w:rPr>
                <w:rFonts w:ascii="Arial" w:cs="Arial" w:eastAsia="Arial" w:hAnsi="Arial"/>
                <w:sz w:val="18"/>
                <w:szCs w:val="18"/>
                <w:color w:val="auto"/>
              </w:rPr>
              <w:t>Total Interest Bearing Liabilities</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977,755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1.26%</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0.75%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80" w:type="dxa"/>
            <w:vAlign w:val="bottom"/>
            <w:gridSpan w:val="18"/>
          </w:tcPr>
          <w:p>
            <w:pPr>
              <w:ind w:left="1480"/>
              <w:spacing w:after="0"/>
              <w:rPr>
                <w:sz w:val="20"/>
                <w:szCs w:val="20"/>
                <w:color w:val="auto"/>
              </w:rPr>
            </w:pPr>
            <w:r>
              <w:rPr>
                <w:rFonts w:ascii="Arial" w:cs="Arial" w:eastAsia="Arial" w:hAnsi="Arial"/>
                <w:sz w:val="18"/>
                <w:szCs w:val="18"/>
                <w:b w:val="1"/>
                <w:bCs w:val="1"/>
                <w:color w:val="auto"/>
                <w:w w:val="92"/>
              </w:rPr>
              <w:t>Change in Interest Expense Quarter to Date March 31, 2019 Compared to March 31, 2018</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150"/>
              <w:spacing w:after="0"/>
              <w:rPr>
                <w:sz w:val="20"/>
                <w:szCs w:val="20"/>
                <w:color w:val="auto"/>
              </w:rPr>
            </w:pPr>
            <w:r>
              <w:rPr>
                <w:rFonts w:ascii="Arial" w:cs="Arial" w:eastAsia="Arial" w:hAnsi="Arial"/>
                <w:sz w:val="18"/>
                <w:szCs w:val="18"/>
                <w:color w:val="auto"/>
                <w:w w:val="90"/>
              </w:rPr>
              <w:t>Due to</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80" w:type="dxa"/>
            <w:vAlign w:val="bottom"/>
            <w:gridSpan w:val="2"/>
          </w:tcPr>
          <w:p>
            <w:pPr>
              <w:ind w:left="640"/>
              <w:spacing w:after="0"/>
              <w:rPr>
                <w:sz w:val="20"/>
                <w:szCs w:val="20"/>
                <w:color w:val="auto"/>
              </w:rPr>
            </w:pPr>
            <w:r>
              <w:rPr>
                <w:rFonts w:ascii="Arial" w:cs="Arial" w:eastAsia="Arial" w:hAnsi="Arial"/>
                <w:sz w:val="18"/>
                <w:szCs w:val="18"/>
                <w:color w:val="auto"/>
              </w:rPr>
              <w:t>Interest Bearing Liabilities: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91"/>
              </w:rPr>
              <w:t>Change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150"/>
              <w:spacing w:after="0"/>
              <w:rPr>
                <w:sz w:val="20"/>
                <w:szCs w:val="20"/>
                <w:color w:val="auto"/>
              </w:rPr>
            </w:pPr>
            <w:r>
              <w:rPr>
                <w:rFonts w:ascii="Arial" w:cs="Arial" w:eastAsia="Arial" w:hAnsi="Arial"/>
                <w:sz w:val="18"/>
                <w:szCs w:val="18"/>
                <w:color w:val="auto"/>
                <w:w w:val="91"/>
              </w:rPr>
              <w:t>Volume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5"/>
          </w:tcPr>
          <w:p>
            <w:pPr>
              <w:jc w:val="right"/>
              <w:ind w:right="860"/>
              <w:spacing w:after="0"/>
              <w:rPr>
                <w:sz w:val="20"/>
                <w:szCs w:val="20"/>
                <w:color w:val="auto"/>
              </w:rPr>
            </w:pPr>
            <w:r>
              <w:rPr>
                <w:rFonts w:ascii="Arial" w:cs="Arial" w:eastAsia="Arial" w:hAnsi="Arial"/>
                <w:sz w:val="18"/>
                <w:szCs w:val="18"/>
                <w:color w:val="auto"/>
                <w:w w:val="97"/>
              </w:rPr>
              <w:t>Due to Rate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420" w:type="dxa"/>
            <w:vAlign w:val="bottom"/>
            <w:tcBorders>
              <w:top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560" w:type="dxa"/>
            <w:vAlign w:val="bottom"/>
            <w:tcBorders>
              <w:top w:val="single" w:sz="8" w:color="auto"/>
            </w:tcBorders>
            <w:gridSpan w:val="3"/>
            <w:shd w:val="clear" w:color="auto" w:fill="CFF0FC"/>
          </w:tcPr>
          <w:p>
            <w:pPr>
              <w:jc w:val="right"/>
              <w:ind w:right="197"/>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525</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 time deposits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sold under agreement to repurchase</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80" w:type="dxa"/>
            <w:vAlign w:val="bottom"/>
            <w:gridSpan w:val="2"/>
          </w:tcPr>
          <w:p>
            <w:pPr>
              <w:ind w:left="640"/>
              <w:spacing w:after="0"/>
              <w:rPr>
                <w:sz w:val="20"/>
                <w:szCs w:val="20"/>
                <w:color w:val="auto"/>
              </w:rPr>
            </w:pPr>
            <w:r>
              <w:rPr>
                <w:rFonts w:ascii="Arial" w:cs="Arial" w:eastAsia="Arial" w:hAnsi="Arial"/>
                <w:sz w:val="18"/>
                <w:szCs w:val="18"/>
                <w:color w:val="auto"/>
              </w:rPr>
              <w:t>Total Interest Bearing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793</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829</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vMerge w:val="restart"/>
          </w:tcPr>
          <w:p>
            <w:pPr>
              <w:jc w:val="right"/>
              <w:ind w:right="27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95"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Overall, net interest spread for the first quarter 2019 is higher than last year. As the following chart illustrates, higher yields on interest and dividend income did offset the higher interest expense in the most recent quarter when comparing to the same period a year ago.</w:t>
      </w:r>
    </w:p>
    <w:p>
      <w:pPr>
        <w:spacing w:after="0" w:line="21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4.80%</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Expense/cost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0.75%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3.54%</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3.72%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Net interest income was up $3.1 million for the first quarter 2019 over the same time frame in 2018 due to the increase in loan interest income and partially offset by higher interest expense, as previously mentioned. As the new loans added in 2018 and 2019 generate more income, management expects the benefits of the Company’s strategy of repositioning the balance sheet to continue to widen this margin as measured in dollars. In terms of net interest margin rate, the Bank recognizes competition for deposits have and will continue to put pressure on the margin which may lead to a tightening.</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Noninterest Results of Operations - First Quarter 2019 to First Quarter 2018</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Provision Expense</w:t>
      </w:r>
    </w:p>
    <w:p>
      <w:pPr>
        <w:spacing w:after="0" w:line="185"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portfolios accounted for the largest component of charge-offs and recoveries for first quarter of 2019 and 2018. As was mentioned in previous discussion, the commercial real estate portfolio is currently creating a large impact on the ALLL due to the loan growth.</w:t>
      </w:r>
    </w:p>
    <w:p>
      <w:pPr>
        <w:spacing w:after="0" w:line="137"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Total provision for loan losses was $10 thousand lower for the first quarter 2019 as compared to the same quarter 2018. Management continues to monitor asset quality, making adjustments to the provision as necessary. Loan charge-offs were $62 thousand higher in first quarter 2019 than the same quarter 2018. Recoveries were $1 thousand higher in first quarter 2019 as compared to first quarter 2018. Combined net charge-offs were $61 thousand higher in first quarter 2019 than the same time period 2018. Past due loans increased $1.1 million from March 31, 2018 as compared to March 31, 2019. The majority of the change is attributed to the increase of past due balances in the consumer real estate, agricultural, and consumer portfolios while the commercial and industrial portfolio decreased.</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March 31, 2019, 2018, and 2017.</w:t>
      </w:r>
    </w:p>
    <w:p>
      <w:pPr>
        <w:spacing w:after="0" w:line="22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91"/>
              </w:rPr>
              <w:t>Three Months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color w:val="auto"/>
                <w:w w:val="90"/>
              </w:rPr>
              <w:t>Three Months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color w:val="auto"/>
                <w:w w:val="91"/>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88"/>
              </w:rPr>
              <w:t>Ended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March 31, 2019</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March 31, 2018</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March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1,101,963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834,737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771,206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3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1,108,031</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825,109</w:t>
            </w:r>
          </w:p>
        </w:tc>
        <w:tc>
          <w:tcPr>
            <w:tcW w:w="26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762,126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Allowance for Loan Losses - Jan 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6,775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6,868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145</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Acquisition provision for loan loss</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Allowance for Loan &amp; Lease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March 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6,636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6,800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 - March 31</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63"/>
        </w:trPr>
        <w:tc>
          <w:tcPr>
            <w:tcW w:w="3680" w:type="dxa"/>
            <w:vAlign w:val="bottom"/>
            <w:gridSpan w:val="2"/>
          </w:tcPr>
          <w:p>
            <w:pPr>
              <w:spacing w:after="0"/>
              <w:rPr>
                <w:sz w:val="20"/>
                <w:szCs w:val="20"/>
                <w:color w:val="auto"/>
              </w:rPr>
            </w:pPr>
            <w:r>
              <w:rPr>
                <w:rFonts w:ascii="Arial" w:cs="Arial" w:eastAsia="Arial" w:hAnsi="Arial"/>
                <w:sz w:val="18"/>
                <w:szCs w:val="18"/>
                <w:color w:val="auto"/>
              </w:rPr>
              <w:t>Total Allowance for Credit Losses - March 31</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6,982</w:t>
            </w:r>
          </w:p>
        </w:tc>
        <w:tc>
          <w:tcPr>
            <w:tcW w:w="2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7,065</w:t>
            </w:r>
          </w:p>
        </w:tc>
        <w:tc>
          <w:tcPr>
            <w:tcW w:w="26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Loans outstanding</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558.92%</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755.19%</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80" w:hanging="376"/>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198" w:lineRule="exact"/>
        <w:rPr>
          <w:sz w:val="20"/>
          <w:szCs w:val="20"/>
          <w:color w:val="auto"/>
        </w:rPr>
      </w:pPr>
    </w:p>
    <w:p>
      <w:pPr>
        <w:jc w:val="both"/>
        <w:ind w:left="70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Loans classified as nonaccrual were higher as of March 31, 2019 at $1.2 million as compared to $900 thousand as of March 31, 2018. The majority of the increase is in the consumer real estate portfolio.</w:t>
      </w:r>
    </w:p>
    <w:p>
      <w:pPr>
        <w:spacing w:after="0" w:line="143"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balances for allowance of loan losses by loan type for three months ended March 31, 2019 and March 31, 2018.</w:t>
      </w:r>
    </w:p>
    <w:p>
      <w:pPr>
        <w:spacing w:after="0" w:line="28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48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1"/>
              </w:rPr>
              <w:t>March 31, 2019</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1"/>
              </w:rPr>
              <w:t>March 31, 2018</w:t>
            </w:r>
          </w:p>
        </w:tc>
        <w:tc>
          <w:tcPr>
            <w:tcW w:w="148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 Applicable To:</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32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268</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14.56%</w:t>
            </w:r>
          </w:p>
        </w:tc>
        <w:tc>
          <w:tcPr>
            <w:tcW w:w="2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48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706</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10.44%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706</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3,203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39.98%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3,674</w:t>
            </w:r>
          </w:p>
        </w:tc>
        <w:tc>
          <w:tcPr>
            <w:tcW w:w="148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1,490</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13.19%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48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203</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Allowance for Loan &amp; Lease Losses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6,636</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6,800</w:t>
            </w:r>
          </w:p>
        </w:tc>
        <w:tc>
          <w:tcPr>
            <w:tcW w:w="1480" w:type="dxa"/>
            <w:vAlign w:val="bottom"/>
          </w:tcPr>
          <w:p>
            <w:pPr>
              <w:spacing w:after="0"/>
              <w:rPr>
                <w:sz w:val="19"/>
                <w:szCs w:val="19"/>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346</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265</w:t>
            </w:r>
          </w:p>
        </w:tc>
        <w:tc>
          <w:tcPr>
            <w:tcW w:w="1480" w:type="dxa"/>
            <w:vAlign w:val="bottom"/>
            <w:shd w:val="clear" w:color="auto" w:fill="CFF0FC"/>
          </w:tcPr>
          <w:p>
            <w:pPr>
              <w:spacing w:after="0"/>
              <w:rPr>
                <w:sz w:val="19"/>
                <w:szCs w:val="19"/>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6,982</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7,065</w:t>
            </w:r>
          </w:p>
        </w:tc>
        <w:tc>
          <w:tcPr>
            <w:tcW w:w="14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Income</w:t>
      </w:r>
    </w:p>
    <w:p>
      <w:pPr>
        <w:spacing w:after="0" w:line="198"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Noninterest income was up $85 thousand for the first quarter 2019 over the same time frame in 2018. The Company has seen a decrease in its mortgage production volume and the gain on the sale of these loans was $30 thousand lower for the first quarter 2019 over the same period in 2018. Loan originations on loans held for sale for the first quarter 2019 were $8.3 million with proceeds from sale at $7.8 million for 2019 compared to 2018’s first quarter activity of $11.6 million in originations and $10.0 million in sales. The mortgages sold were both 1-4 family and agricultural real estate loans originated for sale.</w:t>
      </w:r>
    </w:p>
    <w:p>
      <w:pPr>
        <w:spacing w:after="0" w:line="14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largest fluctuation in noninterest income was in the combined service fee lines, which was $141 thousand higher than the same quarter last year. The increase was due to multiple small increments in all areas rather than in one service. The Company did sell some of its available-for-sale portfolio in first quarter 2019 and recognized a $26 thousand loss.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54"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first quarter of 2019, mortgage servicing rights caused a net $12 thousand in income, in comparison to a net $14 thousand income for the first quarter of 2018. The slightly lower capitalized additions for 2019 are attributed to a lower loan origination level of 1-4 families combined with a higher mortgage servicing rights value being applied to originations of 1-4 families in 2019 as compared to 2018. For loans of 15 years and less, the value was 1.124% in the first quarter 2019 versus .972% in first quarter 2018. For loans over 15 years, the value was 1.309% versus 1.168% for the same periods respectively. The carrying value is well below the market value of $3.6 million which indicates any large expense to fund the valuation allowance to be unlikely in 2019.</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January 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Capitalized Additions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Mortgage Servicing Rights net, March 31,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Expense</w:t>
      </w:r>
    </w:p>
    <w:p>
      <w:pPr>
        <w:spacing w:after="0" w:line="198" w:lineRule="exact"/>
        <w:rPr>
          <w:sz w:val="20"/>
          <w:szCs w:val="20"/>
          <w:color w:val="auto"/>
        </w:rPr>
      </w:pPr>
    </w:p>
    <w:p>
      <w:pPr>
        <w:jc w:val="both"/>
        <w:ind w:left="700"/>
        <w:spacing w:after="0" w:line="289" w:lineRule="auto"/>
        <w:rPr>
          <w:sz w:val="20"/>
          <w:szCs w:val="20"/>
          <w:color w:val="auto"/>
        </w:rPr>
      </w:pPr>
      <w:r>
        <w:rPr>
          <w:rFonts w:ascii="Arial" w:cs="Arial" w:eastAsia="Arial" w:hAnsi="Arial"/>
          <w:sz w:val="16"/>
          <w:szCs w:val="16"/>
          <w:color w:val="auto"/>
        </w:rPr>
        <w:t>For the first quarter 2019, noninterest expenses were $3.9 million higher than for the same quarter in 2018. Of this increase, $1.3 million was third party acquisition related costs in connection with the Limberlost transaction. Salaries, wages, and employee benefits increased $1.5 million, with the addition of the acquired offices, normal merit increases, and increased employer taxes related to the vesting of restricted stock awards and the incentive payout. Acquisition costs included in these categories were $108 thousand. Furniture and equipment expenses increased $189 thousand from the prior year primarily due to an increase in depreciation of $116 thousand and maintenance contracts of $65 thousand. Data processing charges increased $968 thousand for first quarter 2019 attributed to $892 thousand of acquisition expenses. Other general and administrative expenses were up $746 thousand compared to first quarter 2018 with $238 thousand arising from the acquisition. Core deposit intangible increased $140 thousand, loan and collection expense increase $25 thousand, stationary/printing expenses increased $28 thousand and dues, subscription and membership increased $38 thousand. These increased expenses were offset by a reduction in entertainment, education and OREO real estate taxes.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w:t>
      </w:r>
    </w:p>
    <w:p>
      <w:pPr>
        <w:spacing w:after="0" w:line="185"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Results overall, net income in the first quarter of 2019 was down $543 thousand as compared to the same quarter last year. Excluding tax adjusted acquisition costs, net income would have been approximately $4.3 million, an increase of $1.1 million as shown in the below table.</w:t>
      </w:r>
    </w:p>
    <w:p>
      <w:pPr>
        <w:spacing w:after="0" w:line="187"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6"/>
          </w:tcPr>
          <w:p>
            <w:pPr>
              <w:jc w:val="center"/>
              <w:ind w:right="22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6"/>
          </w:tcPr>
          <w:p>
            <w:pPr>
              <w:jc w:val="center"/>
              <w:ind w:right="2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Non-GAAP Reconciliation of Net Income</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March 31, 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March 31, 2018</w:t>
            </w:r>
          </w:p>
        </w:tc>
      </w:tr>
      <w:tr>
        <w:trPr>
          <w:trHeight w:val="223"/>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5"/>
          </w:tcPr>
          <w:p>
            <w:pPr>
              <w:jc w:val="center"/>
              <w:ind w:right="90"/>
              <w:spacing w:after="0"/>
              <w:rPr>
                <w:sz w:val="20"/>
                <w:szCs w:val="20"/>
                <w:color w:val="auto"/>
              </w:rPr>
            </w:pPr>
            <w:r>
              <w:rPr>
                <w:rFonts w:ascii="Arial" w:cs="Arial" w:eastAsia="Arial" w:hAnsi="Arial"/>
                <w:sz w:val="18"/>
                <w:szCs w:val="18"/>
                <w:color w:val="auto"/>
                <w:w w:val="91"/>
              </w:rPr>
              <w:t>(Unaudited)</w:t>
            </w:r>
          </w:p>
        </w:tc>
        <w:tc>
          <w:tcPr>
            <w:tcW w:w="6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income as reported</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60" w:type="dxa"/>
            <w:vAlign w:val="bottom"/>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Acquisition expenses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Tax effect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income excluding acquisition expenses</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6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Company has done an exceptional job of growing loans while keeping past dues low. The Company remains strong, stable, and well capitalized and has the capacity to continue to cover the increased costs of expansion.</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FORWARD LOOKING STATEMENTS</w:t>
      </w:r>
    </w:p>
    <w:p>
      <w:pPr>
        <w:spacing w:after="0" w:line="198" w:lineRule="exact"/>
        <w:rPr>
          <w:sz w:val="20"/>
          <w:szCs w:val="20"/>
          <w:color w:val="auto"/>
        </w:rPr>
      </w:pPr>
    </w:p>
    <w:p>
      <w:pPr>
        <w:jc w:val="both"/>
        <w:ind w:left="700"/>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 Remainder of this page intentionally left blank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1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shocks presented below assume an immediate change of rate in the percentages and directions shown covering a twelve month period:</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Interest Rate Shock</w:t>
            </w:r>
          </w:p>
        </w:tc>
        <w:tc>
          <w:tcPr>
            <w:tcW w:w="1360" w:type="dxa"/>
            <w:vAlign w:val="bottom"/>
            <w:gridSpan w:val="3"/>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Interest Rate Shock</w:t>
            </w:r>
          </w:p>
        </w:tc>
        <w:tc>
          <w:tcPr>
            <w:tcW w:w="130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00" w:type="dxa"/>
            <w:vAlign w:val="bottom"/>
            <w:gridSpan w:val="7"/>
          </w:tcPr>
          <w:p>
            <w:pPr>
              <w:jc w:val="center"/>
              <w:ind w:right="1260"/>
              <w:spacing w:after="0" w:line="196" w:lineRule="exact"/>
              <w:rPr>
                <w:sz w:val="20"/>
                <w:szCs w:val="20"/>
                <w:color w:val="auto"/>
              </w:rPr>
            </w:pPr>
            <w:r>
              <w:rPr>
                <w:rFonts w:ascii="Arial" w:cs="Arial" w:eastAsia="Arial" w:hAnsi="Arial"/>
                <w:sz w:val="18"/>
                <w:szCs w:val="18"/>
                <w:color w:val="auto"/>
                <w:w w:val="92"/>
              </w:rPr>
              <w:t>on Net Interest Margin</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40" w:type="dxa"/>
            <w:vAlign w:val="bottom"/>
            <w:gridSpan w:val="7"/>
          </w:tcPr>
          <w:p>
            <w:pPr>
              <w:jc w:val="center"/>
              <w:ind w:right="1180"/>
              <w:spacing w:after="0" w:line="196" w:lineRule="exact"/>
              <w:rPr>
                <w:sz w:val="20"/>
                <w:szCs w:val="20"/>
                <w:color w:val="auto"/>
              </w:rPr>
            </w:pPr>
            <w:r>
              <w:rPr>
                <w:rFonts w:ascii="Arial" w:cs="Arial" w:eastAsia="Arial" w:hAnsi="Arial"/>
                <w:sz w:val="18"/>
                <w:szCs w:val="18"/>
                <w:color w:val="auto"/>
                <w:w w:val="91"/>
              </w:rPr>
              <w:t>on Net Interest Income</w:t>
            </w:r>
          </w:p>
        </w:tc>
      </w:tr>
      <w:tr>
        <w:trPr>
          <w:trHeight w:val="20"/>
        </w:trPr>
        <w:tc>
          <w:tcPr>
            <w:tcW w:w="88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49"/>
        </w:trPr>
        <w:tc>
          <w:tcPr>
            <w:tcW w:w="1700" w:type="dxa"/>
            <w:vAlign w:val="bottom"/>
            <w:gridSpan w:val="4"/>
          </w:tcPr>
          <w:p>
            <w:pPr>
              <w:jc w:val="center"/>
              <w:ind w:right="380"/>
              <w:spacing w:after="0"/>
              <w:rPr>
                <w:sz w:val="20"/>
                <w:szCs w:val="20"/>
                <w:color w:val="auto"/>
              </w:rPr>
            </w:pPr>
            <w:r>
              <w:rPr>
                <w:rFonts w:ascii="Arial" w:cs="Arial" w:eastAsia="Arial" w:hAnsi="Arial"/>
                <w:sz w:val="18"/>
                <w:szCs w:val="18"/>
                <w:color w:val="auto"/>
                <w:w w:val="90"/>
              </w:rPr>
              <w:t>Net Interest</w:t>
            </w:r>
          </w:p>
        </w:tc>
        <w:tc>
          <w:tcPr>
            <w:tcW w:w="2080" w:type="dxa"/>
            <w:vAlign w:val="bottom"/>
            <w:gridSpan w:val="4"/>
          </w:tcPr>
          <w:p>
            <w:pPr>
              <w:jc w:val="center"/>
              <w:ind w:right="360"/>
              <w:spacing w:after="0"/>
              <w:rPr>
                <w:sz w:val="20"/>
                <w:szCs w:val="20"/>
                <w:color w:val="auto"/>
              </w:rPr>
            </w:pPr>
            <w:r>
              <w:rPr>
                <w:rFonts w:ascii="Arial" w:cs="Arial" w:eastAsia="Arial" w:hAnsi="Arial"/>
                <w:sz w:val="18"/>
                <w:szCs w:val="18"/>
                <w:color w:val="auto"/>
                <w:w w:val="88"/>
              </w:rPr>
              <w:t>% Change to</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Rate</w:t>
            </w: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Rate</w:t>
            </w:r>
          </w:p>
        </w:tc>
        <w:tc>
          <w:tcPr>
            <w:tcW w:w="208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Cumulative</w:t>
            </w:r>
          </w:p>
        </w:tc>
        <w:tc>
          <w:tcPr>
            <w:tcW w:w="184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 Change to</w:t>
            </w:r>
          </w:p>
        </w:tc>
      </w:tr>
      <w:tr>
        <w:trPr>
          <w:trHeight w:val="230"/>
        </w:trPr>
        <w:tc>
          <w:tcPr>
            <w:tcW w:w="1700" w:type="dxa"/>
            <w:vAlign w:val="bottom"/>
            <w:gridSpan w:val="4"/>
          </w:tcPr>
          <w:p>
            <w:pPr>
              <w:jc w:val="center"/>
              <w:ind w:right="380"/>
              <w:spacing w:after="0"/>
              <w:rPr>
                <w:sz w:val="20"/>
                <w:szCs w:val="20"/>
                <w:color w:val="auto"/>
              </w:rPr>
            </w:pPr>
            <w:r>
              <w:rPr>
                <w:rFonts w:ascii="Arial" w:cs="Arial" w:eastAsia="Arial" w:hAnsi="Arial"/>
                <w:sz w:val="18"/>
                <w:szCs w:val="18"/>
                <w:color w:val="auto"/>
                <w:w w:val="94"/>
              </w:rPr>
              <w:t>Margin (Ratio)</w:t>
            </w:r>
          </w:p>
        </w:tc>
        <w:tc>
          <w:tcPr>
            <w:tcW w:w="2080" w:type="dxa"/>
            <w:vAlign w:val="bottom"/>
            <w:gridSpan w:val="4"/>
          </w:tcPr>
          <w:p>
            <w:pPr>
              <w:jc w:val="center"/>
              <w:ind w:right="380"/>
              <w:spacing w:after="0"/>
              <w:rPr>
                <w:sz w:val="20"/>
                <w:szCs w:val="20"/>
                <w:color w:val="auto"/>
              </w:rPr>
            </w:pPr>
            <w:r>
              <w:rPr>
                <w:rFonts w:ascii="Arial" w:cs="Arial" w:eastAsia="Arial" w:hAnsi="Arial"/>
                <w:sz w:val="18"/>
                <w:szCs w:val="18"/>
                <w:color w:val="auto"/>
                <w:w w:val="90"/>
              </w:rPr>
              <w:t>Flat Rate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Direction</w:t>
            </w: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Changes by</w:t>
            </w:r>
          </w:p>
        </w:tc>
        <w:tc>
          <w:tcPr>
            <w:tcW w:w="208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Total ($000)</w:t>
            </w:r>
          </w:p>
        </w:tc>
        <w:tc>
          <w:tcPr>
            <w:tcW w:w="540" w:type="dxa"/>
            <w:vAlign w:val="bottom"/>
          </w:tcPr>
          <w:p>
            <w:pPr>
              <w:spacing w:after="0"/>
              <w:rPr>
                <w:sz w:val="20"/>
                <w:szCs w:val="20"/>
                <w:color w:val="auto"/>
              </w:rPr>
            </w:pPr>
          </w:p>
        </w:tc>
        <w:tc>
          <w:tcPr>
            <w:tcW w:w="1300" w:type="dxa"/>
            <w:vAlign w:val="bottom"/>
            <w:gridSpan w:val="3"/>
          </w:tcPr>
          <w:p>
            <w:pPr>
              <w:jc w:val="center"/>
              <w:ind w:right="640"/>
              <w:spacing w:after="0"/>
              <w:rPr>
                <w:sz w:val="20"/>
                <w:szCs w:val="20"/>
                <w:color w:val="auto"/>
              </w:rPr>
            </w:pPr>
            <w:r>
              <w:rPr>
                <w:rFonts w:ascii="Arial" w:cs="Arial" w:eastAsia="Arial" w:hAnsi="Arial"/>
                <w:sz w:val="18"/>
                <w:szCs w:val="18"/>
                <w:color w:val="auto"/>
                <w:w w:val="90"/>
              </w:rPr>
              <w:t>Flat Rate</w:t>
            </w:r>
          </w:p>
        </w:tc>
      </w:tr>
      <w:tr>
        <w:trPr>
          <w:trHeight w:val="223"/>
        </w:trPr>
        <w:tc>
          <w:tcPr>
            <w:tcW w:w="1000" w:type="dxa"/>
            <w:vAlign w:val="bottom"/>
            <w:tcBorders>
              <w:top w:val="single" w:sz="8" w:color="auto"/>
            </w:tcBorders>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93"/>
              </w:rPr>
              <w:t>4.72%</w:t>
            </w:r>
          </w:p>
        </w:tc>
        <w:tc>
          <w:tcPr>
            <w:tcW w:w="3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16.25%</w:t>
            </w:r>
          </w:p>
        </w:tc>
        <w:tc>
          <w:tcPr>
            <w:tcW w:w="3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Rising</w:t>
            </w:r>
          </w:p>
        </w:tc>
        <w:tc>
          <w:tcPr>
            <w:tcW w:w="2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64,394</w:t>
            </w:r>
          </w:p>
        </w:tc>
        <w:tc>
          <w:tcPr>
            <w:tcW w:w="5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13.26%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00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4.44%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9.44%</w:t>
            </w:r>
          </w:p>
        </w:tc>
        <w:tc>
          <w:tcPr>
            <w:tcW w:w="34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Rising</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61,218</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7.68%</w:t>
            </w:r>
          </w:p>
        </w:tc>
        <w:tc>
          <w:tcPr>
            <w:tcW w:w="80" w:type="dxa"/>
            <w:vAlign w:val="bottom"/>
          </w:tcPr>
          <w:p>
            <w:pPr>
              <w:spacing w:after="0"/>
              <w:rPr>
                <w:sz w:val="19"/>
                <w:szCs w:val="19"/>
                <w:color w:val="auto"/>
              </w:rPr>
            </w:pPr>
          </w:p>
        </w:tc>
      </w:tr>
      <w:tr>
        <w:trPr>
          <w:trHeight w:val="230"/>
        </w:trPr>
        <w:tc>
          <w:tcPr>
            <w:tcW w:w="1000" w:type="dxa"/>
            <w:vAlign w:val="bottom"/>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93"/>
              </w:rPr>
              <w:t>4.16%</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0"/>
              </w:rPr>
              <w:t>2.49%</w:t>
            </w:r>
          </w:p>
        </w:tc>
        <w:tc>
          <w:tcPr>
            <w:tcW w:w="3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5"/>
              </w:rPr>
              <w:t>Rising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58,021</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2.05%</w:t>
            </w:r>
          </w:p>
        </w:tc>
        <w:tc>
          <w:tcPr>
            <w:tcW w:w="80" w:type="dxa"/>
            <w:vAlign w:val="bottom"/>
            <w:shd w:val="clear" w:color="auto" w:fill="CFF0FC"/>
          </w:tcPr>
          <w:p>
            <w:pPr>
              <w:spacing w:after="0"/>
              <w:rPr>
                <w:sz w:val="19"/>
                <w:szCs w:val="19"/>
                <w:color w:val="auto"/>
              </w:rPr>
            </w:pPr>
          </w:p>
        </w:tc>
      </w:tr>
      <w:tr>
        <w:trPr>
          <w:trHeight w:val="230"/>
        </w:trPr>
        <w:tc>
          <w:tcPr>
            <w:tcW w:w="100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4.06%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0.00%</w:t>
            </w:r>
          </w:p>
        </w:tc>
        <w:tc>
          <w:tcPr>
            <w:tcW w:w="34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Flat</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56,855</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19"/>
                <w:szCs w:val="19"/>
                <w:color w:val="auto"/>
              </w:rPr>
            </w:pPr>
          </w:p>
        </w:tc>
      </w:tr>
      <w:tr>
        <w:trPr>
          <w:trHeight w:val="230"/>
        </w:trPr>
        <w:tc>
          <w:tcPr>
            <w:tcW w:w="1000" w:type="dxa"/>
            <w:vAlign w:val="bottom"/>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93"/>
              </w:rPr>
              <w:t>3.74%</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-8.00%</w:t>
            </w:r>
          </w:p>
        </w:tc>
        <w:tc>
          <w:tcPr>
            <w:tcW w:w="3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8"/>
              </w:rPr>
              <w:t>Falling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53,190</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-6.45%</w:t>
            </w:r>
          </w:p>
        </w:tc>
        <w:tc>
          <w:tcPr>
            <w:tcW w:w="80" w:type="dxa"/>
            <w:vAlign w:val="bottom"/>
            <w:shd w:val="clear" w:color="auto" w:fill="CFF0FC"/>
          </w:tcPr>
          <w:p>
            <w:pPr>
              <w:spacing w:after="0"/>
              <w:rPr>
                <w:sz w:val="19"/>
                <w:szCs w:val="19"/>
                <w:color w:val="auto"/>
              </w:rPr>
            </w:pPr>
          </w:p>
        </w:tc>
      </w:tr>
      <w:tr>
        <w:trPr>
          <w:trHeight w:val="230"/>
        </w:trPr>
        <w:tc>
          <w:tcPr>
            <w:tcW w:w="100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3.47%</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-14.51%</w:t>
            </w:r>
          </w:p>
        </w:tc>
        <w:tc>
          <w:tcPr>
            <w:tcW w:w="34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Falling</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-2.00%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50,277</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-11.57%</w:t>
            </w:r>
          </w:p>
        </w:tc>
        <w:tc>
          <w:tcPr>
            <w:tcW w:w="80" w:type="dxa"/>
            <w:vAlign w:val="bottom"/>
          </w:tcPr>
          <w:p>
            <w:pPr>
              <w:spacing w:after="0"/>
              <w:rPr>
                <w:sz w:val="19"/>
                <w:szCs w:val="19"/>
                <w:color w:val="auto"/>
              </w:rPr>
            </w:pPr>
          </w:p>
        </w:tc>
      </w:tr>
      <w:tr>
        <w:trPr>
          <w:trHeight w:val="230"/>
        </w:trPr>
        <w:tc>
          <w:tcPr>
            <w:tcW w:w="1000" w:type="dxa"/>
            <w:vAlign w:val="bottom"/>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93"/>
              </w:rPr>
              <w:t>3.18%</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2"/>
              </w:rPr>
              <w:t>-21.82%</w:t>
            </w:r>
          </w:p>
        </w:tc>
        <w:tc>
          <w:tcPr>
            <w:tcW w:w="3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8"/>
              </w:rPr>
              <w:t>Falling</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47,234</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-16.92%</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five year period, the Bank has experienced a decrease in the time balances of our deposit portfolio, and therefore, a loss of term funding. Over the past two years, the Bank has also paid off term borrowings with the last $5 million maturing last year; however, additional borrowings were a part of the Limberlost acquisition in 2019.</w:t>
      </w:r>
    </w:p>
    <w:p>
      <w:pPr>
        <w:spacing w:after="0" w:line="137" w:lineRule="exact"/>
        <w:rPr>
          <w:sz w:val="20"/>
          <w:szCs w:val="20"/>
          <w:color w:val="auto"/>
        </w:rPr>
      </w:pPr>
    </w:p>
    <w:p>
      <w:pPr>
        <w:jc w:val="both"/>
        <w:ind w:left="760"/>
        <w:spacing w:after="0" w:line="289" w:lineRule="auto"/>
        <w:rPr>
          <w:sz w:val="20"/>
          <w:szCs w:val="20"/>
          <w:color w:val="auto"/>
        </w:rPr>
      </w:pPr>
      <w:r>
        <w:rPr>
          <w:rFonts w:ascii="Arial" w:cs="Arial" w:eastAsia="Arial" w:hAnsi="Arial"/>
          <w:sz w:val="16"/>
          <w:szCs w:val="16"/>
          <w:color w:val="auto"/>
        </w:rPr>
        <w:t>The shock chart currently shows a widening net interest margin over the next twelve months in an increasing rate environment with a tightening in a falling rate environment. Cost of funds are at 1.26% so the lowest shock of 100 basis points is where the Bank can take full advantage and reprice funds to match the level of shock. Once the shocks are falling over 100 basis points, the cost of funds cannot lower to match and the loss on net interest income continues to build. Since the average duration of the majority of the assets is outside the 12 month shock period, the rising rate environment only shows improvement.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As of March 31, 2019,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March 31, 2019 . There have been no changes in the Company's internal control over financial reporting that occurred during the quarter ended March 31, 2019 that have materially affected, or are reasonably likely to materially affect, the registrant's internal control over financial reporting.</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There have been no material changes in the risk factors disclosed by Registrant in its Report on Form 10-K for the fiscal year ended December 31, 2018.</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March 31, 2019.</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1"/>
              </w:rPr>
              <w:t>(c) Total Number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90"/>
              <w:spacing w:after="0"/>
              <w:rPr>
                <w:sz w:val="20"/>
                <w:szCs w:val="20"/>
                <w:color w:val="auto"/>
              </w:rPr>
            </w:pPr>
            <w:r>
              <w:rPr>
                <w:rFonts w:ascii="Arial" w:cs="Arial" w:eastAsia="Arial" w:hAnsi="Arial"/>
                <w:sz w:val="18"/>
                <w:szCs w:val="18"/>
                <w:color w:val="auto"/>
                <w:w w:val="86"/>
              </w:rPr>
              <w:t>of Shares Purchased</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84"/>
              </w:rPr>
              <w:t>as Part</w:t>
            </w:r>
          </w:p>
        </w:tc>
        <w:tc>
          <w:tcPr>
            <w:tcW w:w="1780" w:type="dxa"/>
            <w:vAlign w:val="bottom"/>
          </w:tcPr>
          <w:p>
            <w:pPr>
              <w:jc w:val="center"/>
              <w:spacing w:after="0"/>
              <w:rPr>
                <w:sz w:val="20"/>
                <w:szCs w:val="20"/>
                <w:color w:val="auto"/>
              </w:rPr>
            </w:pPr>
            <w:r>
              <w:rPr>
                <w:rFonts w:ascii="Arial" w:cs="Arial" w:eastAsia="Arial" w:hAnsi="Arial"/>
                <w:sz w:val="18"/>
                <w:szCs w:val="18"/>
                <w:color w:val="auto"/>
                <w:w w:val="85"/>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7"/>
              </w:rPr>
              <w:t>of Publicly</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(a) Total Number of</w:t>
            </w:r>
          </w:p>
        </w:tc>
        <w:tc>
          <w:tcPr>
            <w:tcW w:w="32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94"/>
              </w:rPr>
              <w:t>(b) Average Price</w:t>
            </w:r>
          </w:p>
        </w:tc>
        <w:tc>
          <w:tcPr>
            <w:tcW w:w="26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0"/>
              </w:rPr>
              <w:t>Announced Plan</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Period</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Shares Purchased</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Paid per Share</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 xml:space="preserve">or Programs </w:t>
            </w:r>
            <w:r>
              <w:rPr>
                <w:rFonts w:ascii="Arial" w:cs="Arial" w:eastAsia="Arial" w:hAnsi="Arial"/>
                <w:sz w:val="15"/>
                <w:szCs w:val="15"/>
                <w:color w:val="auto"/>
                <w:w w:val="91"/>
              </w:rPr>
              <w:t>(1)</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1/1/2019 to 1/31/2019</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32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rPr>
              <w:t>(2)</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680" w:type="dxa"/>
            <w:vAlign w:val="bottom"/>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2/1/2019 to 2/28/2019</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w:t>
            </w:r>
          </w:p>
        </w:tc>
        <w:tc>
          <w:tcPr>
            <w:tcW w:w="32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rPr>
              <w:t>(2)</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680" w:type="dxa"/>
            <w:vAlign w:val="bottom"/>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3/1/2019 to 3/31/2019</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140" w:hanging="376"/>
        <w:spacing w:after="0" w:line="256"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18, 2019. On that date, the Board of Directors authorized the repurchase of 500,000 common shares between January 18, 2019 and December 31, 2019.</w:t>
      </w: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which were repurchased for taxes on vested stock awards are outside of this program.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720" w:type="dxa"/>
            <w:vAlign w:val="bottom"/>
            <w:gridSpan w:val="11"/>
          </w:tcPr>
          <w:p>
            <w:pPr>
              <w:ind w:left="40"/>
              <w:spacing w:after="0"/>
              <w:rPr>
                <w:sz w:val="20"/>
                <w:szCs w:val="20"/>
                <w:color w:val="auto"/>
              </w:rPr>
            </w:pPr>
            <w:r>
              <w:rPr>
                <w:rFonts w:ascii="Arial" w:cs="Arial" w:eastAsia="Arial" w:hAnsi="Arial"/>
                <w:sz w:val="18"/>
                <w:szCs w:val="18"/>
                <w:color w:val="auto"/>
              </w:rPr>
              <w:t>ITEM 6 EXHIBITS</w:t>
            </w:r>
          </w:p>
        </w:tc>
      </w:tr>
      <w:tr>
        <w:trPr>
          <w:trHeight w:val="419"/>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10260" w:type="dxa"/>
            <w:vAlign w:val="bottom"/>
            <w:tcBorders>
              <w:bottom w:val="single" w:sz="8" w:color="0000EE"/>
            </w:tcBorders>
            <w:gridSpan w:val="9"/>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Agreement and Plan of Reorganization and Merger (incorporated by reference to Exhibit 10.1 to Registrant’s Report on Form 8-K filed with</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0"/>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the Commission on August 20, 2018).</w:t>
              </w:r>
            </w:hyperlink>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7"/>
                <w:szCs w:val="17"/>
                <w:color w:val="auto"/>
              </w:rPr>
            </w:pPr>
          </w:p>
        </w:tc>
        <w:tc>
          <w:tcPr>
            <w:tcW w:w="10280" w:type="dxa"/>
            <w:vAlign w:val="bottom"/>
            <w:gridSpan w:val="10"/>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Amended Articles of Incorporation of the Registrant (incorporated by reference to Exhibit 3.1 to Registrant’s Quarterly Report on Form 10-Q</w:t>
              </w:r>
            </w:hyperlink>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filed with the Commission on October 25, 2017).</w:t>
              </w:r>
            </w:hyperlink>
          </w:p>
        </w:tc>
        <w:tc>
          <w:tcPr>
            <w:tcW w:w="4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7"/>
                <w:szCs w:val="17"/>
                <w:color w:val="auto"/>
              </w:rPr>
            </w:pPr>
          </w:p>
        </w:tc>
        <w:tc>
          <w:tcPr>
            <w:tcW w:w="102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Amended and Restated Code of Regulations of the Registrant (incorporated by reference to Exhibit 3.2 to Registrant's Quarterly Report on</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Form 10-Q filed with the Commission on July 26, 2017).</w:t>
              </w:r>
            </w:hyperlink>
          </w:p>
        </w:tc>
        <w:tc>
          <w:tcPr>
            <w:tcW w:w="6160" w:type="dxa"/>
            <w:vAlign w:val="bottom"/>
            <w:gridSpan w:val="3"/>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Rule 13-a-14(a) Certification - CEO</w:t>
              </w:r>
            </w:hyperlink>
          </w:p>
        </w:tc>
        <w:tc>
          <w:tcPr>
            <w:tcW w:w="7660" w:type="dxa"/>
            <w:vAlign w:val="bottom"/>
            <w:gridSpan w:val="6"/>
          </w:tcPr>
          <w:p>
            <w:pPr>
              <w:spacing w:after="0"/>
              <w:rPr>
                <w:sz w:val="17"/>
                <w:szCs w:val="17"/>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Rule 13-a-14(a) Certification - CFO</w:t>
              </w:r>
            </w:hyperlink>
          </w:p>
        </w:tc>
        <w:tc>
          <w:tcPr>
            <w:tcW w:w="7680" w:type="dxa"/>
            <w:vAlign w:val="bottom"/>
            <w:gridSpan w:val="7"/>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9"/>
                <w:szCs w:val="19"/>
                <w:color w:val="auto"/>
              </w:rPr>
            </w:pPr>
          </w:p>
        </w:tc>
        <w:tc>
          <w:tcPr>
            <w:tcW w:w="24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Section 1350 Certification - CEO</w:t>
              </w:r>
            </w:hyperlink>
          </w:p>
        </w:tc>
        <w:tc>
          <w:tcPr>
            <w:tcW w:w="7860" w:type="dxa"/>
            <w:vAlign w:val="bottom"/>
            <w:gridSpan w:val="8"/>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2400" w:type="dxa"/>
            <w:vAlign w:val="bottom"/>
            <w:tcBorders>
              <w:bottom w:val="single" w:sz="8" w:color="0000EE"/>
            </w:tcBorders>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Section 1350 Certification - CFO</w:t>
              </w:r>
            </w:hyperlink>
          </w:p>
        </w:tc>
        <w:tc>
          <w:tcPr>
            <w:tcW w:w="7880" w:type="dxa"/>
            <w:vAlign w:val="bottom"/>
            <w:gridSpan w:val="9"/>
          </w:tcPr>
          <w:p>
            <w:pPr>
              <w:spacing w:after="0"/>
              <w:rPr>
                <w:sz w:val="19"/>
                <w:szCs w:val="19"/>
                <w:color w:val="auto"/>
              </w:rPr>
            </w:pPr>
          </w:p>
        </w:tc>
      </w:tr>
      <w:tr>
        <w:trPr>
          <w:trHeight w:val="507"/>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4"/>
                <w:szCs w:val="24"/>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Instance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Schem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945"/>
        </w:trPr>
        <w:tc>
          <w:tcPr>
            <w:tcW w:w="720" w:type="dxa"/>
            <w:vAlign w:val="bottom"/>
          </w:tcPr>
          <w:p>
            <w:pPr>
              <w:spacing w:after="0"/>
              <w:rPr>
                <w:sz w:val="24"/>
                <w:szCs w:val="24"/>
                <w:color w:val="auto"/>
              </w:rPr>
            </w:pPr>
          </w:p>
        </w:tc>
        <w:tc>
          <w:tcPr>
            <w:tcW w:w="10680" w:type="dxa"/>
            <w:vAlign w:val="bottom"/>
            <w:gridSpan w:val="9"/>
          </w:tcPr>
          <w:p>
            <w:pPr>
              <w:jc w:val="right"/>
              <w:ind w:right="560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ind w:left="200"/>
              <w:spacing w:after="0"/>
              <w:rPr>
                <w:sz w:val="20"/>
                <w:szCs w:val="20"/>
                <w:color w:val="auto"/>
              </w:rPr>
            </w:pPr>
            <w:r>
              <w:rPr>
                <w:rFonts w:ascii="Arial" w:cs="Arial" w:eastAsia="Arial" w:hAnsi="Arial"/>
                <w:sz w:val="18"/>
                <w:szCs w:val="18"/>
                <w:color w:val="auto"/>
              </w:rPr>
              <w:t>May 1, 2019</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Lars B. Eller</w:t>
            </w:r>
          </w:p>
        </w:tc>
      </w:tr>
      <w:tr>
        <w:trPr>
          <w:trHeight w:val="222"/>
        </w:trPr>
        <w:tc>
          <w:tcPr>
            <w:tcW w:w="6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Lars B. Eller</w:t>
            </w:r>
          </w:p>
        </w:tc>
      </w:tr>
      <w:tr>
        <w:trPr>
          <w:trHeight w:val="230"/>
        </w:trPr>
        <w:tc>
          <w:tcPr>
            <w:tcW w:w="6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0"/>
        <w:spacing w:after="0"/>
        <w:tabs>
          <w:tab w:leader="none" w:pos="1540" w:val="left"/>
          <w:tab w:leader="none" w:pos="6200" w:val="left"/>
          <w:tab w:leader="none" w:pos="6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Barbara J. Britenriker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25812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Executive Vice-President and</w:t>
      </w:r>
    </w:p>
    <w:p>
      <w:pPr>
        <w:spacing w:after="0" w:line="3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May 1,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40"/>
        <w:spacing w:after="0" w:line="342"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May 1, 2019</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2019, as filed with the Securities and Exchange Commission ("the report"), I, Lars B. Eller, President and Chief Executive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77"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color w:val="auto"/>
        </w:rPr>
        <w:t>Date:  May 1, 2019</w:t>
      </w:r>
      <w:r>
        <w:rPr>
          <w:sz w:val="20"/>
          <w:szCs w:val="20"/>
          <w:color w:val="auto"/>
        </w:rPr>
        <w:tab/>
      </w:r>
      <w:r>
        <w:rPr>
          <w:rFonts w:ascii="Arial" w:cs="Arial" w:eastAsia="Arial" w:hAnsi="Arial"/>
          <w:sz w:val="19"/>
          <w:szCs w:val="19"/>
          <w:color w:val="auto"/>
        </w:rPr>
        <w:t>/s/ Lars B. EllerLars B. Eller</w:t>
      </w:r>
    </w:p>
    <w:p>
      <w:pPr>
        <w:spacing w:after="0" w:line="4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2019,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77"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color w:val="auto"/>
        </w:rPr>
        <w:t>Date:  May 1, 2019</w:t>
      </w:r>
      <w:r>
        <w:rPr>
          <w:sz w:val="20"/>
          <w:szCs w:val="20"/>
          <w:color w:val="auto"/>
        </w:rPr>
        <w:tab/>
      </w:r>
      <w:r>
        <w:rPr>
          <w:rFonts w:ascii="Arial" w:cs="Arial" w:eastAsia="Arial" w:hAnsi="Arial"/>
          <w:sz w:val="19"/>
          <w:szCs w:val="19"/>
          <w:color w:val="auto"/>
        </w:rPr>
        <w:t>/s/ Barbara J. BritenrikerBarbara J. Britenriker</w:t>
      </w:r>
    </w:p>
    <w:p>
      <w:pPr>
        <w:spacing w:after="0" w:line="26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3"/>
    </w:lvl>
    <w:lvl w:ilvl="1">
      <w:lvlJc w:val="left"/>
      <w:lvlText w:val="%2."/>
      <w:numFmt w:val="lowerLetter"/>
      <w:start w:val="1"/>
    </w:lvl>
  </w:abstractNum>
  <w:abstractNum w:abstractNumId="10">
    <w:nsid w:val="257130A3"/>
    <w:multiLevelType w:val="hybridMultilevel"/>
    <w:lvl w:ilvl="0">
      <w:lvlJc w:val="left"/>
      <w:lvlText w:val="%1."/>
      <w:numFmt w:val="decimal"/>
      <w:start w:val="8"/>
    </w:lvl>
    <w:lvl w:ilvl="1">
      <w:lvlJc w:val="left"/>
      <w:lvlText w:val="%2."/>
      <w:numFmt w:val="lowerLetter"/>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o"/>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95" Type="http://schemas.openxmlformats.org/officeDocument/2006/relationships/hyperlink" Target="http://www.sec.gov/Archives/edgar/data/792966/000119312518252366/d596239d8k.htm" TargetMode="External"/><Relationship Id="rId96" Type="http://schemas.openxmlformats.org/officeDocument/2006/relationships/hyperlink" Target="http://www.sec.gov/Archives/edgar/data/792966/000119312517318709/d447990d10q.htm" TargetMode="External"/><Relationship Id="rId97" Type="http://schemas.openxmlformats.org/officeDocument/2006/relationships/hyperlink" Target="http://www.sec.gov/Archives/edgar/data/792966/000119312517235925/d422994d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2020-02-26T11:42:40Z</dcterms:created>
  <dcterms:modified xsi:type="dcterms:W3CDTF">2020-02-26T11:42:40Z</dcterms:modified>
</cp:coreProperties>
</file>