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81915</wp:posOffset>
            </wp:positionV>
            <wp:extent cx="1929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8"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117475</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7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June 30, 2018</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4193540</wp:posOffset>
            </wp:positionH>
            <wp:positionV relativeFrom="paragraph">
              <wp:posOffset>-7620</wp:posOffset>
            </wp:positionV>
            <wp:extent cx="219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91440</wp:posOffset>
            </wp:positionV>
            <wp:extent cx="1929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90170</wp:posOffset>
            </wp:positionV>
            <wp:extent cx="1929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53" w:lineRule="exact"/>
        <w:rPr>
          <w:sz w:val="24"/>
          <w:szCs w:val="24"/>
          <w:color w:val="auto"/>
        </w:rPr>
      </w:pPr>
    </w:p>
    <w:tbl>
      <w:tblPr>
        <w:tblLayout w:type="fixed"/>
        <w:tblInd w:w="1260" w:type="dxa"/>
        <w:tblCellMar>
          <w:top w:w="0" w:type="dxa"/>
          <w:left w:w="0" w:type="dxa"/>
          <w:bottom w:w="0" w:type="dxa"/>
          <w:right w:w="0" w:type="dxa"/>
        </w:tblCellMar>
      </w:tblPr>
      <w:tr>
        <w:trPr>
          <w:trHeight w:val="225"/>
        </w:trPr>
        <w:tc>
          <w:tcPr>
            <w:tcW w:w="4980" w:type="dxa"/>
            <w:vAlign w:val="bottom"/>
          </w:tcPr>
          <w:p>
            <w:pPr>
              <w:jc w:val="center"/>
              <w:ind w:right="1701"/>
              <w:spacing w:after="0"/>
              <w:rPr>
                <w:sz w:val="20"/>
                <w:szCs w:val="20"/>
                <w:color w:val="auto"/>
              </w:rPr>
            </w:pPr>
            <w:r>
              <w:rPr>
                <w:rFonts w:ascii="Arial" w:cs="Arial" w:eastAsia="Arial" w:hAnsi="Arial"/>
                <w:sz w:val="18"/>
                <w:szCs w:val="18"/>
                <w:b w:val="1"/>
                <w:bCs w:val="1"/>
                <w:color w:val="auto"/>
              </w:rPr>
              <w:t>OHIO</w:t>
            </w:r>
          </w:p>
        </w:tc>
        <w:tc>
          <w:tcPr>
            <w:tcW w:w="2880" w:type="dxa"/>
            <w:vAlign w:val="bottom"/>
          </w:tcPr>
          <w:p>
            <w:pPr>
              <w:jc w:val="right"/>
              <w:ind w:right="41"/>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4980" w:type="dxa"/>
            <w:vAlign w:val="bottom"/>
          </w:tcPr>
          <w:p>
            <w:pPr>
              <w:jc w:val="center"/>
              <w:ind w:right="17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80" w:type="dxa"/>
            <w:vAlign w:val="bottom"/>
          </w:tcPr>
          <w:p>
            <w:pPr>
              <w:jc w:val="center"/>
              <w:ind w:right="1701"/>
              <w:spacing w:after="0"/>
              <w:rPr>
                <w:sz w:val="20"/>
                <w:szCs w:val="20"/>
                <w:color w:val="auto"/>
              </w:rPr>
            </w:pPr>
            <w:r>
              <w:rPr>
                <w:rFonts w:ascii="Arial" w:cs="Arial" w:eastAsia="Arial" w:hAnsi="Arial"/>
                <w:sz w:val="14"/>
                <w:szCs w:val="14"/>
                <w:b w:val="1"/>
                <w:bCs w:val="1"/>
                <w:color w:val="auto"/>
                <w:w w:val="94"/>
              </w:rPr>
              <w:t>incorporation or organization)</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4980" w:type="dxa"/>
            <w:vAlign w:val="bottom"/>
          </w:tcPr>
          <w:p>
            <w:pPr>
              <w:jc w:val="center"/>
              <w:ind w:right="170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288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86"/>
        </w:trPr>
        <w:tc>
          <w:tcPr>
            <w:tcW w:w="4980" w:type="dxa"/>
            <w:vAlign w:val="bottom"/>
          </w:tcPr>
          <w:p>
            <w:pPr>
              <w:jc w:val="center"/>
              <w:ind w:right="170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88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(419) 446-2501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107950</wp:posOffset>
            </wp:positionV>
            <wp:extent cx="1929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35"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56" w:right="239" w:bottom="1440" w:gutter="0" w:footer="0" w:header="0"/>
        </w:sectPr>
      </w:pP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84" w:lineRule="exact"/>
        <w:tabs>
          <w:tab w:leader="none" w:pos="6480" w:val="left"/>
          <w:tab w:leader="none" w:pos="88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84" w:lineRule="exact"/>
        <w:tabs>
          <w:tab w:leader="none" w:pos="6480" w:val="left"/>
          <w:tab w:leader="none" w:pos="888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6" w:lineRule="exact"/>
        <w:rPr>
          <w:sz w:val="24"/>
          <w:szCs w:val="24"/>
          <w:color w:val="auto"/>
        </w:rPr>
      </w:pPr>
    </w:p>
    <w:p>
      <w:pPr>
        <w:sectPr>
          <w:pgSz w:w="11900" w:h="16838" w:orient="portrait"/>
          <w:cols w:equalWidth="0" w:num="2">
            <w:col w:w="1780" w:space="500"/>
            <w:col w:w="9140"/>
          </w:cols>
          <w:pgMar w:left="240" w:top="756" w:right="239" w:bottom="1440" w:gutter="0" w:footer="0" w:header="0"/>
          <w:type w:val="continuous"/>
        </w:sectPr>
      </w:pPr>
    </w:p>
    <w:p>
      <w:pPr>
        <w:ind w:right="4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Indicated by check mark whether the registrant is a shell company (as defined in Rule 12b-2 of the Exchange Act).</w:t>
      </w:r>
    </w:p>
    <w:p>
      <w:pPr>
        <w:spacing w:after="0" w:line="56" w:lineRule="exact"/>
        <w:rPr>
          <w:sz w:val="24"/>
          <w:szCs w:val="24"/>
          <w:color w:val="auto"/>
        </w:rPr>
      </w:pPr>
    </w:p>
    <w:p>
      <w:pPr>
        <w:spacing w:after="0" w:line="184" w:lineRule="exact"/>
        <w:tabs>
          <w:tab w:leader="none" w:pos="5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of each of the issuers’ classes of common stock, as of the latest practicable date:</w:t>
      </w:r>
    </w:p>
    <w:p>
      <w:pPr>
        <w:spacing w:after="0" w:line="100" w:lineRule="exact"/>
        <w:rPr>
          <w:sz w:val="24"/>
          <w:szCs w:val="24"/>
          <w:color w:val="auto"/>
        </w:rPr>
      </w:pPr>
    </w:p>
    <w:p>
      <w:pPr>
        <w:ind w:left="1980"/>
        <w:spacing w:after="0"/>
        <w:tabs>
          <w:tab w:leader="none" w:pos="8300" w:val="left"/>
        </w:tabs>
        <w:rPr>
          <w:sz w:val="20"/>
          <w:szCs w:val="20"/>
          <w:color w:val="auto"/>
        </w:rPr>
      </w:pPr>
      <w:r>
        <w:rPr>
          <w:rFonts w:ascii="Arial" w:cs="Arial" w:eastAsia="Arial" w:hAnsi="Arial"/>
          <w:sz w:val="16"/>
          <w:szCs w:val="16"/>
          <w:u w:val="single" w:color="auto"/>
          <w:color w:val="auto"/>
        </w:rPr>
        <w:t>Common Stock, No Par Value</w:t>
      </w:r>
      <w:r>
        <w:rPr>
          <w:sz w:val="20"/>
          <w:szCs w:val="20"/>
          <w:color w:val="auto"/>
        </w:rPr>
        <w:tab/>
      </w:r>
      <w:r>
        <w:rPr>
          <w:rFonts w:ascii="Arial" w:cs="Arial" w:eastAsia="Arial" w:hAnsi="Arial"/>
          <w:sz w:val="14"/>
          <w:szCs w:val="14"/>
          <w:u w:val="single" w:color="auto"/>
          <w:color w:val="auto"/>
        </w:rPr>
        <w:t>9,263,910</w:t>
      </w:r>
    </w:p>
    <w:p>
      <w:pPr>
        <w:spacing w:after="0" w:line="22" w:lineRule="exact"/>
        <w:rPr>
          <w:sz w:val="24"/>
          <w:szCs w:val="24"/>
          <w:color w:val="auto"/>
        </w:rPr>
      </w:pPr>
    </w:p>
    <w:p>
      <w:pPr>
        <w:ind w:left="2760"/>
        <w:spacing w:after="0"/>
        <w:tabs>
          <w:tab w:leader="none" w:pos="7620" w:val="left"/>
        </w:tabs>
        <w:rPr>
          <w:sz w:val="20"/>
          <w:szCs w:val="20"/>
          <w:color w:val="auto"/>
        </w:rPr>
      </w:pPr>
      <w:r>
        <w:rPr>
          <w:rFonts w:ascii="Arial" w:cs="Arial" w:eastAsia="Arial" w:hAnsi="Arial"/>
          <w:sz w:val="16"/>
          <w:szCs w:val="16"/>
          <w:color w:val="auto"/>
        </w:rPr>
        <w:t>Class</w:t>
      </w:r>
      <w:r>
        <w:rPr>
          <w:sz w:val="20"/>
          <w:szCs w:val="20"/>
          <w:color w:val="auto"/>
        </w:rPr>
        <w:tab/>
      </w:r>
      <w:r>
        <w:rPr>
          <w:rFonts w:ascii="Arial" w:cs="Arial" w:eastAsia="Arial" w:hAnsi="Arial"/>
          <w:sz w:val="16"/>
          <w:szCs w:val="16"/>
          <w:color w:val="auto"/>
        </w:rPr>
        <w:t>Outstanding as of July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Form 10-Q Items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60" w:type="dxa"/>
            <w:vAlign w:val="bottom"/>
          </w:tcPr>
          <w:p>
            <w:pPr>
              <w:ind w:left="2180"/>
              <w:spacing w:after="0"/>
              <w:rPr>
                <w:sz w:val="20"/>
                <w:szCs w:val="20"/>
                <w:color w:val="auto"/>
              </w:rPr>
            </w:pPr>
            <w:r>
              <w:rPr>
                <w:rFonts w:ascii="Arial" w:cs="Arial" w:eastAsia="Arial" w:hAnsi="Arial"/>
                <w:sz w:val="18"/>
                <w:szCs w:val="18"/>
                <w:color w:val="auto"/>
                <w:w w:val="85"/>
              </w:rPr>
              <w:t>Page</w:t>
            </w:r>
          </w:p>
        </w:tc>
      </w:tr>
      <w:tr>
        <w:trPr>
          <w:trHeight w:val="237"/>
        </w:trPr>
        <w:tc>
          <w:tcPr>
            <w:tcW w:w="12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780" w:type="dxa"/>
            <w:vAlign w:val="bottom"/>
          </w:tcPr>
          <w:p>
            <w:pPr>
              <w:spacing w:after="0"/>
              <w:rPr>
                <w:sz w:val="20"/>
                <w:szCs w:val="20"/>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3240" w:type="dxa"/>
            <w:vAlign w:val="bottom"/>
            <w:gridSpan w:val="12"/>
          </w:tcPr>
          <w:p>
            <w:pPr>
              <w:spacing w:after="0"/>
              <w:rPr>
                <w:sz w:val="20"/>
                <w:szCs w:val="20"/>
                <w:color w:val="auto"/>
              </w:rPr>
            </w:pPr>
          </w:p>
        </w:tc>
        <w:tc>
          <w:tcPr>
            <w:tcW w:w="2560" w:type="dxa"/>
            <w:vAlign w:val="bottom"/>
          </w:tcPr>
          <w:p>
            <w:pPr>
              <w:spacing w:after="0"/>
              <w:rPr>
                <w:sz w:val="20"/>
                <w:szCs w:val="20"/>
                <w:color w:val="auto"/>
              </w:rPr>
            </w:pPr>
          </w:p>
        </w:tc>
      </w:tr>
      <w:tr>
        <w:trPr>
          <w:trHeight w:val="372"/>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3080" w:type="dxa"/>
            <w:vAlign w:val="bottom"/>
            <w:gridSpan w:val="10"/>
          </w:tcPr>
          <w:p>
            <w:pPr>
              <w:spacing w:after="0"/>
              <w:rPr>
                <w:sz w:val="24"/>
                <w:szCs w:val="24"/>
                <w:color w:val="auto"/>
              </w:rPr>
            </w:pPr>
          </w:p>
        </w:tc>
        <w:tc>
          <w:tcPr>
            <w:tcW w:w="2560" w:type="dxa"/>
            <w:vAlign w:val="bottom"/>
          </w:tcPr>
          <w:p>
            <w:pPr>
              <w:spacing w:after="0"/>
              <w:rPr>
                <w:sz w:val="24"/>
                <w:szCs w:val="24"/>
                <w:color w:val="auto"/>
              </w:rPr>
            </w:pP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2500" w:type="dxa"/>
            <w:vAlign w:val="bottom"/>
            <w:gridSpan w:val="9"/>
          </w:tcPr>
          <w:p>
            <w:pPr>
              <w:spacing w:after="0"/>
              <w:rPr>
                <w:sz w:val="24"/>
                <w:szCs w:val="24"/>
                <w:color w:val="auto"/>
              </w:rPr>
            </w:pPr>
          </w:p>
        </w:tc>
        <w:tc>
          <w:tcPr>
            <w:tcW w:w="25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June 30, 2018 and December 31, 2017</w:t>
              </w:r>
            </w:hyperlink>
          </w:p>
        </w:tc>
        <w:tc>
          <w:tcPr>
            <w:tcW w:w="2480" w:type="dxa"/>
            <w:vAlign w:val="bottom"/>
            <w:gridSpan w:val="8"/>
          </w:tcPr>
          <w:p>
            <w:pPr>
              <w:spacing w:after="0"/>
              <w:rPr>
                <w:sz w:val="17"/>
                <w:szCs w:val="17"/>
                <w:color w:val="auto"/>
              </w:rPr>
            </w:pPr>
          </w:p>
        </w:tc>
        <w:tc>
          <w:tcPr>
            <w:tcW w:w="2560" w:type="dxa"/>
            <w:vAlign w:val="bottom"/>
          </w:tcPr>
          <w:p>
            <w:pPr>
              <w:jc w:val="center"/>
              <w:ind w:left="2050"/>
              <w:spacing w:after="0" w:line="196" w:lineRule="exact"/>
              <w:rPr>
                <w:sz w:val="20"/>
                <w:szCs w:val="20"/>
                <w:color w:val="auto"/>
              </w:rPr>
            </w:pPr>
            <w:r>
              <w:rPr>
                <w:rFonts w:ascii="Arial" w:cs="Arial" w:eastAsia="Arial" w:hAnsi="Arial"/>
                <w:sz w:val="18"/>
                <w:szCs w:val="18"/>
                <w:color w:val="auto"/>
                <w:w w:val="99"/>
              </w:rPr>
              <w:t>3</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0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&amp; Comprehensive Income -</w:t>
              </w:r>
            </w:hyperlink>
          </w:p>
        </w:tc>
        <w:tc>
          <w:tcPr>
            <w:tcW w:w="25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Three and Six Months Ended June 30, 2018 and June 30, 2017</w:t>
              </w:r>
            </w:hyperlink>
          </w:p>
        </w:tc>
        <w:tc>
          <w:tcPr>
            <w:tcW w:w="740" w:type="dxa"/>
            <w:vAlign w:val="bottom"/>
          </w:tcPr>
          <w:p>
            <w:pPr>
              <w:spacing w:after="0"/>
              <w:rPr>
                <w:sz w:val="17"/>
                <w:szCs w:val="17"/>
                <w:color w:val="auto"/>
              </w:rPr>
            </w:pPr>
          </w:p>
        </w:tc>
        <w:tc>
          <w:tcPr>
            <w:tcW w:w="2560" w:type="dxa"/>
            <w:vAlign w:val="bottom"/>
          </w:tcPr>
          <w:p>
            <w:pPr>
              <w:jc w:val="center"/>
              <w:ind w:left="2030"/>
              <w:spacing w:after="0" w:line="196" w:lineRule="exact"/>
              <w:rPr>
                <w:sz w:val="20"/>
                <w:szCs w:val="20"/>
                <w:color w:val="auto"/>
              </w:rPr>
            </w:pPr>
            <w:r>
              <w:rPr>
                <w:rFonts w:ascii="Arial" w:cs="Arial" w:eastAsia="Arial" w:hAnsi="Arial"/>
                <w:sz w:val="18"/>
                <w:szCs w:val="18"/>
                <w:color w:val="auto"/>
                <w:w w:val="92"/>
              </w:rPr>
              <w:t>4-5</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1680" w:type="dxa"/>
            <w:vAlign w:val="bottom"/>
            <w:gridSpan w:val="7"/>
          </w:tcPr>
          <w:p>
            <w:pPr>
              <w:spacing w:after="0"/>
              <w:rPr>
                <w:sz w:val="24"/>
                <w:szCs w:val="24"/>
                <w:color w:val="auto"/>
              </w:rPr>
            </w:pPr>
          </w:p>
        </w:tc>
        <w:tc>
          <w:tcPr>
            <w:tcW w:w="25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6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Six Months Ended June 30, 2018 and June 30, 2017</w:t>
              </w:r>
            </w:hyperlink>
          </w:p>
        </w:tc>
        <w:tc>
          <w:tcPr>
            <w:tcW w:w="2560" w:type="dxa"/>
            <w:vAlign w:val="bottom"/>
          </w:tcPr>
          <w:p>
            <w:pPr>
              <w:jc w:val="center"/>
              <w:ind w:left="2050"/>
              <w:spacing w:after="0" w:line="196" w:lineRule="exact"/>
              <w:rPr>
                <w:sz w:val="20"/>
                <w:szCs w:val="20"/>
                <w:color w:val="auto"/>
              </w:rPr>
            </w:pPr>
            <w:r>
              <w:rPr>
                <w:rFonts w:ascii="Arial" w:cs="Arial" w:eastAsia="Arial" w:hAnsi="Arial"/>
                <w:sz w:val="18"/>
                <w:szCs w:val="18"/>
                <w:color w:val="auto"/>
                <w:w w:val="99"/>
              </w:rPr>
              <w:t>6</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1500" w:type="dxa"/>
            <w:vAlign w:val="bottom"/>
            <w:gridSpan w:val="5"/>
          </w:tcPr>
          <w:p>
            <w:pPr>
              <w:spacing w:after="0"/>
              <w:rPr>
                <w:sz w:val="24"/>
                <w:szCs w:val="24"/>
                <w:color w:val="auto"/>
              </w:rPr>
            </w:pPr>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94"/>
              </w:rPr>
              <w:t>7-36</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Management's Discussion and Analysis of Financial Condition</w:t>
              </w:r>
            </w:hyperlink>
          </w:p>
        </w:tc>
        <w:tc>
          <w:tcPr>
            <w:tcW w:w="92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r>
      <w:tr>
        <w:trPr>
          <w:trHeight w:val="196"/>
        </w:trPr>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6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and Results of Operations</w:t>
              </w:r>
            </w:hyperlink>
          </w:p>
        </w:tc>
        <w:tc>
          <w:tcPr>
            <w:tcW w:w="2560" w:type="dxa"/>
            <w:vAlign w:val="bottom"/>
          </w:tcPr>
          <w:p>
            <w:pPr>
              <w:jc w:val="center"/>
              <w:ind w:left="2050"/>
              <w:spacing w:after="0" w:line="196" w:lineRule="exact"/>
              <w:rPr>
                <w:sz w:val="20"/>
                <w:szCs w:val="20"/>
                <w:color w:val="auto"/>
              </w:rPr>
            </w:pPr>
            <w:r>
              <w:rPr>
                <w:rFonts w:ascii="Arial" w:cs="Arial" w:eastAsia="Arial" w:hAnsi="Arial"/>
                <w:sz w:val="18"/>
                <w:szCs w:val="18"/>
                <w:color w:val="auto"/>
                <w:w w:val="91"/>
              </w:rPr>
              <w:t>37-52</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Qualitative and Quantitative Disclosures About Market Risk</w:t>
              </w:r>
            </w:hyperlink>
          </w:p>
        </w:tc>
        <w:tc>
          <w:tcPr>
            <w:tcW w:w="1140" w:type="dxa"/>
            <w:vAlign w:val="bottom"/>
            <w:gridSpan w:val="3"/>
          </w:tcPr>
          <w:p>
            <w:pPr>
              <w:spacing w:after="0"/>
              <w:rPr>
                <w:sz w:val="24"/>
                <w:szCs w:val="24"/>
                <w:color w:val="auto"/>
              </w:rPr>
            </w:pPr>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53</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Controls and Procedures</w:t>
              </w:r>
            </w:hyperlink>
          </w:p>
        </w:tc>
        <w:tc>
          <w:tcPr>
            <w:tcW w:w="3720" w:type="dxa"/>
            <w:vAlign w:val="bottom"/>
            <w:gridSpan w:val="15"/>
          </w:tcPr>
          <w:p>
            <w:pPr>
              <w:spacing w:after="0"/>
              <w:rPr>
                <w:sz w:val="24"/>
                <w:szCs w:val="24"/>
                <w:color w:val="auto"/>
              </w:rPr>
            </w:pPr>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54</w:t>
            </w:r>
          </w:p>
        </w:tc>
      </w:tr>
      <w:tr>
        <w:trPr>
          <w:trHeight w:val="358"/>
        </w:trPr>
        <w:tc>
          <w:tcPr>
            <w:tcW w:w="12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80" w:type="dxa"/>
            <w:vAlign w:val="bottom"/>
          </w:tcPr>
          <w:p>
            <w:pPr>
              <w:spacing w:after="0"/>
              <w:rPr>
                <w:sz w:val="24"/>
                <w:szCs w:val="24"/>
                <w:color w:val="auto"/>
              </w:rPr>
            </w:pPr>
          </w:p>
        </w:tc>
        <w:tc>
          <w:tcPr>
            <w:tcW w:w="55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3620" w:type="dxa"/>
            <w:vAlign w:val="bottom"/>
            <w:gridSpan w:val="14"/>
          </w:tcPr>
          <w:p>
            <w:pPr>
              <w:spacing w:after="0"/>
              <w:rPr>
                <w:sz w:val="24"/>
                <w:szCs w:val="24"/>
                <w:color w:val="auto"/>
              </w:rPr>
            </w:pPr>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54</w:t>
            </w:r>
          </w:p>
        </w:tc>
      </w:tr>
      <w:tr>
        <w:trPr>
          <w:trHeight w:val="358"/>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780" w:type="dxa"/>
            <w:vAlign w:val="bottom"/>
          </w:tcPr>
          <w:p>
            <w:pPr>
              <w:spacing w:after="0"/>
              <w:rPr>
                <w:sz w:val="24"/>
                <w:szCs w:val="24"/>
                <w:color w:val="auto"/>
              </w:rPr>
            </w:pPr>
          </w:p>
        </w:tc>
        <w:tc>
          <w:tcPr>
            <w:tcW w:w="55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54</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7"/>
          </w:tcPr>
          <w:p>
            <w:pPr>
              <w:spacing w:after="0"/>
              <w:rPr>
                <w:sz w:val="24"/>
                <w:szCs w:val="24"/>
                <w:color w:val="auto"/>
              </w:rPr>
            </w:pPr>
          </w:p>
        </w:tc>
        <w:tc>
          <w:tcPr>
            <w:tcW w:w="1160" w:type="dxa"/>
            <w:vAlign w:val="bottom"/>
            <w:gridSpan w:val="4"/>
          </w:tcPr>
          <w:p>
            <w:pPr>
              <w:spacing w:after="0"/>
              <w:rPr>
                <w:sz w:val="24"/>
                <w:szCs w:val="24"/>
                <w:color w:val="auto"/>
              </w:rPr>
            </w:pPr>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3740" w:type="dxa"/>
            <w:vAlign w:val="bottom"/>
            <w:gridSpan w:val="16"/>
          </w:tcPr>
          <w:p>
            <w:pPr>
              <w:spacing w:after="0"/>
              <w:rPr>
                <w:sz w:val="24"/>
                <w:szCs w:val="24"/>
                <w:color w:val="auto"/>
              </w:rPr>
            </w:pPr>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0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55</w:t>
            </w:r>
          </w:p>
        </w:tc>
      </w:tr>
      <w:tr>
        <w:trPr>
          <w:trHeight w:val="358"/>
        </w:trPr>
        <w:tc>
          <w:tcPr>
            <w:tcW w:w="126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7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jc w:val="center"/>
              <w:ind w:left="2050"/>
              <w:spacing w:after="0"/>
              <w:rPr>
                <w:sz w:val="20"/>
                <w:szCs w:val="20"/>
                <w:color w:val="auto"/>
              </w:rPr>
            </w:pPr>
            <w:r>
              <w:rPr>
                <w:rFonts w:ascii="Arial" w:cs="Arial" w:eastAsia="Arial" w:hAnsi="Arial"/>
                <w:sz w:val="18"/>
                <w:szCs w:val="18"/>
                <w:color w:val="auto"/>
                <w:w w:val="89"/>
              </w:rPr>
              <w:t>56</w:t>
            </w:r>
          </w:p>
        </w:tc>
      </w:tr>
      <w:tr>
        <w:trPr>
          <w:trHeight w:val="412"/>
        </w:trPr>
        <w:tc>
          <w:tcPr>
            <w:tcW w:w="7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00" w:type="dxa"/>
            <w:vAlign w:val="bottom"/>
            <w:gridSpan w:val="22"/>
          </w:tcPr>
          <w:p>
            <w:pPr>
              <w:spacing w:after="0"/>
              <w:rPr>
                <w:sz w:val="20"/>
                <w:szCs w:val="20"/>
                <w:color w:val="auto"/>
              </w:rPr>
            </w:pPr>
            <w:r>
              <w:rPr>
                <w:rFonts w:ascii="Arial" w:cs="Arial" w:eastAsia="Arial" w:hAnsi="Arial"/>
                <w:sz w:val="18"/>
                <w:szCs w:val="18"/>
                <w:color w:val="auto"/>
              </w:rPr>
              <w:t>XBRL Instance Document (1)</w:t>
            </w:r>
          </w:p>
        </w:tc>
        <w:tc>
          <w:tcPr>
            <w:tcW w:w="2560" w:type="dxa"/>
            <w:vAlign w:val="bottom"/>
          </w:tcPr>
          <w:p>
            <w:pPr>
              <w:spacing w:after="0"/>
              <w:rPr>
                <w:sz w:val="24"/>
                <w:szCs w:val="24"/>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2"/>
                <w:szCs w:val="22"/>
                <w:color w:val="auto"/>
              </w:rPr>
            </w:pPr>
          </w:p>
        </w:tc>
        <w:tc>
          <w:tcPr>
            <w:tcW w:w="5500" w:type="dxa"/>
            <w:vAlign w:val="bottom"/>
            <w:gridSpan w:val="22"/>
          </w:tcPr>
          <w:p>
            <w:pPr>
              <w:spacing w:after="0"/>
              <w:rPr>
                <w:sz w:val="20"/>
                <w:szCs w:val="20"/>
                <w:color w:val="auto"/>
              </w:rPr>
            </w:pPr>
            <w:r>
              <w:rPr>
                <w:rFonts w:ascii="Arial" w:cs="Arial" w:eastAsia="Arial" w:hAnsi="Arial"/>
                <w:sz w:val="18"/>
                <w:szCs w:val="18"/>
                <w:color w:val="auto"/>
              </w:rPr>
              <w:t>XBRL Taxonomy Extension Scheme Document (1)</w:t>
            </w:r>
          </w:p>
        </w:tc>
        <w:tc>
          <w:tcPr>
            <w:tcW w:w="256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2"/>
                <w:szCs w:val="22"/>
                <w:color w:val="auto"/>
              </w:rPr>
            </w:pPr>
          </w:p>
        </w:tc>
        <w:tc>
          <w:tcPr>
            <w:tcW w:w="550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256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2"/>
                <w:szCs w:val="22"/>
                <w:color w:val="auto"/>
              </w:rPr>
            </w:pPr>
          </w:p>
        </w:tc>
        <w:tc>
          <w:tcPr>
            <w:tcW w:w="550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256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2"/>
                <w:szCs w:val="22"/>
                <w:color w:val="auto"/>
              </w:rPr>
            </w:pPr>
          </w:p>
        </w:tc>
        <w:tc>
          <w:tcPr>
            <w:tcW w:w="550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 (1)</w:t>
            </w:r>
          </w:p>
        </w:tc>
        <w:tc>
          <w:tcPr>
            <w:tcW w:w="256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2"/>
                <w:szCs w:val="22"/>
                <w:color w:val="auto"/>
              </w:rPr>
            </w:pPr>
          </w:p>
        </w:tc>
        <w:tc>
          <w:tcPr>
            <w:tcW w:w="550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2560" w:type="dxa"/>
            <w:vAlign w:val="bottom"/>
          </w:tcPr>
          <w:p>
            <w:pPr>
              <w:spacing w:after="0"/>
              <w:rPr>
                <w:sz w:val="22"/>
                <w:szCs w:val="22"/>
                <w:color w:val="auto"/>
              </w:rPr>
            </w:pPr>
          </w:p>
        </w:tc>
      </w:tr>
    </w:tbl>
    <w:p>
      <w:pPr>
        <w:spacing w:after="0" w:line="202" w:lineRule="exact"/>
        <w:rPr>
          <w:sz w:val="20"/>
          <w:szCs w:val="20"/>
          <w:color w:val="auto"/>
        </w:rPr>
      </w:pPr>
    </w:p>
    <w:p>
      <w:pPr>
        <w:jc w:val="both"/>
        <w:ind w:left="380" w:hanging="372"/>
        <w:spacing w:after="0" w:line="26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4"/>
          </w:tcPr>
          <w:p>
            <w:pPr>
              <w:jc w:val="right"/>
              <w:ind w:right="1230"/>
              <w:spacing w:after="0"/>
              <w:rPr>
                <w:sz w:val="20"/>
                <w:szCs w:val="20"/>
                <w:color w:val="auto"/>
              </w:rPr>
            </w:pPr>
            <w:r>
              <w:rPr>
                <w:rFonts w:ascii="Arial" w:cs="Arial" w:eastAsia="Arial" w:hAnsi="Arial"/>
                <w:sz w:val="18"/>
                <w:szCs w:val="18"/>
                <w:color w:val="auto"/>
              </w:rPr>
              <w:t>(in thousands of dollars)</w:t>
            </w:r>
          </w:p>
        </w:tc>
      </w:tr>
      <w:tr>
        <w:trPr>
          <w:trHeight w:val="230"/>
        </w:trPr>
        <w:tc>
          <w:tcPr>
            <w:tcW w:w="6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8"/>
                <w:szCs w:val="18"/>
                <w:color w:val="auto"/>
                <w:w w:val="87"/>
              </w:rPr>
              <w:t>June 30, 2018</w:t>
            </w: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3"/>
              </w:rPr>
              <w:t>December 31, 2017</w:t>
            </w:r>
          </w:p>
        </w:tc>
      </w:tr>
      <w:tr>
        <w:trPr>
          <w:trHeight w:val="223"/>
        </w:trPr>
        <w:tc>
          <w:tcPr>
            <w:tcW w:w="6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31,838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33,480</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987</w:t>
            </w:r>
          </w:p>
        </w:tc>
      </w:tr>
      <w:tr>
        <w:trPr>
          <w:trHeight w:val="223"/>
        </w:trPr>
        <w:tc>
          <w:tcPr>
            <w:tcW w:w="644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32,564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34,467</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4,018</w:t>
            </w: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187,036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196,398</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3,717</w:t>
            </w: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1,221</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824,226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816,156</w:t>
            </w: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21,957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21,726</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4,074</w:t>
            </w: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2,356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2,299</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674</w:t>
            </w: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14,692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14,523</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9,129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7,736</w:t>
            </w:r>
          </w:p>
        </w:tc>
      </w:tr>
      <w:tr>
        <w:trPr>
          <w:trHeight w:val="263"/>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1,105,332</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1,107,009</w:t>
            </w:r>
          </w:p>
        </w:tc>
      </w:tr>
      <w:tr>
        <w:trPr>
          <w:trHeight w:val="21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Liabilities and Stockholders' Equity</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4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1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200,067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199,114</w:t>
            </w:r>
          </w:p>
        </w:tc>
      </w:tr>
      <w:tr>
        <w:trPr>
          <w:trHeight w:val="230"/>
        </w:trPr>
        <w:tc>
          <w:tcPr>
            <w:tcW w:w="64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4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311,185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298,711</w:t>
            </w:r>
          </w:p>
        </w:tc>
      </w:tr>
      <w:tr>
        <w:trPr>
          <w:trHeight w:val="230"/>
        </w:trPr>
        <w:tc>
          <w:tcPr>
            <w:tcW w:w="644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238,167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233,949</w:t>
            </w:r>
          </w:p>
        </w:tc>
      </w:tr>
      <w:tr>
        <w:trPr>
          <w:trHeight w:val="230"/>
        </w:trPr>
        <w:tc>
          <w:tcPr>
            <w:tcW w:w="64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181,347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187,566</w:t>
            </w:r>
          </w:p>
        </w:tc>
      </w:tr>
      <w:tr>
        <w:trPr>
          <w:trHeight w:val="223"/>
        </w:trPr>
        <w:tc>
          <w:tcPr>
            <w:tcW w:w="644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930,766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919,340</w:t>
            </w:r>
          </w:p>
        </w:tc>
      </w:tr>
      <w:tr>
        <w:trPr>
          <w:trHeight w:val="215"/>
        </w:trPr>
        <w:tc>
          <w:tcPr>
            <w:tcW w:w="644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44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23,898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39,495</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5,000</w:t>
            </w: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Dividend payable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1,193</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6,808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7,844</w:t>
            </w:r>
          </w:p>
        </w:tc>
      </w:tr>
      <w:tr>
        <w:trPr>
          <w:trHeight w:val="223"/>
        </w:trPr>
        <w:tc>
          <w:tcPr>
            <w:tcW w:w="644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Total liabilities</w:t>
            </w:r>
          </w:p>
        </w:tc>
        <w:tc>
          <w:tcPr>
            <w:tcW w:w="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967,756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972,872</w:t>
            </w: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5"/>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 xml:space="preserve">outstanding 10,400,000 shares 6/30/18 and 12/31/17 </w:t>
            </w:r>
            <w:r>
              <w:rPr>
                <w:rFonts w:ascii="Arial" w:cs="Arial" w:eastAsia="Arial" w:hAnsi="Arial"/>
                <w:sz w:val="15"/>
                <w:szCs w:val="15"/>
                <w:color w:val="auto"/>
              </w:rPr>
              <w:t>(1)</w:t>
            </w: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11,842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11,546</w:t>
            </w:r>
          </w:p>
        </w:tc>
      </w:tr>
      <w:tr>
        <w:trPr>
          <w:trHeight w:val="230"/>
        </w:trPr>
        <w:tc>
          <w:tcPr>
            <w:tcW w:w="6440" w:type="dxa"/>
            <w:vAlign w:val="bottom"/>
          </w:tcPr>
          <w:p>
            <w:pPr>
              <w:ind w:left="500"/>
              <w:spacing w:after="0"/>
              <w:rPr>
                <w:sz w:val="20"/>
                <w:szCs w:val="20"/>
                <w:color w:val="auto"/>
              </w:rPr>
            </w:pPr>
            <w:r>
              <w:rPr>
                <w:rFonts w:ascii="Arial" w:cs="Arial" w:eastAsia="Arial" w:hAnsi="Arial"/>
                <w:sz w:val="18"/>
                <w:szCs w:val="18"/>
                <w:color w:val="auto"/>
              </w:rPr>
              <w:t xml:space="preserve">Treasury stock - 1,134,620 shares 6/30/18, 1,134,120 shares 12/31/17 </w:t>
            </w:r>
            <w:r>
              <w:rPr>
                <w:rFonts w:ascii="Arial" w:cs="Arial" w:eastAsia="Arial" w:hAnsi="Arial"/>
                <w:sz w:val="15"/>
                <w:szCs w:val="15"/>
                <w:color w:val="auto"/>
              </w:rPr>
              <w:t>(1)</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(12,186)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(12,160)</w:t>
            </w:r>
          </w:p>
        </w:tc>
      </w:tr>
      <w:tr>
        <w:trPr>
          <w:trHeight w:val="230"/>
        </w:trPr>
        <w:tc>
          <w:tcPr>
            <w:tcW w:w="6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Retained earnings</w:t>
            </w: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142,330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136,577</w:t>
            </w:r>
          </w:p>
        </w:tc>
      </w:tr>
      <w:tr>
        <w:trPr>
          <w:trHeight w:val="230"/>
        </w:trPr>
        <w:tc>
          <w:tcPr>
            <w:tcW w:w="6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other comprehensive loss</w:t>
            </w:r>
          </w:p>
        </w:tc>
        <w:tc>
          <w:tcPr>
            <w:tcW w:w="7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r>
      <w:tr>
        <w:trPr>
          <w:trHeight w:val="223"/>
        </w:trPr>
        <w:tc>
          <w:tcPr>
            <w:tcW w:w="644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stockholders' equity</w:t>
            </w:r>
          </w:p>
        </w:tc>
        <w:tc>
          <w:tcPr>
            <w:tcW w:w="7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137,576</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134,137</w:t>
            </w: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1,105,332</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1,107,009</w:t>
            </w:r>
          </w:p>
        </w:tc>
      </w:tr>
      <w:tr>
        <w:trPr>
          <w:trHeight w:val="20"/>
        </w:trPr>
        <w:tc>
          <w:tcPr>
            <w:tcW w:w="6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100" w:firstLine="8"/>
        <w:spacing w:after="0" w:line="563" w:lineRule="auto"/>
        <w:tabs>
          <w:tab w:leader="none" w:pos="37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 data has been adjusted to reflect a 2-for-1 stock split on September 20, 2017 See Notes to Condensed Consolidated Unaudited Financial Statements.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Note: The December 31, 2017, Condensed Consolidated Balance Sheet has been derived from the audited Consolidated Balance Sheet as of that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5"/>
          </w:tcPr>
          <w:p>
            <w:pPr>
              <w:jc w:val="center"/>
              <w:ind w:right="440"/>
              <w:spacing w:after="0"/>
              <w:rPr>
                <w:sz w:val="20"/>
                <w:szCs w:val="20"/>
                <w:color w:val="auto"/>
              </w:rPr>
            </w:pPr>
            <w:r>
              <w:rPr>
                <w:rFonts w:ascii="Arial" w:cs="Arial" w:eastAsia="Arial" w:hAnsi="Arial"/>
                <w:sz w:val="18"/>
                <w:szCs w:val="18"/>
                <w:color w:val="auto"/>
                <w:w w:val="89"/>
              </w:rPr>
              <w:t>(in thousands of dollars, except per</w:t>
            </w:r>
          </w:p>
        </w:tc>
        <w:tc>
          <w:tcPr>
            <w:tcW w:w="120" w:type="dxa"/>
            <w:vAlign w:val="bottom"/>
          </w:tcPr>
          <w:p>
            <w:pPr>
              <w:spacing w:after="0"/>
              <w:rPr>
                <w:sz w:val="18"/>
                <w:szCs w:val="18"/>
                <w:color w:val="auto"/>
              </w:rPr>
            </w:pPr>
          </w:p>
        </w:tc>
        <w:tc>
          <w:tcPr>
            <w:tcW w:w="2880" w:type="dxa"/>
            <w:vAlign w:val="bottom"/>
            <w:gridSpan w:val="5"/>
          </w:tcPr>
          <w:p>
            <w:pPr>
              <w:jc w:val="center"/>
              <w:ind w:right="170"/>
              <w:spacing w:after="0"/>
              <w:rPr>
                <w:sz w:val="20"/>
                <w:szCs w:val="20"/>
                <w:color w:val="auto"/>
              </w:rPr>
            </w:pPr>
            <w:r>
              <w:rPr>
                <w:rFonts w:ascii="Arial" w:cs="Arial" w:eastAsia="Arial" w:hAnsi="Arial"/>
                <w:sz w:val="18"/>
                <w:szCs w:val="18"/>
                <w:color w:val="auto"/>
                <w:w w:val="90"/>
              </w:rPr>
              <w:t>(in thousands of dollars, except per</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5"/>
          </w:tcPr>
          <w:p>
            <w:pPr>
              <w:jc w:val="center"/>
              <w:ind w:right="440"/>
              <w:spacing w:after="0"/>
              <w:rPr>
                <w:sz w:val="20"/>
                <w:szCs w:val="20"/>
                <w:color w:val="auto"/>
              </w:rPr>
            </w:pPr>
            <w:r>
              <w:rPr>
                <w:rFonts w:ascii="Arial" w:cs="Arial" w:eastAsia="Arial" w:hAnsi="Arial"/>
                <w:sz w:val="18"/>
                <w:szCs w:val="18"/>
                <w:color w:val="auto"/>
                <w:w w:val="87"/>
              </w:rPr>
              <w:t>share data)</w:t>
            </w:r>
          </w:p>
        </w:tc>
        <w:tc>
          <w:tcPr>
            <w:tcW w:w="120" w:type="dxa"/>
            <w:vAlign w:val="bottom"/>
          </w:tcPr>
          <w:p>
            <w:pPr>
              <w:spacing w:after="0"/>
              <w:rPr>
                <w:sz w:val="19"/>
                <w:szCs w:val="19"/>
                <w:color w:val="auto"/>
              </w:rPr>
            </w:pPr>
          </w:p>
        </w:tc>
        <w:tc>
          <w:tcPr>
            <w:tcW w:w="2880" w:type="dxa"/>
            <w:vAlign w:val="bottom"/>
            <w:gridSpan w:val="5"/>
          </w:tcPr>
          <w:p>
            <w:pPr>
              <w:jc w:val="center"/>
              <w:ind w:right="170"/>
              <w:spacing w:after="0"/>
              <w:rPr>
                <w:sz w:val="20"/>
                <w:szCs w:val="20"/>
                <w:color w:val="auto"/>
              </w:rPr>
            </w:pPr>
            <w:r>
              <w:rPr>
                <w:rFonts w:ascii="Arial" w:cs="Arial" w:eastAsia="Arial" w:hAnsi="Arial"/>
                <w:sz w:val="18"/>
                <w:szCs w:val="18"/>
                <w:color w:val="auto"/>
                <w:w w:val="85"/>
              </w:rPr>
              <w:t>share data)</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80" w:type="dxa"/>
            <w:vAlign w:val="bottom"/>
            <w:gridSpan w:val="5"/>
          </w:tcPr>
          <w:p>
            <w:pPr>
              <w:jc w:val="center"/>
              <w:ind w:right="17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June 30, 2017</w:t>
            </w:r>
          </w:p>
        </w:tc>
        <w:tc>
          <w:tcPr>
            <w:tcW w:w="12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w w:val="89"/>
              </w:rPr>
              <w:t>June 30, 2017</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10,521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9,120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20,623</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17,820</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 and other</w:t>
            </w: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11,537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10,124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22,673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19,845</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Federal funds purchased and securities sold under agreements to</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w:t>
            </w: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Borrowed funds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2,990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8,871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19,683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17,413</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for Loan Losses</w:t>
            </w: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For Loan Losses</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service fees</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2,931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Other service charges and fees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loans</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gain on sale of available-for-sale securities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income</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5,416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and wages</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6,535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occupancy expense</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Furniture and equipment</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Data processing</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Franchise taxes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ATM expense</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sale of other assets owned</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FDIC assessment</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7,638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7,098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15,278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9,649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4,114</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3,223</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7,881</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Net Income Per Share </w:t>
            </w:r>
            <w:r>
              <w:rPr>
                <w:rFonts w:ascii="Arial" w:cs="Arial" w:eastAsia="Arial" w:hAnsi="Arial"/>
                <w:sz w:val="15"/>
                <w:szCs w:val="15"/>
                <w:b w:val="1"/>
                <w:bCs w:val="1"/>
                <w:color w:val="auto"/>
              </w:rPr>
              <w:t>(1)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Dividends Declared </w:t>
            </w:r>
            <w:r>
              <w:rPr>
                <w:rFonts w:ascii="Arial" w:cs="Arial" w:eastAsia="Arial" w:hAnsi="Arial"/>
                <w:sz w:val="15"/>
                <w:szCs w:val="15"/>
                <w:b w:val="1"/>
                <w:bCs w:val="1"/>
                <w:color w:val="auto"/>
              </w:rPr>
              <w:t>(1)</w:t>
            </w: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100" w:firstLine="8"/>
        <w:spacing w:after="0" w:line="505" w:lineRule="auto"/>
        <w:tabs>
          <w:tab w:leader="none" w:pos="378" w:val="left"/>
        </w:tabs>
        <w:numPr>
          <w:ilvl w:val="0"/>
          <w:numId w:val="6"/>
        </w:numPr>
        <w:rPr>
          <w:rFonts w:ascii="Arial" w:cs="Arial" w:eastAsia="Arial" w:hAnsi="Arial"/>
          <w:sz w:val="17"/>
          <w:szCs w:val="17"/>
          <w:color w:val="auto"/>
        </w:rPr>
      </w:pPr>
      <w:r>
        <w:rPr>
          <w:rFonts w:ascii="Arial" w:cs="Arial" w:eastAsia="Arial" w:hAnsi="Arial"/>
          <w:sz w:val="17"/>
          <w:szCs w:val="17"/>
          <w:color w:val="auto"/>
        </w:rPr>
        <w:t>Share data has been adjusted to reflect a 2-for-1 stock split on September 20, 2017 See Notes to Condensed Consolidated Unaudited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ind w:right="5140"/>
        <w:spacing w:after="0" w:line="264"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(in thousands of dollars)</w:t>
            </w:r>
          </w:p>
        </w:tc>
        <w:tc>
          <w:tcPr>
            <w:tcW w:w="120" w:type="dxa"/>
            <w:vAlign w:val="bottom"/>
          </w:tcPr>
          <w:p>
            <w:pPr>
              <w:spacing w:after="0"/>
              <w:rPr>
                <w:sz w:val="19"/>
                <w:szCs w:val="19"/>
                <w:color w:val="auto"/>
              </w:rPr>
            </w:pPr>
          </w:p>
        </w:tc>
        <w:tc>
          <w:tcPr>
            <w:tcW w:w="2820" w:type="dxa"/>
            <w:vAlign w:val="bottom"/>
            <w:gridSpan w:val="5"/>
          </w:tcPr>
          <w:p>
            <w:pPr>
              <w:jc w:val="right"/>
              <w:ind w:right="550"/>
              <w:spacing w:after="0"/>
              <w:rPr>
                <w:sz w:val="20"/>
                <w:szCs w:val="20"/>
                <w:color w:val="auto"/>
              </w:rPr>
            </w:pPr>
            <w:r>
              <w:rPr>
                <w:rFonts w:ascii="Arial" w:cs="Arial" w:eastAsia="Arial" w:hAnsi="Arial"/>
                <w:sz w:val="18"/>
                <w:szCs w:val="18"/>
                <w:color w:val="auto"/>
              </w:rPr>
              <w:t>(in thousands of dollars)</w:t>
            </w:r>
          </w:p>
        </w:tc>
      </w:tr>
      <w:tr>
        <w:trPr>
          <w:trHeight w:val="230"/>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20" w:type="dxa"/>
            <w:vAlign w:val="bottom"/>
            <w:gridSpan w:val="5"/>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30"/>
        </w:trPr>
        <w:tc>
          <w:tcPr>
            <w:tcW w:w="54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2018</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2017</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June 30, 2018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June 30, 2017</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6,062</w:t>
            </w:r>
          </w:p>
        </w:tc>
      </w:t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2,456</w:t>
            </w:r>
          </w:p>
        </w:tc>
      </w:tr>
      <w:tr>
        <w:trPr>
          <w:trHeight w:val="215"/>
        </w:trPr>
        <w:tc>
          <w:tcPr>
            <w:tcW w:w="5460" w:type="dxa"/>
            <w:vAlign w:val="bottom"/>
          </w:tcPr>
          <w:p>
            <w:pPr>
              <w:ind w:left="260"/>
              <w:spacing w:after="0"/>
              <w:rPr>
                <w:sz w:val="20"/>
                <w:szCs w:val="20"/>
                <w:color w:val="auto"/>
              </w:rPr>
            </w:pPr>
            <w:r>
              <w:rPr>
                <w:rFonts w:ascii="Arial" w:cs="Arial" w:eastAsia="Arial" w:hAnsi="Arial"/>
                <w:sz w:val="18"/>
                <w:szCs w:val="18"/>
                <w:color w:val="auto"/>
              </w:rPr>
              <w:t>Reclassification adjustment for gain on sale of</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available-for-sale securities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2,409</w:t>
            </w:r>
          </w:p>
        </w:tc>
      </w:tr>
      <w:tr>
        <w:trPr>
          <w:trHeight w:val="230"/>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 (benefit)</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819</w:t>
            </w:r>
          </w:p>
        </w:tc>
      </w:tr>
      <w:tr>
        <w:trPr>
          <w:trHeight w:val="223"/>
        </w:trPr>
        <w:tc>
          <w:tcPr>
            <w:tcW w:w="5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1,590</w:t>
            </w: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7,652</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4"/>
          </w:tcPr>
          <w:p>
            <w:pPr>
              <w:jc w:val="right"/>
              <w:ind w:right="123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gridSpan w:val="4"/>
          </w:tcPr>
          <w:p>
            <w:pPr>
              <w:jc w:val="right"/>
              <w:ind w:right="14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June 30, 2018</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7,881</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on available-for-sale securities, net</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(27,216)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(30,242)</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27,618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31,658</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Loss on sale of other assets owned</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Gain on sales of securities available-for-sale</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other assets and other liabilities, net</w:t>
            </w:r>
          </w:p>
        </w:tc>
        <w:tc>
          <w:tcPr>
            <w:tcW w:w="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8,532</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Activity in available-for-sale securities: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Maturities, prepayments and calls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8,712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13,562</w:t>
            </w: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(2,695)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Change in interest-bearing time deposits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Proceeds from sale of other assets owned</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Loan originations and principal collections, net</w:t>
            </w:r>
          </w:p>
        </w:tc>
        <w:tc>
          <w:tcPr>
            <w:tcW w:w="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(8,644)</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(34,184)</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(10,327)</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deposits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11,426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35,272</w:t>
            </w:r>
          </w:p>
        </w:tc>
        <w:tc>
          <w:tcPr>
            <w:tcW w:w="0" w:type="dxa"/>
            <w:vAlign w:val="bottom"/>
          </w:tcPr>
          <w:p>
            <w:pPr>
              <w:spacing w:after="0"/>
              <w:rPr>
                <w:sz w:val="1"/>
                <w:szCs w:val="1"/>
                <w:color w:val="auto"/>
              </w:rPr>
            </w:pPr>
          </w:p>
        </w:tc>
      </w:tr>
      <w:tr>
        <w:trPr>
          <w:trHeight w:val="215"/>
        </w:trPr>
        <w:tc>
          <w:tcPr>
            <w:tcW w:w="6500" w:type="dxa"/>
            <w:vAlign w:val="bottom"/>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to repurchase</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(15,597)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(30,229)</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paid on common stock</w:t>
            </w:r>
          </w:p>
        </w:tc>
        <w:tc>
          <w:tcPr>
            <w:tcW w:w="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6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34,467</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28,322</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6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32,564</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Cash paid during the year for:</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w:t>
            </w:r>
          </w:p>
        </w:tc>
        <w:tc>
          <w:tcPr>
            <w:tcW w:w="66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2,993</w:t>
            </w:r>
          </w:p>
        </w:tc>
        <w:tc>
          <w:tcPr>
            <w:tcW w:w="16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w:t>
            </w:r>
          </w:p>
        </w:tc>
        <w:tc>
          <w:tcPr>
            <w:tcW w:w="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1,307</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Noncash investing activities:</w:t>
            </w: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Transfer of loans to other real estate owned</w:t>
            </w:r>
          </w:p>
        </w:tc>
        <w:tc>
          <w:tcPr>
            <w:tcW w:w="9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ind w:left="220"/>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18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1 BASIS OF PRESENTATION</w:t>
      </w:r>
    </w:p>
    <w:p>
      <w:pPr>
        <w:spacing w:after="0" w:line="198" w:lineRule="exact"/>
        <w:rPr>
          <w:sz w:val="20"/>
          <w:szCs w:val="20"/>
          <w:color w:val="auto"/>
        </w:rPr>
      </w:pPr>
    </w:p>
    <w:p>
      <w:pPr>
        <w:jc w:val="both"/>
        <w:ind w:left="760" w:right="20"/>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Share data has been adjusted to reflect a 2-for-1 stock split on September 20, 2017. Operating results for the six months ended June 30, 2018 are not necessarily indicative of the results that are expected for the year ended December 31, 2018. The condensed consolidated balance sheet of the Company as of December 31, 2017,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2017.</w:t>
      </w:r>
    </w:p>
    <w:p>
      <w:pPr>
        <w:spacing w:after="0" w:line="194"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2 ASSET PURCHASES</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97"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The amortization expense for the year ended December 31, 2017 was $245 thousand, which included the remaining $78 thousand from the purchase of the Hicksville office on July 9, 2010. Of the $167 thousand to be expensed in 2018, $84 thousand has been expensed for the six months ended June 30, 2018.</w:t>
      </w:r>
    </w:p>
    <w:p>
      <w:pPr>
        <w:spacing w:after="0" w:line="22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2"/>
              </w:rPr>
              <w:t>(In Thousands)</w:t>
            </w:r>
          </w:p>
        </w:tc>
      </w:tr>
      <w:tr>
        <w:trPr>
          <w:trHeight w:val="223"/>
        </w:trPr>
        <w:tc>
          <w:tcPr>
            <w:tcW w:w="5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Custar</w:t>
            </w:r>
          </w:p>
        </w:tc>
      </w:tr>
      <w:tr>
        <w:trPr>
          <w:trHeight w:val="223"/>
        </w:trPr>
        <w:tc>
          <w:tcPr>
            <w:tcW w:w="558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w w:val="84"/>
              </w:rPr>
              <w:t>2018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580" w:type="dxa"/>
            <w:vAlign w:val="bottom"/>
          </w:tcPr>
          <w:p>
            <w:pPr>
              <w:jc w:val="right"/>
              <w:ind w:right="5130"/>
              <w:spacing w:after="0"/>
              <w:rPr>
                <w:sz w:val="20"/>
                <w:szCs w:val="20"/>
                <w:color w:val="auto"/>
              </w:rPr>
            </w:pPr>
            <w:r>
              <w:rPr>
                <w:rFonts w:ascii="Arial" w:cs="Arial" w:eastAsia="Arial" w:hAnsi="Arial"/>
                <w:sz w:val="18"/>
                <w:szCs w:val="18"/>
                <w:color w:val="auto"/>
                <w:w w:val="84"/>
              </w:rPr>
              <w:t>2019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58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w w:val="84"/>
              </w:rPr>
              <w:t>2020</w:t>
            </w: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55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amortized cost and fair value of securities, with gross unrealized gains and losses at June 30, 2018 and December 31, 2017,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June 30, 2018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Fair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40" w:type="dxa"/>
            <w:vAlign w:val="bottom"/>
            <w:tcBorders>
              <w:bottom w:val="single" w:sz="8" w:color="CFF0FC"/>
            </w:tcBorders>
          </w:tcPr>
          <w:p>
            <w:pPr>
              <w:spacing w:after="0"/>
              <w:rPr>
                <w:sz w:val="20"/>
                <w:szCs w:val="20"/>
                <w:color w:val="auto"/>
              </w:rPr>
            </w:pPr>
          </w:p>
        </w:tc>
        <w:tc>
          <w:tcPr>
            <w:tcW w:w="15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21,168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20,791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79,169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76,310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34,836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5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55,865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55,099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580"/>
              <w:spacing w:after="0"/>
              <w:rPr>
                <w:sz w:val="20"/>
                <w:szCs w:val="20"/>
                <w:color w:val="auto"/>
              </w:rPr>
            </w:pPr>
            <w:r>
              <w:rPr>
                <w:rFonts w:ascii="Arial" w:cs="Arial" w:eastAsia="Arial" w:hAnsi="Arial"/>
                <w:sz w:val="18"/>
                <w:szCs w:val="18"/>
                <w:color w:val="auto"/>
              </w:rPr>
              <w:t>Total available-for-sale securities</w:t>
            </w:r>
          </w:p>
        </w:tc>
        <w:tc>
          <w:tcPr>
            <w:tcW w:w="1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192,618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187,036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 (Continued)</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December 31, 2017</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9"/>
        </w:trPr>
        <w:tc>
          <w:tcPr>
            <w:tcW w:w="3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Fair</w:t>
            </w:r>
          </w:p>
        </w:tc>
      </w:tr>
      <w:tr>
        <w:trPr>
          <w:trHeight w:val="230"/>
        </w:trPr>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21,219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20,978</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82,198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80,466</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39,510</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55,512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55,444</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199,165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196,398</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right="20"/>
        <w:spacing w:after="0" w:line="256"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80" w:right="20" w:hanging="759"/>
        <w:spacing w:after="0" w:line="250"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80" w:hanging="759"/>
        <w:spacing w:after="0"/>
        <w:tabs>
          <w:tab w:leader="none" w:pos="2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20" w:lineRule="exact"/>
        <w:rPr>
          <w:rFonts w:ascii="Arial" w:cs="Arial" w:eastAsia="Arial" w:hAnsi="Arial"/>
          <w:sz w:val="17"/>
          <w:szCs w:val="17"/>
          <w:color w:val="auto"/>
        </w:rPr>
      </w:pPr>
    </w:p>
    <w:p>
      <w:pPr>
        <w:ind w:left="2280" w:right="20" w:hanging="759"/>
        <w:spacing w:after="0" w:line="261"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61"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2018 and December 31, 2017,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June 30, 2018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5"/>
              </w:rPr>
              <w:t>Less Than Twelve Months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Twelve Months &amp; Over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Fair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40" w:type="dxa"/>
            <w:vAlign w:val="bottom"/>
            <w:tcBorders>
              <w:bottom w:val="single" w:sz="8" w:color="CFF0FC"/>
            </w:tcBorders>
          </w:tcPr>
          <w:p>
            <w:pPr>
              <w:spacing w:after="0"/>
              <w:rPr>
                <w:sz w:val="20"/>
                <w:szCs w:val="20"/>
                <w:color w:val="auto"/>
              </w:rPr>
            </w:pPr>
          </w:p>
        </w:tc>
        <w:tc>
          <w:tcPr>
            <w:tcW w:w="15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6,864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13,927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14,664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61,646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27,975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15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30,386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12,002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57,554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115,550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 3 SECURITIES (Continued)</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December 31, 2017</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5"/>
              </w:rPr>
              <w:t>Less Than Twelve Months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Twelve Months &amp; Over</w:t>
            </w:r>
          </w:p>
        </w:tc>
      </w:tr>
      <w:tr>
        <w:trPr>
          <w:trHeight w:val="209"/>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Fair</w:t>
            </w:r>
          </w:p>
        </w:tc>
      </w:tr>
      <w:tr>
        <w:trPr>
          <w:trHeight w:val="230"/>
        </w:trPr>
        <w:tc>
          <w:tcPr>
            <w:tcW w:w="5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14,054</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53,139</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28,080</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24,999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11,567</w:t>
            </w: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66,400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106,840</w:t>
            </w: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six months ended June 30, 2018 and June 30, 2017.</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0" w:type="dxa"/>
            <w:vAlign w:val="bottom"/>
            <w:gridSpan w:val="4"/>
          </w:tcPr>
          <w:p>
            <w:pPr>
              <w:jc w:val="right"/>
              <w:ind w:right="285"/>
              <w:spacing w:after="0"/>
              <w:rPr>
                <w:sz w:val="20"/>
                <w:szCs w:val="20"/>
                <w:color w:val="auto"/>
              </w:rPr>
            </w:pPr>
            <w:r>
              <w:rPr>
                <w:rFonts w:ascii="Arial" w:cs="Arial" w:eastAsia="Arial" w:hAnsi="Arial"/>
                <w:sz w:val="18"/>
                <w:szCs w:val="18"/>
                <w:color w:val="auto"/>
              </w:rPr>
              <w:t>Three Months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Six Months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8"/>
                <w:szCs w:val="18"/>
                <w:color w:val="auto"/>
              </w:rPr>
              <w:t>(In Thousands)</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12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1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gains</w:t>
            </w:r>
          </w:p>
        </w:tc>
        <w:tc>
          <w:tcPr>
            <w:tcW w:w="1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2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 is included in net gain on sale of available-for-sale securities and the related tax expense is included in income taxes in the condensed consolidated statements of income and comprehensive income.</w:t>
      </w:r>
    </w:p>
    <w:p>
      <w:pPr>
        <w:spacing w:after="0" w:line="154" w:lineRule="exact"/>
        <w:rPr>
          <w:sz w:val="20"/>
          <w:szCs w:val="20"/>
          <w:color w:val="auto"/>
        </w:rPr>
      </w:pPr>
    </w:p>
    <w:p>
      <w:pPr>
        <w:jc w:val="both"/>
        <w:ind w:left="760" w:right="20"/>
        <w:spacing w:after="0" w:line="308" w:lineRule="auto"/>
        <w:rPr>
          <w:sz w:val="20"/>
          <w:szCs w:val="20"/>
          <w:color w:val="auto"/>
        </w:rPr>
      </w:pPr>
      <w:r>
        <w:rPr>
          <w:rFonts w:ascii="Arial" w:cs="Arial" w:eastAsia="Arial" w:hAnsi="Arial"/>
          <w:sz w:val="17"/>
          <w:szCs w:val="17"/>
          <w:color w:val="auto"/>
        </w:rPr>
        <w:t>The amortized cost and fair value of debt securities at June 30, 2018, by contractual maturity, are shown below. Expected maturities will differ from contractual maturities because borrowers may have the right to call or prepay obligations with or without call or prepayment penalties.</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22,674</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78,096</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48,566</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w:t>
            </w: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156,202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152,200</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36,416</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34,836</w:t>
            </w: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192,618</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187,036</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Investments with a carrying value of $83.2 million and $82.9 million at June 30, 2018 and December 31, 2017, respectively, were pledged to secure public deposits and securities sold under repurchase agreements.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securities include Federal Home Loan Bank of Cincinnati and Farmer Mac stock as of June 30, 2018 and December 31, 2017.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66"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360" w:type="dxa"/>
            <w:vAlign w:val="bottom"/>
            <w:gridSpan w:val="3"/>
          </w:tcPr>
          <w:p>
            <w:pPr>
              <w:ind w:left="760"/>
              <w:spacing w:after="0"/>
              <w:rPr>
                <w:sz w:val="20"/>
                <w:szCs w:val="20"/>
                <w:color w:val="auto"/>
              </w:rPr>
            </w:pPr>
            <w:r>
              <w:rPr>
                <w:rFonts w:ascii="Arial" w:cs="Arial" w:eastAsia="Arial" w:hAnsi="Arial"/>
                <w:sz w:val="18"/>
                <w:szCs w:val="18"/>
                <w:color w:val="auto"/>
              </w:rPr>
              <w:t>NOTE 4 LOANS</w:t>
            </w: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360" w:type="dxa"/>
            <w:vAlign w:val="bottom"/>
            <w:gridSpan w:val="3"/>
          </w:tcPr>
          <w:p>
            <w:pPr>
              <w:spacing w:after="0"/>
              <w:rPr>
                <w:sz w:val="20"/>
                <w:szCs w:val="20"/>
                <w:color w:val="auto"/>
              </w:rPr>
            </w:pPr>
            <w:r>
              <w:rPr>
                <w:rFonts w:ascii="Arial" w:cs="Arial" w:eastAsia="Arial" w:hAnsi="Arial"/>
                <w:sz w:val="18"/>
                <w:szCs w:val="18"/>
                <w:color w:val="auto"/>
              </w:rPr>
              <w:t>Loan balances as of June 30, 2018 and December 31, 2017:</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5360" w:type="dxa"/>
            <w:vAlign w:val="bottom"/>
            <w:gridSpan w:val="3"/>
            <w:vMerge w:val="restart"/>
          </w:tcPr>
          <w:p>
            <w:pPr>
              <w:ind w:left="960"/>
              <w:spacing w:after="0"/>
              <w:rPr>
                <w:sz w:val="20"/>
                <w:szCs w:val="20"/>
                <w:color w:val="auto"/>
              </w:rPr>
            </w:pPr>
            <w:r>
              <w:rPr>
                <w:rFonts w:ascii="Arial" w:cs="Arial" w:eastAsia="Arial" w:hAnsi="Arial"/>
                <w:sz w:val="18"/>
                <w:szCs w:val="18"/>
                <w:color w:val="auto"/>
              </w:rPr>
              <w:t>Loans: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82"/>
        </w:trPr>
        <w:tc>
          <w:tcPr>
            <w:tcW w:w="536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auto"/>
              </w:rPr>
              <w:t>June 30, 2018</w:t>
            </w:r>
          </w:p>
        </w:tc>
        <w:tc>
          <w:tcPr>
            <w:tcW w:w="24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500" w:type="dxa"/>
            <w:vAlign w:val="bottom"/>
            <w:tcBorders>
              <w:top w:val="single" w:sz="8" w:color="auto"/>
              <w:bottom w:val="single" w:sz="8" w:color="CFF0FC"/>
            </w:tcBorders>
          </w:tcPr>
          <w:p>
            <w:pPr>
              <w:spacing w:after="0"/>
              <w:rPr>
                <w:sz w:val="11"/>
                <w:szCs w:val="11"/>
                <w:color w:val="auto"/>
              </w:rPr>
            </w:pPr>
          </w:p>
        </w:tc>
        <w:tc>
          <w:tcPr>
            <w:tcW w:w="3900" w:type="dxa"/>
            <w:vAlign w:val="bottom"/>
            <w:tcBorders>
              <w:bottom w:val="single" w:sz="8" w:color="CFF0FC"/>
            </w:tcBorders>
          </w:tcPr>
          <w:p>
            <w:pPr>
              <w:spacing w:after="0"/>
              <w:rPr>
                <w:sz w:val="11"/>
                <w:szCs w:val="11"/>
                <w:color w:val="auto"/>
              </w:rPr>
            </w:pPr>
          </w:p>
        </w:tc>
        <w:tc>
          <w:tcPr>
            <w:tcW w:w="1020" w:type="dxa"/>
            <w:vAlign w:val="bottom"/>
            <w:tcBorders>
              <w:bottom w:val="single" w:sz="8" w:color="CFF0FC"/>
            </w:tcBorders>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82,853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83,620</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69,701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64,073</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104,830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411,509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410,520</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116,351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126,275</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40,513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37,757</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Development Bonds</w:t>
            </w:r>
          </w:p>
        </w:tc>
        <w:tc>
          <w:tcPr>
            <w:tcW w:w="10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6,071</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831,828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823,771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10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831,015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823,024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10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(6,789)</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900" w:type="dxa"/>
            <w:vAlign w:val="bottom"/>
            <w:shd w:val="clear" w:color="auto" w:fill="CFF0FC"/>
          </w:tcPr>
          <w:p>
            <w:pPr>
              <w:ind w:left="1720"/>
              <w:spacing w:after="0"/>
              <w:rPr>
                <w:sz w:val="20"/>
                <w:szCs w:val="20"/>
                <w:color w:val="auto"/>
              </w:rPr>
            </w:pPr>
            <w:r>
              <w:rPr>
                <w:rFonts w:ascii="Arial" w:cs="Arial" w:eastAsia="Arial" w:hAnsi="Arial"/>
                <w:sz w:val="18"/>
                <w:szCs w:val="18"/>
                <w:color w:val="auto"/>
              </w:rPr>
              <w:t>Loans - Net</w:t>
            </w:r>
          </w:p>
        </w:tc>
        <w:tc>
          <w:tcPr>
            <w:tcW w:w="1340" w:type="dxa"/>
            <w:vAlign w:val="bottom"/>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824,226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816,156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contractual maturity schedule by major category of loans as of June 30, 2018:</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3"/>
              </w:rPr>
              <w:t>After One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Within</w:t>
            </w:r>
          </w:p>
        </w:tc>
        <w:tc>
          <w:tcPr>
            <w:tcW w:w="22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2"/>
              </w:rPr>
              <w:t>Year Within</w:t>
            </w:r>
          </w:p>
        </w:tc>
        <w:tc>
          <w:tcPr>
            <w:tcW w:w="24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After</w:t>
            </w: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One Year</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Five Years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Five Years</w:t>
            </w: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4,338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14,305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64,210</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5,642</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63,192</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63,873</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29,129</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11,828</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12,918</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140,932</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257,659</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60,579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45,926</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9,846</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5,218</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26,031</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9,264</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5,406</w:t>
            </w: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June 30, 2018:</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39,784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43,069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50,538</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19,163</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37,971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249,029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162,480</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41,256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75,095</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35,945</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June 30, 2018 and December 31, 2017 one to four family residential mortgage loans amounting to $15.8 and $17.3 million, respectively, have been pledged as security for future loans and existing loans the Bank has received from the Federal Home Loan Bank.</w:t>
      </w:r>
    </w:p>
    <w:p>
      <w:pPr>
        <w:spacing w:after="0" w:line="120" w:lineRule="exact"/>
        <w:rPr>
          <w:sz w:val="20"/>
          <w:szCs w:val="20"/>
          <w:color w:val="auto"/>
        </w:rPr>
      </w:pPr>
    </w:p>
    <w:p>
      <w:pPr>
        <w:ind w:left="760" w:right="240"/>
        <w:spacing w:after="0" w:line="277" w:lineRule="auto"/>
        <w:rPr>
          <w:sz w:val="20"/>
          <w:szCs w:val="20"/>
          <w:color w:val="auto"/>
        </w:rPr>
      </w:pPr>
      <w:r>
        <w:rPr>
          <w:rFonts w:ascii="Arial" w:cs="Arial" w:eastAsia="Arial" w:hAnsi="Arial"/>
          <w:sz w:val="18"/>
          <w:szCs w:val="18"/>
          <w:color w:val="auto"/>
        </w:rPr>
        <w:t>Unless listed separately, Industrial Development Bonds are included in the Commercial and Industrial category for the remainder of the tables in this Note 4.</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June 30, 2018 and December 31, 2017,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220" w:type="dxa"/>
            <w:vAlign w:val="bottom"/>
          </w:tcPr>
          <w:p>
            <w:pPr>
              <w:spacing w:after="0"/>
              <w:rPr>
                <w:sz w:val="18"/>
                <w:szCs w:val="18"/>
                <w:color w:val="auto"/>
              </w:rPr>
            </w:pPr>
          </w:p>
        </w:tc>
        <w:tc>
          <w:tcPr>
            <w:tcW w:w="80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1"/>
              </w:rPr>
              <w:t>60-89</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Greater</w:t>
            </w: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Total Past</w:t>
            </w: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Days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89"/>
              </w:rPr>
              <w:t>Current</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81,650</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82,368</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69,660</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69,676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104,980</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104,980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410,886</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410,886</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122,466</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122,510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40,542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40,595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8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830,184</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831,015</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Recorded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1"/>
              </w:rPr>
              <w:t>30-59</w:t>
            </w:r>
          </w:p>
        </w:tc>
        <w:tc>
          <w:tcPr>
            <w:tcW w:w="220" w:type="dxa"/>
            <w:vAlign w:val="bottom"/>
          </w:tcPr>
          <w:p>
            <w:pPr>
              <w:spacing w:after="0"/>
              <w:rPr>
                <w:sz w:val="18"/>
                <w:szCs w:val="18"/>
                <w:color w:val="auto"/>
              </w:rPr>
            </w:pPr>
          </w:p>
        </w:tc>
        <w:tc>
          <w:tcPr>
            <w:tcW w:w="80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1"/>
              </w:rPr>
              <w:t>60-89</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Greater</w:t>
            </w: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180" w:type="dxa"/>
            <w:vAlign w:val="bottom"/>
          </w:tcPr>
          <w:p>
            <w:pPr>
              <w:spacing w:after="0"/>
              <w:rPr>
                <w:sz w:val="18"/>
                <w:szCs w:val="18"/>
                <w:color w:val="auto"/>
              </w:rPr>
            </w:pPr>
          </w:p>
        </w:tc>
        <w:tc>
          <w:tcPr>
            <w:tcW w:w="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Total Past</w:t>
            </w: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Due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Days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89"/>
              </w:rPr>
              <w:t>Current</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Receivables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Accruing</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82,310</w:t>
            </w:r>
          </w:p>
        </w:tc>
        <w:tc>
          <w:tcPr>
            <w:tcW w:w="2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83,200</w:t>
            </w:r>
          </w:p>
        </w:tc>
        <w:tc>
          <w:tcPr>
            <w:tcW w:w="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63,943</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64,044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95,238</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95,238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409,915</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409,953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132,745</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132,787</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37,759</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37,802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8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821,910</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823,024</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the recorded investment in nonaccrual loans by class of loans as of June 30, 2018 and December 31, 2017:</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5"/>
              </w:rPr>
              <w:t>June 30,</w:t>
            </w:r>
          </w:p>
        </w:tc>
        <w:tc>
          <w:tcPr>
            <w:tcW w:w="1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302"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1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2280" w:hanging="759"/>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2280" w:hanging="759"/>
        <w:spacing w:after="0" w:line="288" w:lineRule="auto"/>
        <w:tabs>
          <w:tab w:leader="none" w:pos="2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2280" w:hanging="759"/>
        <w:spacing w:after="0" w:line="253"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3" w:lineRule="exact"/>
        <w:rPr>
          <w:rFonts w:ascii="Arial" w:cs="Arial" w:eastAsia="Arial" w:hAnsi="Arial"/>
          <w:sz w:val="18"/>
          <w:szCs w:val="18"/>
          <w:color w:val="auto"/>
        </w:rPr>
      </w:pPr>
    </w:p>
    <w:p>
      <w:pPr>
        <w:jc w:val="both"/>
        <w:ind w:left="2280" w:hanging="759"/>
        <w:spacing w:after="0" w:line="265" w:lineRule="auto"/>
        <w:tabs>
          <w:tab w:leader="none" w:pos="2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ind w:left="2300"/>
        <w:spacing w:after="0" w:line="250" w:lineRule="auto"/>
        <w:rPr>
          <w:rFonts w:ascii="Arial" w:cs="Arial" w:eastAsia="Arial" w:hAnsi="Arial"/>
          <w:sz w:val="17"/>
          <w:szCs w:val="17"/>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ind w:left="2300"/>
        <w:spacing w:after="0"/>
        <w:rPr>
          <w:rFonts w:ascii="Arial" w:cs="Arial" w:eastAsia="Arial" w:hAnsi="Arial"/>
          <w:sz w:val="17"/>
          <w:szCs w:val="17"/>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7"/>
          <w:szCs w:val="17"/>
          <w:color w:val="auto"/>
        </w:rPr>
      </w:pPr>
    </w:p>
    <w:p>
      <w:pPr>
        <w:ind w:left="2660" w:hanging="370"/>
        <w:spacing w:after="0"/>
        <w:tabs>
          <w:tab w:leader="none" w:pos="2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 value adequate to protect the Bank from loss;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loan exhibited two or more years of satisfactory repayment with a reasonable reduction of the principal balance;</w:t>
      </w:r>
    </w:p>
    <w:p>
      <w:pPr>
        <w:spacing w:after="0" w:line="20" w:lineRule="exact"/>
        <w:rPr>
          <w:rFonts w:ascii="Arial" w:cs="Arial" w:eastAsia="Arial" w:hAnsi="Arial"/>
          <w:sz w:val="17"/>
          <w:szCs w:val="17"/>
          <w:color w:val="auto"/>
        </w:rPr>
      </w:pPr>
    </w:p>
    <w:p>
      <w:pPr>
        <w:jc w:val="both"/>
        <w:ind w:left="2660" w:hanging="370"/>
        <w:spacing w:after="0" w:line="250" w:lineRule="auto"/>
        <w:tabs>
          <w:tab w:leader="none" w:pos="2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1"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2"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2" w:lineRule="exact"/>
        <w:rPr>
          <w:rFonts w:ascii="Arial" w:cs="Arial" w:eastAsia="Arial" w:hAnsi="Arial"/>
          <w:sz w:val="18"/>
          <w:szCs w:val="18"/>
          <w:color w:val="auto"/>
        </w:rPr>
      </w:pPr>
    </w:p>
    <w:p>
      <w:pPr>
        <w:ind w:left="2280" w:hanging="759"/>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9" w:lineRule="exact"/>
        <w:rPr>
          <w:rFonts w:ascii="Arial" w:cs="Arial" w:eastAsia="Arial" w:hAnsi="Arial"/>
          <w:sz w:val="18"/>
          <w:szCs w:val="18"/>
          <w:color w:val="auto"/>
        </w:rPr>
      </w:pPr>
    </w:p>
    <w:p>
      <w:pPr>
        <w:jc w:val="both"/>
        <w:ind w:left="2660" w:hanging="370"/>
        <w:spacing w:after="0" w:line="250" w:lineRule="auto"/>
        <w:tabs>
          <w:tab w:leader="none" w:pos="2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60" w:hanging="370"/>
        <w:spacing w:after="0"/>
        <w:tabs>
          <w:tab w:leader="none" w:pos="2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60" w:hanging="370"/>
        <w:spacing w:after="0"/>
        <w:tabs>
          <w:tab w:leader="none" w:pos="2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60" w:hanging="370"/>
        <w:spacing w:after="0"/>
        <w:tabs>
          <w:tab w:leader="none" w:pos="2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borrower is not generating enough cash flow to repay loan principal; however, continues to make interest payments.</w:t>
      </w:r>
    </w:p>
    <w:p>
      <w:pPr>
        <w:spacing w:after="0" w:line="32" w:lineRule="exact"/>
        <w:rPr>
          <w:rFonts w:ascii="Arial" w:cs="Arial" w:eastAsia="Arial" w:hAnsi="Arial"/>
          <w:sz w:val="16"/>
          <w:szCs w:val="16"/>
          <w:color w:val="auto"/>
        </w:rPr>
      </w:pPr>
    </w:p>
    <w:p>
      <w:pPr>
        <w:ind w:left="2660" w:hanging="370"/>
        <w:spacing w:after="0"/>
        <w:tabs>
          <w:tab w:leader="none" w:pos="2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60" w:hanging="370"/>
        <w:spacing w:after="0" w:line="250" w:lineRule="auto"/>
        <w:tabs>
          <w:tab w:leader="none" w:pos="2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60" w:hanging="370"/>
        <w:spacing w:after="0"/>
        <w:tabs>
          <w:tab w:leader="none" w:pos="2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2280" w:hanging="759"/>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60" w:right="2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60" w:hanging="370"/>
        <w:spacing w:after="0" w:line="250" w:lineRule="auto"/>
        <w:tabs>
          <w:tab w:leader="none" w:pos="2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2280" w:hanging="759"/>
        <w:spacing w:after="0" w:line="25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51"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June 30, 2018 and 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4"/>
              </w:rPr>
              <w:t>(In Thousands)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95"/>
              </w:rPr>
              <w:t>Industrial</w:t>
            </w:r>
          </w:p>
        </w:tc>
        <w:tc>
          <w:tcPr>
            <w:tcW w:w="20" w:type="dxa"/>
            <w:vAlign w:val="bottom"/>
          </w:tcPr>
          <w:p>
            <w:pPr>
              <w:spacing w:after="0"/>
              <w:rPr>
                <w:sz w:val="19"/>
                <w:szCs w:val="19"/>
                <w:color w:val="auto"/>
              </w:rPr>
            </w:pPr>
          </w:p>
        </w:tc>
      </w:tr>
      <w:tr>
        <w:trPr>
          <w:trHeight w:val="230"/>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Development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Bonds</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4,493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5,604</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2,151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14,414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34,305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30,774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18,285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50,899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65,061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363,946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93,664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2,854</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7,601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69,676</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104,980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410,886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116,439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6,071</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95"/>
              </w:rPr>
              <w:t>Industrial</w:t>
            </w:r>
          </w:p>
        </w:tc>
        <w:tc>
          <w:tcPr>
            <w:tcW w:w="20" w:type="dxa"/>
            <w:vAlign w:val="bottom"/>
          </w:tcPr>
          <w:p>
            <w:pPr>
              <w:spacing w:after="0"/>
              <w:rPr>
                <w:sz w:val="24"/>
                <w:szCs w:val="24"/>
                <w:color w:val="auto"/>
              </w:rPr>
            </w:pPr>
          </w:p>
        </w:tc>
      </w:tr>
      <w:tr>
        <w:trPr>
          <w:trHeight w:val="230"/>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Development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Bonds</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6,558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9,205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15,244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37,267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32,498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3,489</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359,600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99,581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2,926</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64,044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95,238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409,953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126,372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6,415</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9"/>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June 30, 2018 and December 31, 2017.</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Consumer</w:t>
            </w:r>
          </w:p>
        </w:tc>
      </w:tr>
      <w:tr>
        <w:trPr>
          <w:trHeight w:val="230"/>
        </w:trPr>
        <w:tc>
          <w:tcPr>
            <w:tcW w:w="4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Real Estate</w:t>
            </w:r>
          </w:p>
        </w:tc>
      </w:tr>
      <w:tr>
        <w:trPr>
          <w:trHeight w:val="209"/>
        </w:trPr>
        <w:tc>
          <w:tcPr>
            <w:tcW w:w="4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41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Pass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81,834</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82,632</w:t>
            </w: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4140" w:type="dxa"/>
            <w:vAlign w:val="bottom"/>
          </w:tcPr>
          <w:p>
            <w:pPr>
              <w:ind w:left="246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83,200</w:t>
            </w: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Consumer - Credit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Consumer - Other</w:t>
            </w:r>
          </w:p>
        </w:tc>
      </w:tr>
      <w:tr>
        <w:trPr>
          <w:trHeight w:val="209"/>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w w:val="92"/>
              </w:rPr>
              <w:t>June 30,</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w w:val="99"/>
              </w:rPr>
              <w:t>December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w w:val="92"/>
              </w:rPr>
              <w:t>June 30,</w:t>
            </w:r>
          </w:p>
        </w:tc>
        <w:tc>
          <w:tcPr>
            <w:tcW w:w="1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230"/>
        </w:trPr>
        <w:tc>
          <w:tcPr>
            <w:tcW w:w="53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4,108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36,579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33,666</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3,998</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36,597</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33,694</w:t>
            </w: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June 30, 2018, December 31, 2017 and June 30, 2017 are as follows:</w:t>
      </w:r>
    </w:p>
    <w:p>
      <w:pPr>
        <w:spacing w:after="0" w:line="26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1"/>
              </w:rPr>
              <w:t>June 30, 2018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December 31, 2017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2"/>
              </w:rPr>
              <w:t>June 30, 2017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7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5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w:t>
            </w: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still accruing</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7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2,160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loans</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1,885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85"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Bank had approximately $107 thousand of its impaired loans classified as troubled debt restructured (TDR) as of June 30, 2018, $534 thousand as of December 31, 2017 and $546 thousand as of June 30, 2017. During the year to date 2018 and 2017, there were no new loans considered TDR.</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 the three and six month period ended June 30, 2018 and 2017, there were no TDRs that subsequently defaulted after modification.</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 the six month period ended June 30, 2018, $418 thousand of impaired loans classified as TDR involving one relationship was paid off.</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760" w:right="2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37"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three months ended June 30, 2018 and June 30, 2017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QTD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QTD</w:t>
            </w:r>
          </w:p>
        </w:tc>
        <w:tc>
          <w:tcPr>
            <w:tcW w:w="2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w w:val="93"/>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Three Months Ended June 30, 2018</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4"/>
              </w:rPr>
              <w:t>Unpaid</w:t>
            </w:r>
          </w:p>
        </w:tc>
        <w:tc>
          <w:tcPr>
            <w:tcW w:w="1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w w:val="94"/>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w w:val="87"/>
              </w:rPr>
              <w:t>Recorded</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5"/>
              </w:rPr>
              <w:t>Principal</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Related</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w w:val="94"/>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Investment</w:t>
            </w:r>
          </w:p>
        </w:tc>
        <w:tc>
          <w:tcPr>
            <w:tcW w:w="16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89"/>
              </w:rPr>
              <w:t>Balance</w:t>
            </w:r>
          </w:p>
        </w:tc>
        <w:tc>
          <w:tcPr>
            <w:tcW w:w="108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Allowance</w:t>
            </w:r>
          </w:p>
        </w:tc>
        <w:tc>
          <w:tcPr>
            <w:tcW w:w="11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6"/>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right w:val="single" w:sz="8" w:color="auto"/>
            </w:tcBorders>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526</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auto"/>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394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436</w:t>
            </w:r>
          </w:p>
        </w:tc>
        <w:tc>
          <w:tcPr>
            <w:tcW w:w="2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w w:val="79"/>
              </w:rPr>
              <w:t>17</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52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9"/>
              </w:rPr>
              <w:t>QTD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QTD</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Three Months Ended June 30, 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3"/>
              </w:rPr>
              <w:t>Investment</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Balance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Allowance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923</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948</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1,008</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1,035</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492</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tables present loans individually evaluated for impairment by class of loans for six months ended June 30, 2018 and June 30, 2017.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YTD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YTD</w:t>
            </w:r>
          </w:p>
        </w:tc>
        <w:tc>
          <w:tcPr>
            <w:tcW w:w="2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w w:val="93"/>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Six Months Ended June 30, 2018</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4"/>
              </w:rPr>
              <w:t>Unpaid</w:t>
            </w:r>
          </w:p>
        </w:tc>
        <w:tc>
          <w:tcPr>
            <w:tcW w:w="1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w w:val="94"/>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w w:val="87"/>
              </w:rPr>
              <w:t>Recorded</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5"/>
              </w:rPr>
              <w:t>Principal</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w w:val="93"/>
              </w:rPr>
              <w:t>Related</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w w:val="94"/>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Investment</w:t>
            </w:r>
          </w:p>
        </w:tc>
        <w:tc>
          <w:tcPr>
            <w:tcW w:w="16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89"/>
              </w:rPr>
              <w:t>Balance</w:t>
            </w:r>
          </w:p>
        </w:tc>
        <w:tc>
          <w:tcPr>
            <w:tcW w:w="108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Allowance</w:t>
            </w:r>
          </w:p>
        </w:tc>
        <w:tc>
          <w:tcPr>
            <w:tcW w:w="11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6"/>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606</w:t>
            </w:r>
          </w:p>
        </w:tc>
        <w:tc>
          <w:tcPr>
            <w:tcW w:w="160" w:type="dxa"/>
            <w:vAlign w:val="bottom"/>
            <w:tcBorders>
              <w:right w:val="single" w:sz="8" w:color="auto"/>
            </w:tcBorders>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509</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tcBorders>
              <w:right w:val="single" w:sz="8" w:color="auto"/>
            </w:tcBorders>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10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auto"/>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394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432</w:t>
            </w:r>
          </w:p>
        </w:tc>
        <w:tc>
          <w:tcPr>
            <w:tcW w:w="2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right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w w:val="79"/>
              </w:rPr>
              <w:t>19</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52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rPr>
              <w:t>YTD</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Six Months Ended June 30, 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060" w:type="dxa"/>
            <w:vAlign w:val="bottom"/>
            <w:tcBorders>
              <w:bottom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3"/>
              </w:rPr>
              <w:t>Investment</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Balance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Allowance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923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976</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1,066</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492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496</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As of June 30, 2018, the Company had no foreclosed residential real estate property obtained by physical possession and $255 thousand of consumer mortgage loans secured by residential real estate properties for which foreclosure proceedings are in process according to local jurisdictions. As of June 30, 2017, the Company had $25 thousand of foreclosed residential real estate property obtained by physical possession and $36 thousand of consumer mortgage loans secured by residential real estate properties for which foreclosure proceedings were in process according to local jurisdictions.</w:t>
      </w:r>
    </w:p>
    <w:p>
      <w:pPr>
        <w:spacing w:after="0" w:line="14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(In Thousands)</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4"/>
              </w:rPr>
              <w:t>Six Months</w:t>
            </w:r>
          </w:p>
        </w:tc>
        <w:tc>
          <w:tcPr>
            <w:tcW w:w="2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4"/>
              </w:rPr>
              <w:t>Twelve Months</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0"/>
              </w:rPr>
              <w:t>December 31,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80" w:type="dxa"/>
            <w:vAlign w:val="bottom"/>
            <w:tcBorders>
              <w:bottom w:val="single" w:sz="8" w:color="CFF0FC"/>
            </w:tcBorders>
          </w:tcPr>
          <w:p>
            <w:pPr>
              <w:spacing w:after="0"/>
              <w:rPr>
                <w:sz w:val="20"/>
                <w:szCs w:val="20"/>
                <w:color w:val="auto"/>
              </w:rPr>
            </w:pPr>
          </w:p>
        </w:tc>
        <w:tc>
          <w:tcPr>
            <w:tcW w:w="162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87"/>
              </w:rPr>
              <w:t>June 30, 2018</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6,784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6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Allowance for Loan &amp; Lease Losses</w:t>
            </w:r>
          </w:p>
        </w:tc>
        <w:tc>
          <w:tcPr>
            <w:tcW w:w="1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6,789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6,868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Allowance for Unfunded Loan Commitments &amp;</w:t>
            </w:r>
          </w:p>
        </w:tc>
        <w:tc>
          <w:tcPr>
            <w:tcW w:w="16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Letters of Credit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1720"/>
              <w:spacing w:after="0"/>
              <w:rPr>
                <w:sz w:val="20"/>
                <w:szCs w:val="20"/>
                <w:color w:val="auto"/>
              </w:rPr>
            </w:pPr>
            <w:r>
              <w:rPr>
                <w:rFonts w:ascii="Arial" w:cs="Arial" w:eastAsia="Arial" w:hAnsi="Arial"/>
                <w:sz w:val="18"/>
                <w:szCs w:val="18"/>
                <w:color w:val="auto"/>
              </w:rPr>
              <w:t>Total Allowance for Credit Losses</w:t>
            </w: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20" w:type="dxa"/>
            <w:vAlign w:val="bottom"/>
            <w:vMerge w:val="restart"/>
          </w:tcPr>
          <w:p>
            <w:pPr>
              <w:jc w:val="right"/>
              <w:ind w:right="11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8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3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362" w:lineRule="exact"/>
        <w:rPr>
          <w:sz w:val="20"/>
          <w:szCs w:val="20"/>
          <w:color w:val="auto"/>
        </w:rPr>
      </w:pPr>
    </w:p>
    <w:p>
      <w:pPr>
        <w:ind w:left="4420" w:hanging="110"/>
        <w:spacing w:after="0"/>
        <w:tabs>
          <w:tab w:leader="none" w:pos="4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81"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June 30, 2018 and June 30, 2017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Unfunded</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9"/>
              </w:rPr>
              <w:t>Loan</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Commitment</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Commercial</w:t>
            </w:r>
          </w:p>
        </w:tc>
        <w:tc>
          <w:tcPr>
            <w:tcW w:w="11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tcBorders>
              <w:right w:val="single" w:sz="8" w:color="auto"/>
            </w:tcBorders>
            <w:gridSpan w:val="3"/>
          </w:tcPr>
          <w:p>
            <w:pPr>
              <w:ind w:left="62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4"/>
              </w:rPr>
              <w:t>Real Estate</w:t>
            </w:r>
          </w:p>
        </w:tc>
        <w:tc>
          <w:tcPr>
            <w:tcW w:w="11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and Industrial</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Credit</w:t>
            </w:r>
          </w:p>
        </w:tc>
        <w:tc>
          <w:tcPr>
            <w:tcW w:w="10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Unallocated</w:t>
            </w:r>
          </w:p>
        </w:tc>
        <w:tc>
          <w:tcPr>
            <w:tcW w:w="3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38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  Months</w:t>
            </w:r>
          </w:p>
        </w:tc>
        <w:tc>
          <w:tcPr>
            <w:tcW w:w="620" w:type="dxa"/>
            <w:vAlign w:val="bottom"/>
            <w:tcBorders>
              <w:top w:val="single" w:sz="8" w:color="CFF0FC"/>
            </w:tcBorders>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w w:val="90"/>
              </w:rPr>
              <w:t>Ended</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2018</w:t>
            </w: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8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FOR</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Beginning balance</w:t>
            </w: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3,674</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1,443</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431</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4"/>
          </w:tcPr>
          <w:p>
            <w:pPr>
              <w:ind w:left="260"/>
              <w:spacing w:after="0"/>
              <w:rPr>
                <w:sz w:val="20"/>
                <w:szCs w:val="20"/>
                <w:color w:val="auto"/>
              </w:rPr>
            </w:pPr>
            <w:r>
              <w:rPr>
                <w:rFonts w:ascii="Arial" w:cs="Arial" w:eastAsia="Arial" w:hAnsi="Arial"/>
                <w:sz w:val="18"/>
                <w:szCs w:val="18"/>
                <w:color w:val="auto"/>
              </w:rPr>
              <w:t>Provision (Credit)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3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Other</w:t>
            </w:r>
          </w:p>
        </w:tc>
        <w:tc>
          <w:tcPr>
            <w:tcW w:w="150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Non-interest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3,260</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1,420</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300" w:type="dxa"/>
            <w:vAlign w:val="bottom"/>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1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6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205</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3,260</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1,334</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3"/>
              </w:rPr>
              <w:t>balance:</w:t>
            </w:r>
          </w:p>
        </w:tc>
        <w:tc>
          <w:tcPr>
            <w:tcW w:w="6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loans</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w w:val="91"/>
              </w:rPr>
              <w:t>deteriorated</w:t>
            </w:r>
          </w:p>
        </w:tc>
        <w:tc>
          <w:tcPr>
            <w:tcW w:w="8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credit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6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82,368</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69,676</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104,980</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410,886</w:t>
            </w:r>
          </w:p>
        </w:tc>
        <w:tc>
          <w:tcPr>
            <w:tcW w:w="2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122,510</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40,595</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831,015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30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6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860</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3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balance:</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81,508</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69,676</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104,980</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410,688</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122,116</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40,595</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829,563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w w:val="93"/>
              </w:rPr>
              <w:t>balance:</w:t>
            </w:r>
          </w:p>
        </w:tc>
        <w:tc>
          <w:tcPr>
            <w:tcW w:w="6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480"/>
              <w:spacing w:after="0"/>
              <w:rPr>
                <w:sz w:val="20"/>
                <w:szCs w:val="20"/>
                <w:color w:val="auto"/>
              </w:rPr>
            </w:pPr>
            <w:r>
              <w:rPr>
                <w:rFonts w:ascii="Arial" w:cs="Arial" w:eastAsia="Arial" w:hAnsi="Arial"/>
                <w:sz w:val="18"/>
                <w:szCs w:val="18"/>
                <w:color w:val="auto"/>
                <w:w w:val="91"/>
              </w:rPr>
              <w:t>deteriorated</w:t>
            </w:r>
          </w:p>
        </w:tc>
        <w:tc>
          <w:tcPr>
            <w:tcW w:w="820" w:type="dxa"/>
            <w:vAlign w:val="bottom"/>
            <w:gridSpan w:val="2"/>
          </w:tcPr>
          <w:p>
            <w:pPr>
              <w:jc w:val="right"/>
              <w:ind w:right="210"/>
              <w:spacing w:after="0"/>
              <w:rPr>
                <w:sz w:val="20"/>
                <w:szCs w:val="20"/>
                <w:color w:val="auto"/>
              </w:rPr>
            </w:pPr>
            <w:r>
              <w:rPr>
                <w:rFonts w:ascii="Arial" w:cs="Arial" w:eastAsia="Arial" w:hAnsi="Arial"/>
                <w:sz w:val="18"/>
                <w:szCs w:val="18"/>
                <w:color w:val="auto"/>
              </w:rPr>
              <w:t>credit</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quality</w:t>
            </w:r>
          </w:p>
        </w:tc>
        <w:tc>
          <w:tcPr>
            <w:tcW w:w="680" w:type="dxa"/>
            <w:vAlign w:val="bottom"/>
          </w:tcPr>
          <w:p>
            <w:pPr>
              <w:spacing w:after="0"/>
              <w:rPr>
                <w:sz w:val="20"/>
                <w:szCs w:val="20"/>
                <w:color w:val="auto"/>
              </w:rPr>
            </w:pP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gridSpan w:val="5"/>
          </w:tcPr>
          <w:p>
            <w:pPr>
              <w:ind w:left="20"/>
              <w:spacing w:after="0"/>
              <w:rPr>
                <w:sz w:val="20"/>
                <w:szCs w:val="20"/>
                <w:color w:val="auto"/>
              </w:rPr>
            </w:pPr>
            <w:r>
              <w:rPr>
                <w:rFonts w:ascii="Arial" w:cs="Arial" w:eastAsia="Arial" w:hAnsi="Arial"/>
                <w:sz w:val="18"/>
                <w:szCs w:val="18"/>
                <w:color w:val="auto"/>
                <w:w w:val="98"/>
              </w:rPr>
              <w:t>NOTE 4 LOANS (Continued)</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4"/>
              </w:rPr>
              <w:t>Loan</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w w:val="96"/>
              </w:rPr>
              <w:t>Commitment</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1"/>
              </w:rPr>
              <w:t>Consumer</w:t>
            </w:r>
          </w:p>
        </w:tc>
        <w:tc>
          <w:tcPr>
            <w:tcW w:w="10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Commercial</w:t>
            </w:r>
          </w:p>
        </w:tc>
        <w:tc>
          <w:tcPr>
            <w:tcW w:w="11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Commercial</w:t>
            </w: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Borders>
              <w:bottom w:val="single" w:sz="8" w:color="CFF0FC"/>
            </w:tcBorders>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460" w:type="dxa"/>
            <w:vAlign w:val="bottom"/>
            <w:tcBorders>
              <w:bottom w:val="single" w:sz="8" w:color="CFF0FC"/>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9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4"/>
              </w:rPr>
              <w:t>Real Estate</w:t>
            </w:r>
          </w:p>
        </w:tc>
        <w:tc>
          <w:tcPr>
            <w:tcW w:w="1040" w:type="dxa"/>
            <w:vAlign w:val="bottom"/>
            <w:tcBorders>
              <w:bottom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4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2"/>
              </w:rPr>
              <w:t>Real Estate</w:t>
            </w:r>
          </w:p>
        </w:tc>
        <w:tc>
          <w:tcPr>
            <w:tcW w:w="11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and Industrial</w:t>
            </w:r>
          </w:p>
        </w:tc>
        <w:tc>
          <w:tcPr>
            <w:tcW w:w="9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Consumer</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Credit</w:t>
            </w:r>
          </w:p>
        </w:tc>
        <w:tc>
          <w:tcPr>
            <w:tcW w:w="106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Unallocated</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740" w:type="dxa"/>
            <w:vAlign w:val="bottom"/>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6"/>
              </w:rPr>
              <w:t>Three Months Ended</w:t>
            </w: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tcBorders>
              <w:left w:val="single" w:sz="8" w:color="auto"/>
            </w:tcBorders>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2017</w:t>
            </w:r>
          </w:p>
        </w:tc>
        <w:tc>
          <w:tcPr>
            <w:tcW w:w="4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20" w:type="dxa"/>
            <w:vAlign w:val="bottom"/>
            <w:tcBorders>
              <w:left w:val="single" w:sz="8" w:color="auto"/>
            </w:tcBorders>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FOR</w:t>
            </w: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3,008</w:t>
            </w:r>
          </w:p>
        </w:tc>
        <w:tc>
          <w:tcPr>
            <w:tcW w:w="2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gridSpan w:val="3"/>
          </w:tcPr>
          <w:p>
            <w:pPr>
              <w:ind w:left="260"/>
              <w:spacing w:after="0"/>
              <w:rPr>
                <w:sz w:val="20"/>
                <w:szCs w:val="20"/>
                <w:color w:val="auto"/>
              </w:rPr>
            </w:pPr>
            <w:r>
              <w:rPr>
                <w:rFonts w:ascii="Arial" w:cs="Arial" w:eastAsia="Arial" w:hAnsi="Arial"/>
                <w:sz w:val="18"/>
                <w:szCs w:val="18"/>
                <w:color w:val="auto"/>
              </w:rPr>
              <w:t>Provision (Credit)</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6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8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Non-interest</w:t>
            </w: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w w:val="98"/>
              </w:rPr>
              <w:t>expense related to</w:t>
            </w: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4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w w:val="99"/>
              </w:rPr>
              <w:t>Ending Balance</w:t>
            </w:r>
          </w:p>
        </w:tc>
        <w:tc>
          <w:tcPr>
            <w:tcW w:w="46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596</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3,076</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1,352</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407</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Ending</w:t>
            </w:r>
          </w:p>
        </w:tc>
        <w:tc>
          <w:tcPr>
            <w:tcW w:w="1720" w:type="dxa"/>
            <w:vAlign w:val="bottom"/>
            <w:gridSpan w:val="3"/>
            <w:shd w:val="clear" w:color="auto" w:fill="CFF0FC"/>
          </w:tcPr>
          <w:p>
            <w:pPr>
              <w:jc w:val="right"/>
              <w:spacing w:after="0" w:line="195" w:lineRule="exact"/>
              <w:rPr>
                <w:sz w:val="20"/>
                <w:szCs w:val="20"/>
                <w:color w:val="auto"/>
              </w:rPr>
            </w:pPr>
            <w:r>
              <w:rPr>
                <w:rFonts w:ascii="Arial" w:cs="Arial" w:eastAsia="Arial" w:hAnsi="Arial"/>
                <w:sz w:val="18"/>
                <w:szCs w:val="18"/>
                <w:color w:val="auto"/>
              </w:rPr>
              <w:t>balance: individually</w:t>
            </w:r>
          </w:p>
        </w:tc>
        <w:tc>
          <w:tcPr>
            <w:tcW w:w="20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tcBorders>
              <w:left w:val="single" w:sz="8" w:color="auto"/>
            </w:tcBorders>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evaluated</w:t>
            </w:r>
          </w:p>
        </w:tc>
        <w:tc>
          <w:tcPr>
            <w:tcW w:w="4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w w:val="97"/>
              </w:rPr>
              <w:t>for impairment</w:t>
            </w:r>
          </w:p>
        </w:tc>
        <w:tc>
          <w:tcPr>
            <w:tcW w:w="4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700" w:type="dxa"/>
            <w:vAlign w:val="bottom"/>
            <w:vMerge w:val="restart"/>
          </w:tcPr>
          <w:p>
            <w:pPr>
              <w:ind w:left="80"/>
              <w:spacing w:after="0"/>
              <w:rPr>
                <w:sz w:val="20"/>
                <w:szCs w:val="20"/>
                <w:color w:val="auto"/>
              </w:rPr>
            </w:pPr>
            <w:r>
              <w:rPr>
                <w:rFonts w:ascii="Arial" w:cs="Arial" w:eastAsia="Arial" w:hAnsi="Arial"/>
                <w:sz w:val="18"/>
                <w:szCs w:val="18"/>
                <w:color w:val="auto"/>
                <w:w w:val="88"/>
              </w:rPr>
              <w:t>balance:</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collectively</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evaluated</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w w:val="97"/>
              </w:rPr>
              <w:t>for impairment</w:t>
            </w:r>
          </w:p>
        </w:tc>
        <w:tc>
          <w:tcPr>
            <w:tcW w:w="460" w:type="dxa"/>
            <w:vAlign w:val="bottom"/>
            <w:tcBorders>
              <w:bottom w:val="single" w:sz="8" w:color="CFF0FC"/>
            </w:tcBorders>
          </w:tcPr>
          <w:p>
            <w:pPr>
              <w:spacing w:after="0"/>
              <w:rPr>
                <w:sz w:val="23"/>
                <w:szCs w:val="23"/>
                <w:color w:val="auto"/>
              </w:rPr>
            </w:pPr>
          </w:p>
        </w:tc>
        <w:tc>
          <w:tcPr>
            <w:tcW w:w="56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596</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3,019</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1,319</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407</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Ending</w:t>
            </w:r>
          </w:p>
        </w:tc>
        <w:tc>
          <w:tcPr>
            <w:tcW w:w="1160" w:type="dxa"/>
            <w:vAlign w:val="bottom"/>
            <w:gridSpan w:val="2"/>
            <w:shd w:val="clear" w:color="auto" w:fill="CFF0FC"/>
          </w:tcPr>
          <w:p>
            <w:pPr>
              <w:ind w:left="300"/>
              <w:spacing w:after="0" w:line="196" w:lineRule="exact"/>
              <w:rPr>
                <w:sz w:val="20"/>
                <w:szCs w:val="20"/>
                <w:color w:val="auto"/>
              </w:rPr>
            </w:pPr>
            <w:r>
              <w:rPr>
                <w:rFonts w:ascii="Arial" w:cs="Arial" w:eastAsia="Arial" w:hAnsi="Arial"/>
                <w:sz w:val="18"/>
                <w:szCs w:val="18"/>
                <w:color w:val="auto"/>
              </w:rPr>
              <w:t>balance:</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loans</w:t>
            </w:r>
          </w:p>
        </w:tc>
        <w:tc>
          <w:tcPr>
            <w:tcW w:w="20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tcBorders>
              <w:left w:val="single" w:sz="8" w:color="auto"/>
            </w:tcBorders>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4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FF0FC"/>
            </w:tcBorders>
            <w:gridSpan w:val="4"/>
            <w:shd w:val="clear" w:color="auto" w:fill="CFF0FC"/>
          </w:tcPr>
          <w:p>
            <w:pPr>
              <w:ind w:left="140"/>
              <w:spacing w:after="0"/>
              <w:rPr>
                <w:sz w:val="20"/>
                <w:szCs w:val="20"/>
                <w:color w:val="auto"/>
              </w:rPr>
            </w:pPr>
            <w:r>
              <w:rPr>
                <w:rFonts w:ascii="Arial" w:cs="Arial" w:eastAsia="Arial" w:hAnsi="Arial"/>
                <w:sz w:val="18"/>
                <w:szCs w:val="18"/>
                <w:color w:val="auto"/>
              </w:rPr>
              <w:t>deteriorated credit quality</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Borders>
              <w:lef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4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83,903</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64,003</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83,771</w:t>
            </w: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394,051</w:t>
            </w:r>
          </w:p>
        </w:tc>
        <w:tc>
          <w:tcPr>
            <w:tcW w:w="2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129,675</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35,435</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790,838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color w:val="auto"/>
              </w:rPr>
              <w:t>balance: individually</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evaluated</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w w:val="97"/>
              </w:rPr>
              <w:t>for impairment</w:t>
            </w:r>
          </w:p>
        </w:tc>
        <w:tc>
          <w:tcPr>
            <w:tcW w:w="460" w:type="dxa"/>
            <w:vAlign w:val="bottom"/>
            <w:tcBorders>
              <w:bottom w:val="single" w:sz="8" w:color="CFF0FC"/>
            </w:tcBorders>
          </w:tcPr>
          <w:p>
            <w:pPr>
              <w:spacing w:after="0"/>
              <w:rPr>
                <w:sz w:val="23"/>
                <w:szCs w:val="23"/>
                <w:color w:val="auto"/>
              </w:rPr>
            </w:pPr>
          </w:p>
        </w:tc>
        <w:tc>
          <w:tcPr>
            <w:tcW w:w="56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1,008</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492</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Ending</w:t>
            </w:r>
          </w:p>
        </w:tc>
        <w:tc>
          <w:tcPr>
            <w:tcW w:w="70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w w:val="88"/>
              </w:rPr>
              <w:t>balance:</w:t>
            </w:r>
          </w:p>
        </w:tc>
        <w:tc>
          <w:tcPr>
            <w:tcW w:w="10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collectively</w:t>
            </w:r>
          </w:p>
        </w:tc>
        <w:tc>
          <w:tcPr>
            <w:tcW w:w="20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20" w:type="dxa"/>
            <w:vAlign w:val="bottom"/>
            <w:tcBorders>
              <w:left w:val="single" w:sz="8" w:color="auto"/>
            </w:tcBorders>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evaluated</w:t>
            </w:r>
          </w:p>
        </w:tc>
        <w:tc>
          <w:tcPr>
            <w:tcW w:w="4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w w:val="97"/>
              </w:rPr>
              <w:t>for impairment</w:t>
            </w:r>
          </w:p>
        </w:tc>
        <w:tc>
          <w:tcPr>
            <w:tcW w:w="4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82,895</w:t>
            </w: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63,902</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83,771</w:t>
            </w: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393,559</w:t>
            </w:r>
          </w:p>
        </w:tc>
        <w:tc>
          <w:tcPr>
            <w:tcW w:w="2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129,561</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35,435</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789,123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8"/>
                <w:szCs w:val="18"/>
                <w:color w:val="auto"/>
                <w:w w:val="99"/>
              </w:rPr>
              <w:t>Ending</w:t>
            </w:r>
          </w:p>
        </w:tc>
        <w:tc>
          <w:tcPr>
            <w:tcW w:w="1160" w:type="dxa"/>
            <w:vAlign w:val="bottom"/>
            <w:gridSpan w:val="2"/>
            <w:vMerge w:val="restart"/>
          </w:tcPr>
          <w:p>
            <w:pPr>
              <w:ind w:left="300"/>
              <w:spacing w:after="0"/>
              <w:rPr>
                <w:sz w:val="20"/>
                <w:szCs w:val="20"/>
                <w:color w:val="auto"/>
              </w:rPr>
            </w:pPr>
            <w:r>
              <w:rPr>
                <w:rFonts w:ascii="Arial" w:cs="Arial" w:eastAsia="Arial" w:hAnsi="Arial"/>
                <w:sz w:val="18"/>
                <w:szCs w:val="18"/>
                <w:color w:val="auto"/>
              </w:rPr>
              <w:t>balance:</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loans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4"/>
          </w:tcPr>
          <w:p>
            <w:pPr>
              <w:ind w:left="140"/>
              <w:spacing w:after="0"/>
              <w:rPr>
                <w:sz w:val="20"/>
                <w:szCs w:val="20"/>
                <w:color w:val="auto"/>
              </w:rPr>
            </w:pPr>
            <w:r>
              <w:rPr>
                <w:rFonts w:ascii="Arial" w:cs="Arial" w:eastAsia="Arial" w:hAnsi="Arial"/>
                <w:sz w:val="18"/>
                <w:szCs w:val="18"/>
                <w:color w:val="auto"/>
              </w:rPr>
              <w:t>deteriorated credit quality</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9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six months ended June 30, 2018 and June 30, 2017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Unfunded</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Loan</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Commitment</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89"/>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Borders>
              <w:right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Real Estate</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2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20"/>
                <w:szCs w:val="20"/>
                <w:color w:val="auto"/>
              </w:rPr>
            </w:pPr>
          </w:p>
        </w:tc>
        <w:tc>
          <w:tcPr>
            <w:tcW w:w="9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Credit</w:t>
            </w:r>
          </w:p>
        </w:tc>
        <w:tc>
          <w:tcPr>
            <w:tcW w:w="10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Unallocated</w:t>
            </w:r>
          </w:p>
        </w:tc>
        <w:tc>
          <w:tcPr>
            <w:tcW w:w="3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92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Six   Months   Ended</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30, 2018</w:t>
            </w: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740" w:type="dxa"/>
            <w:vAlign w:val="bottom"/>
            <w:gridSpan w:val="2"/>
          </w:tcPr>
          <w:p>
            <w:pPr>
              <w:jc w:val="right"/>
              <w:ind w:right="217"/>
              <w:spacing w:after="0"/>
              <w:rPr>
                <w:sz w:val="20"/>
                <w:szCs w:val="20"/>
                <w:color w:val="auto"/>
              </w:rPr>
            </w:pPr>
            <w:r>
              <w:rPr>
                <w:rFonts w:ascii="Arial" w:cs="Arial" w:eastAsia="Arial" w:hAnsi="Arial"/>
                <w:sz w:val="18"/>
                <w:szCs w:val="18"/>
                <w:b w:val="1"/>
                <w:bCs w:val="1"/>
                <w:color w:val="auto"/>
              </w:rPr>
              <w:t>FOR</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Beginning balance</w:t>
            </w:r>
          </w:p>
        </w:tc>
        <w:tc>
          <w:tcPr>
            <w:tcW w:w="74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3,149</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1,546</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478</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gridSpan w:val="4"/>
          </w:tcPr>
          <w:p>
            <w:pPr>
              <w:ind w:left="260"/>
              <w:spacing w:after="0"/>
              <w:rPr>
                <w:sz w:val="20"/>
                <w:szCs w:val="20"/>
                <w:color w:val="auto"/>
              </w:rPr>
            </w:pPr>
            <w:r>
              <w:rPr>
                <w:rFonts w:ascii="Arial" w:cs="Arial" w:eastAsia="Arial" w:hAnsi="Arial"/>
                <w:sz w:val="18"/>
                <w:szCs w:val="18"/>
                <w:color w:val="auto"/>
              </w:rPr>
              <w:t>Provision (Credit)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8"/>
              </w:rPr>
              <w:t>Other</w:t>
            </w:r>
          </w:p>
        </w:tc>
        <w:tc>
          <w:tcPr>
            <w:tcW w:w="1440" w:type="dxa"/>
            <w:vAlign w:val="bottom"/>
            <w:gridSpan w:val="3"/>
            <w:shd w:val="clear" w:color="auto" w:fill="CFF0FC"/>
          </w:tcPr>
          <w:p>
            <w:pPr>
              <w:jc w:val="right"/>
              <w:ind w:right="217"/>
              <w:spacing w:after="0"/>
              <w:rPr>
                <w:sz w:val="20"/>
                <w:szCs w:val="20"/>
                <w:color w:val="auto"/>
              </w:rPr>
            </w:pPr>
            <w:r>
              <w:rPr>
                <w:rFonts w:ascii="Arial" w:cs="Arial" w:eastAsia="Arial" w:hAnsi="Arial"/>
                <w:sz w:val="18"/>
                <w:szCs w:val="18"/>
                <w:color w:val="auto"/>
              </w:rPr>
              <w:t>Non-interest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5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88</w:t>
            </w:r>
          </w:p>
        </w:tc>
        <w:tc>
          <w:tcPr>
            <w:tcW w:w="4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5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3,260</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1,420</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315</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393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24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4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12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4"/>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74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751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3,260</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1,334</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459</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315</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6,972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w w:val="99"/>
              </w:rPr>
              <w:t>balance:</w:t>
            </w:r>
          </w:p>
        </w:tc>
        <w:tc>
          <w:tcPr>
            <w:tcW w:w="54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7"/>
              </w:rPr>
              <w:t>loans</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w w:val="99"/>
              </w:rPr>
              <w:t>deteriorated</w:t>
            </w:r>
          </w:p>
        </w:tc>
        <w:tc>
          <w:tcPr>
            <w:tcW w:w="740" w:type="dxa"/>
            <w:vAlign w:val="bottom"/>
            <w:gridSpan w:val="2"/>
            <w:shd w:val="clear" w:color="auto" w:fill="CFF0FC"/>
          </w:tcPr>
          <w:p>
            <w:pPr>
              <w:jc w:val="right"/>
              <w:ind w:right="237"/>
              <w:spacing w:after="0"/>
              <w:rPr>
                <w:sz w:val="20"/>
                <w:szCs w:val="20"/>
                <w:color w:val="auto"/>
              </w:rPr>
            </w:pPr>
            <w:r>
              <w:rPr>
                <w:rFonts w:ascii="Arial" w:cs="Arial" w:eastAsia="Arial" w:hAnsi="Arial"/>
                <w:sz w:val="18"/>
                <w:szCs w:val="18"/>
                <w:color w:val="auto"/>
                <w:w w:val="90"/>
              </w:rPr>
              <w:t>credit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7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3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74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82,368</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69,676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104,980</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410,886</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122,510</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40,595</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831,015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24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4"/>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74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860</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394</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240" w:type="dxa"/>
            <w:vAlign w:val="bottom"/>
            <w:tcBorders>
              <w:top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4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81,508</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69,676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104,980</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410,688</w:t>
            </w:r>
          </w:p>
        </w:tc>
        <w:tc>
          <w:tcPr>
            <w:tcW w:w="3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122,116</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40,595</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829,563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9"/>
              </w:rPr>
              <w:t>balance:</w:t>
            </w:r>
          </w:p>
        </w:tc>
        <w:tc>
          <w:tcPr>
            <w:tcW w:w="54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97"/>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400"/>
              <w:spacing w:after="0"/>
              <w:rPr>
                <w:sz w:val="20"/>
                <w:szCs w:val="20"/>
                <w:color w:val="auto"/>
              </w:rPr>
            </w:pPr>
            <w:r>
              <w:rPr>
                <w:rFonts w:ascii="Arial" w:cs="Arial" w:eastAsia="Arial" w:hAnsi="Arial"/>
                <w:sz w:val="18"/>
                <w:szCs w:val="18"/>
                <w:color w:val="auto"/>
                <w:w w:val="99"/>
              </w:rPr>
              <w:t>deteriorated</w:t>
            </w:r>
          </w:p>
        </w:tc>
        <w:tc>
          <w:tcPr>
            <w:tcW w:w="740" w:type="dxa"/>
            <w:vAlign w:val="bottom"/>
            <w:gridSpan w:val="2"/>
          </w:tcPr>
          <w:p>
            <w:pPr>
              <w:jc w:val="right"/>
              <w:ind w:right="237"/>
              <w:spacing w:after="0"/>
              <w:rPr>
                <w:sz w:val="20"/>
                <w:szCs w:val="20"/>
                <w:color w:val="auto"/>
              </w:rPr>
            </w:pPr>
            <w:r>
              <w:rPr>
                <w:rFonts w:ascii="Arial" w:cs="Arial" w:eastAsia="Arial" w:hAnsi="Arial"/>
                <w:sz w:val="18"/>
                <w:szCs w:val="18"/>
                <w:color w:val="auto"/>
                <w:w w:val="90"/>
              </w:rPr>
              <w:t>credit</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quality</w:t>
            </w:r>
          </w:p>
        </w:tc>
        <w:tc>
          <w:tcPr>
            <w:tcW w:w="700" w:type="dxa"/>
            <w:vAlign w:val="bottom"/>
          </w:tcPr>
          <w:p>
            <w:pPr>
              <w:spacing w:after="0"/>
              <w:rPr>
                <w:sz w:val="20"/>
                <w:szCs w:val="20"/>
                <w:color w:val="auto"/>
              </w:rPr>
            </w:pPr>
          </w:p>
        </w:tc>
        <w:tc>
          <w:tcPr>
            <w:tcW w:w="74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119</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20" w:type="dxa"/>
            <w:vAlign w:val="bottom"/>
            <w:gridSpan w:val="6"/>
          </w:tcPr>
          <w:p>
            <w:pPr>
              <w:ind w:left="60"/>
              <w:spacing w:after="0"/>
              <w:rPr>
                <w:sz w:val="20"/>
                <w:szCs w:val="20"/>
                <w:color w:val="auto"/>
              </w:rPr>
            </w:pPr>
            <w:r>
              <w:rPr>
                <w:rFonts w:ascii="Arial" w:cs="Arial" w:eastAsia="Arial" w:hAnsi="Arial"/>
                <w:sz w:val="18"/>
                <w:szCs w:val="18"/>
                <w:color w:val="auto"/>
                <w:w w:val="97"/>
              </w:rPr>
              <w:t>NOTE 4 LOANS (Continued)</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Unfunded</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4"/>
              </w:rPr>
              <w:t>Loan</w:t>
            </w: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w w:val="97"/>
              </w:rPr>
              <w:t>Commitment</w:t>
            </w: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Agricultural</w:t>
            </w: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Commercial</w:t>
            </w:r>
          </w:p>
        </w:tc>
        <w:tc>
          <w:tcPr>
            <w:tcW w:w="116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Commercial</w:t>
            </w: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1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6"/>
              </w:rPr>
              <w:t>Real Estate</w:t>
            </w:r>
          </w:p>
        </w:tc>
        <w:tc>
          <w:tcPr>
            <w:tcW w:w="11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95"/>
              </w:rPr>
              <w:t>Credit</w:t>
            </w:r>
          </w:p>
        </w:tc>
        <w:tc>
          <w:tcPr>
            <w:tcW w:w="106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Unallocated</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5"/>
        </w:trPr>
        <w:tc>
          <w:tcPr>
            <w:tcW w:w="5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Six</w:t>
            </w:r>
          </w:p>
        </w:tc>
        <w:tc>
          <w:tcPr>
            <w:tcW w:w="840" w:type="dxa"/>
            <w:vAlign w:val="bottom"/>
            <w:tcBorders>
              <w:top w:val="single" w:sz="8" w:color="CFF0FC"/>
            </w:tcBorders>
            <w:gridSpan w:val="2"/>
            <w:shd w:val="clear" w:color="auto" w:fill="CFF0FC"/>
          </w:tcPr>
          <w:p>
            <w:pPr>
              <w:ind w:left="40"/>
              <w:spacing w:after="0" w:line="205" w:lineRule="exact"/>
              <w:rPr>
                <w:sz w:val="20"/>
                <w:szCs w:val="20"/>
                <w:color w:val="auto"/>
              </w:rPr>
            </w:pPr>
            <w:r>
              <w:rPr>
                <w:rFonts w:ascii="Arial" w:cs="Arial" w:eastAsia="Arial" w:hAnsi="Arial"/>
                <w:sz w:val="18"/>
                <w:szCs w:val="18"/>
                <w:b w:val="1"/>
                <w:bCs w:val="1"/>
                <w:color w:val="auto"/>
              </w:rPr>
              <w:t>Months</w:t>
            </w:r>
          </w:p>
        </w:tc>
        <w:tc>
          <w:tcPr>
            <w:tcW w:w="700" w:type="dxa"/>
            <w:vAlign w:val="bottom"/>
            <w:tcBorders>
              <w:top w:val="single" w:sz="8" w:color="CFF0FC"/>
            </w:tcBorders>
            <w:gridSpan w:val="2"/>
            <w:shd w:val="clear" w:color="auto" w:fill="CFF0FC"/>
          </w:tcPr>
          <w:p>
            <w:pPr>
              <w:jc w:val="right"/>
              <w:ind w:right="10"/>
              <w:spacing w:after="0" w:line="205" w:lineRule="exact"/>
              <w:rPr>
                <w:sz w:val="20"/>
                <w:szCs w:val="20"/>
                <w:color w:val="auto"/>
              </w:rPr>
            </w:pPr>
            <w:r>
              <w:rPr>
                <w:rFonts w:ascii="Arial" w:cs="Arial" w:eastAsia="Arial" w:hAnsi="Arial"/>
                <w:sz w:val="18"/>
                <w:szCs w:val="18"/>
                <w:b w:val="1"/>
                <w:bCs w:val="1"/>
                <w:color w:val="auto"/>
              </w:rPr>
              <w:t>Ended</w:t>
            </w: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left w:val="single" w:sz="8" w:color="auto"/>
            </w:tcBorders>
            <w:shd w:val="clear" w:color="auto" w:fill="CFF0FC"/>
          </w:tcPr>
          <w:p>
            <w:pPr>
              <w:spacing w:after="0"/>
              <w:rPr>
                <w:sz w:val="17"/>
                <w:szCs w:val="17"/>
                <w:color w:val="auto"/>
              </w:rPr>
            </w:pPr>
          </w:p>
        </w:tc>
        <w:tc>
          <w:tcPr>
            <w:tcW w:w="62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0"/>
              </w:rPr>
              <w:t>June 30, 2017</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40" w:type="dxa"/>
            <w:vAlign w:val="bottom"/>
            <w:tcBorders>
              <w:left w:val="single" w:sz="8" w:color="auto"/>
            </w:tcBorders>
            <w:shd w:val="clear" w:color="auto" w:fill="CFF0FC"/>
          </w:tcPr>
          <w:p>
            <w:pPr>
              <w:spacing w:after="0"/>
              <w:rPr>
                <w:sz w:val="20"/>
                <w:szCs w:val="20"/>
                <w:color w:val="auto"/>
              </w:rPr>
            </w:pPr>
          </w:p>
        </w:tc>
        <w:tc>
          <w:tcPr>
            <w:tcW w:w="62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ALLOWANCE</w:t>
            </w:r>
          </w:p>
        </w:tc>
        <w:tc>
          <w:tcPr>
            <w:tcW w:w="180" w:type="dxa"/>
            <w:vAlign w:val="bottom"/>
          </w:tcPr>
          <w:p>
            <w:pPr>
              <w:spacing w:after="0"/>
              <w:rPr>
                <w:sz w:val="18"/>
                <w:szCs w:val="18"/>
                <w:color w:val="auto"/>
              </w:rPr>
            </w:pPr>
          </w:p>
        </w:tc>
        <w:tc>
          <w:tcPr>
            <w:tcW w:w="7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FOR</w:t>
            </w:r>
          </w:p>
        </w:tc>
        <w:tc>
          <w:tcPr>
            <w:tcW w:w="7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1"/>
              </w:rPr>
              <w:t>Beginning balance</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3,250</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217</w:t>
            </w:r>
          </w:p>
        </w:tc>
        <w:tc>
          <w:tcPr>
            <w:tcW w:w="44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30"/>
        </w:trPr>
        <w:tc>
          <w:tcPr>
            <w:tcW w:w="1380" w:type="dxa"/>
            <w:vAlign w:val="bottom"/>
            <w:gridSpan w:val="3"/>
          </w:tcPr>
          <w:p>
            <w:pPr>
              <w:ind w:left="260"/>
              <w:spacing w:after="0"/>
              <w:rPr>
                <w:sz w:val="20"/>
                <w:szCs w:val="20"/>
                <w:color w:val="auto"/>
              </w:rPr>
            </w:pPr>
            <w:r>
              <w:rPr>
                <w:rFonts w:ascii="Arial" w:cs="Arial" w:eastAsia="Arial" w:hAnsi="Arial"/>
                <w:sz w:val="18"/>
                <w:szCs w:val="18"/>
                <w:color w:val="auto"/>
              </w:rPr>
              <w:t>Charge Offs</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1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88"/>
              </w:rPr>
              <w:t>Recoveries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spacing w:after="0"/>
              <w:rPr>
                <w:sz w:val="19"/>
                <w:szCs w:val="19"/>
                <w:color w:val="auto"/>
              </w:rPr>
            </w:pP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1560" w:type="dxa"/>
            <w:vAlign w:val="bottom"/>
            <w:gridSpan w:val="4"/>
          </w:tcPr>
          <w:p>
            <w:pPr>
              <w:ind w:left="260"/>
              <w:spacing w:after="0"/>
              <w:rPr>
                <w:sz w:val="20"/>
                <w:szCs w:val="20"/>
                <w:color w:val="auto"/>
              </w:rPr>
            </w:pPr>
            <w:r>
              <w:rPr>
                <w:rFonts w:ascii="Arial" w:cs="Arial" w:eastAsia="Arial" w:hAnsi="Arial"/>
                <w:sz w:val="18"/>
                <w:szCs w:val="18"/>
                <w:color w:val="auto"/>
                <w:w w:val="92"/>
              </w:rPr>
              <w:t>Provision (Credit)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9"/>
                <w:szCs w:val="19"/>
                <w:color w:val="auto"/>
              </w:rPr>
            </w:pP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20" w:type="dxa"/>
            <w:vAlign w:val="bottom"/>
            <w:gridSpan w:val="4"/>
            <w:shd w:val="clear" w:color="auto" w:fill="CFF0FC"/>
          </w:tcPr>
          <w:p>
            <w:pPr>
              <w:jc w:val="right"/>
              <w:ind w:right="230"/>
              <w:spacing w:after="0"/>
              <w:rPr>
                <w:sz w:val="20"/>
                <w:szCs w:val="20"/>
                <w:color w:val="auto"/>
              </w:rPr>
            </w:pPr>
            <w:r>
              <w:rPr>
                <w:rFonts w:ascii="Arial" w:cs="Arial" w:eastAsia="Arial" w:hAnsi="Arial"/>
                <w:sz w:val="18"/>
                <w:szCs w:val="18"/>
                <w:color w:val="auto"/>
                <w:w w:val="89"/>
              </w:rPr>
              <w:t>Non-interest</w:t>
            </w:r>
          </w:p>
        </w:tc>
        <w:tc>
          <w:tcPr>
            <w:tcW w:w="7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w w:val="86"/>
              </w:rPr>
              <w:t>expense related to</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0"/>
              </w:rPr>
              <w:t>unfunded</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40" w:type="dxa"/>
            <w:vAlign w:val="bottom"/>
            <w:tcBorders>
              <w:left w:val="single" w:sz="8" w:color="auto"/>
              <w:bottom w:val="single" w:sz="8" w:color="auto"/>
            </w:tcBorders>
            <w:shd w:val="clear" w:color="auto" w:fill="CFF0FC"/>
          </w:tcPr>
          <w:p>
            <w:pPr>
              <w:spacing w:after="0"/>
              <w:rPr>
                <w:sz w:val="20"/>
                <w:szCs w:val="20"/>
                <w:color w:val="auto"/>
              </w:rPr>
            </w:pPr>
          </w:p>
        </w:tc>
        <w:tc>
          <w:tcPr>
            <w:tcW w:w="6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13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253</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596</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3,076</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1,352</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4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196"/>
        </w:trPr>
        <w:tc>
          <w:tcPr>
            <w:tcW w:w="5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2"/>
              </w:rPr>
              <w:t>Ending</w:t>
            </w: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w w:val="85"/>
              </w:rPr>
              <w:t>balance:</w:t>
            </w: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w w:val="92"/>
              </w:rPr>
              <w:t>Ending</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w w:val="85"/>
              </w:rPr>
              <w:t>balance:</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40" w:type="dxa"/>
            <w:vAlign w:val="bottom"/>
            <w:tcBorders>
              <w:top w:val="single" w:sz="8" w:color="auto"/>
              <w:left w:val="single" w:sz="8" w:color="auto"/>
            </w:tcBorders>
          </w:tcPr>
          <w:p>
            <w:pPr>
              <w:spacing w:after="0"/>
              <w:rPr>
                <w:sz w:val="17"/>
                <w:szCs w:val="17"/>
                <w:color w:val="auto"/>
              </w:rPr>
            </w:pPr>
          </w:p>
        </w:tc>
        <w:tc>
          <w:tcPr>
            <w:tcW w:w="62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6"/>
          </w:tcPr>
          <w:p>
            <w:pPr>
              <w:spacing w:after="0"/>
              <w:rPr>
                <w:sz w:val="20"/>
                <w:szCs w:val="20"/>
                <w:color w:val="auto"/>
              </w:rPr>
            </w:pPr>
            <w:r>
              <w:rPr>
                <w:rFonts w:ascii="Arial" w:cs="Arial" w:eastAsia="Arial" w:hAnsi="Arial"/>
                <w:sz w:val="18"/>
                <w:szCs w:val="18"/>
                <w:color w:val="auto"/>
              </w:rPr>
              <w:t>collectively evaluated</w:t>
            </w:r>
          </w:p>
        </w:tc>
        <w:tc>
          <w:tcPr>
            <w:tcW w:w="7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CFF0FC"/>
            </w:tcBorders>
            <w:gridSpan w:val="3"/>
          </w:tcPr>
          <w:p>
            <w:pPr>
              <w:ind w:left="140"/>
              <w:spacing w:after="0"/>
              <w:rPr>
                <w:sz w:val="20"/>
                <w:szCs w:val="20"/>
                <w:color w:val="auto"/>
              </w:rPr>
            </w:pPr>
            <w:r>
              <w:rPr>
                <w:rFonts w:ascii="Arial" w:cs="Arial" w:eastAsia="Arial" w:hAnsi="Arial"/>
                <w:sz w:val="18"/>
                <w:szCs w:val="18"/>
                <w:color w:val="auto"/>
              </w:rPr>
              <w:t>for impairment</w:t>
            </w:r>
          </w:p>
        </w:tc>
        <w:tc>
          <w:tcPr>
            <w:tcW w:w="180" w:type="dxa"/>
            <w:vAlign w:val="bottom"/>
            <w:tcBorders>
              <w:bottom w:val="single" w:sz="8" w:color="CFF0FC"/>
            </w:tcBorders>
          </w:tcPr>
          <w:p>
            <w:pPr>
              <w:spacing w:after="0"/>
              <w:rPr>
                <w:sz w:val="23"/>
                <w:szCs w:val="23"/>
                <w:color w:val="auto"/>
              </w:rPr>
            </w:pPr>
          </w:p>
        </w:tc>
        <w:tc>
          <w:tcPr>
            <w:tcW w:w="5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225</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253</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596</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3,019</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1,319</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4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6,962</w:t>
            </w:r>
          </w:p>
        </w:tc>
        <w:tc>
          <w:tcPr>
            <w:tcW w:w="0" w:type="dxa"/>
            <w:vAlign w:val="bottom"/>
          </w:tcPr>
          <w:p>
            <w:pPr>
              <w:spacing w:after="0"/>
              <w:rPr>
                <w:sz w:val="1"/>
                <w:szCs w:val="1"/>
                <w:color w:val="auto"/>
              </w:rPr>
            </w:pPr>
          </w:p>
        </w:tc>
      </w:tr>
      <w:tr>
        <w:trPr>
          <w:trHeight w:val="196"/>
        </w:trPr>
        <w:tc>
          <w:tcPr>
            <w:tcW w:w="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2"/>
              </w:rPr>
              <w:t>Ending</w:t>
            </w:r>
          </w:p>
        </w:tc>
        <w:tc>
          <w:tcPr>
            <w:tcW w:w="84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w w:val="88"/>
              </w:rPr>
              <w:t>balance:</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2"/>
              </w:rPr>
              <w:t>loans</w:t>
            </w: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acquired with</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deteriorated</w:t>
            </w:r>
          </w:p>
        </w:tc>
        <w:tc>
          <w:tcPr>
            <w:tcW w:w="74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w w:val="90"/>
              </w:rPr>
              <w:t>credit</w:t>
            </w:r>
          </w:p>
        </w:tc>
        <w:tc>
          <w:tcPr>
            <w:tcW w:w="7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shd w:val="clear" w:color="auto" w:fill="CFF0FC"/>
          </w:tcPr>
          <w:p>
            <w:pPr>
              <w:spacing w:after="0"/>
              <w:rPr>
                <w:sz w:val="20"/>
                <w:szCs w:val="20"/>
                <w:color w:val="auto"/>
              </w:rPr>
            </w:pPr>
            <w:r>
              <w:rPr>
                <w:rFonts w:ascii="Arial" w:cs="Arial" w:eastAsia="Arial" w:hAnsi="Arial"/>
                <w:sz w:val="18"/>
                <w:szCs w:val="18"/>
                <w:color w:val="auto"/>
                <w:w w:val="99"/>
              </w:rPr>
              <w:t>quality</w:t>
            </w: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83,903</w:t>
            </w:r>
          </w:p>
        </w:tc>
        <w:tc>
          <w:tcPr>
            <w:tcW w:w="3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64,003</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83,771</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394,051</w:t>
            </w:r>
          </w:p>
        </w:tc>
        <w:tc>
          <w:tcPr>
            <w:tcW w:w="3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129,675</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35,435</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790,838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5" w:lineRule="exact"/>
              <w:rPr>
                <w:sz w:val="20"/>
                <w:szCs w:val="20"/>
                <w:color w:val="auto"/>
              </w:rPr>
            </w:pPr>
            <w:r>
              <w:rPr>
                <w:rFonts w:ascii="Arial" w:cs="Arial" w:eastAsia="Arial" w:hAnsi="Arial"/>
                <w:sz w:val="18"/>
                <w:szCs w:val="18"/>
                <w:color w:val="auto"/>
                <w:w w:val="92"/>
              </w:rPr>
              <w:t>Ending</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w w:val="85"/>
              </w:rPr>
              <w:t>balance:</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40" w:type="dxa"/>
            <w:vAlign w:val="bottom"/>
            <w:tcBorders>
              <w:top w:val="single" w:sz="8" w:color="auto"/>
              <w:left w:val="single" w:sz="8" w:color="auto"/>
            </w:tcBorders>
          </w:tcPr>
          <w:p>
            <w:pPr>
              <w:spacing w:after="0"/>
              <w:rPr>
                <w:sz w:val="17"/>
                <w:szCs w:val="17"/>
                <w:color w:val="auto"/>
              </w:rPr>
            </w:pPr>
          </w:p>
        </w:tc>
        <w:tc>
          <w:tcPr>
            <w:tcW w:w="62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6"/>
          </w:tcPr>
          <w:p>
            <w:pPr>
              <w:spacing w:after="0"/>
              <w:rPr>
                <w:sz w:val="20"/>
                <w:szCs w:val="20"/>
                <w:color w:val="auto"/>
              </w:rPr>
            </w:pPr>
            <w:r>
              <w:rPr>
                <w:rFonts w:ascii="Arial" w:cs="Arial" w:eastAsia="Arial" w:hAnsi="Arial"/>
                <w:sz w:val="18"/>
                <w:szCs w:val="18"/>
                <w:color w:val="auto"/>
              </w:rPr>
              <w:t>individually evaluated</w:t>
            </w:r>
          </w:p>
        </w:tc>
        <w:tc>
          <w:tcPr>
            <w:tcW w:w="7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80" w:type="dxa"/>
            <w:vAlign w:val="bottom"/>
            <w:tcBorders>
              <w:bottom w:val="single" w:sz="8" w:color="CFF0FC"/>
            </w:tcBorders>
            <w:gridSpan w:val="3"/>
          </w:tcPr>
          <w:p>
            <w:pPr>
              <w:ind w:left="140"/>
              <w:spacing w:after="0"/>
              <w:rPr>
                <w:sz w:val="20"/>
                <w:szCs w:val="20"/>
                <w:color w:val="auto"/>
              </w:rPr>
            </w:pPr>
            <w:r>
              <w:rPr>
                <w:rFonts w:ascii="Arial" w:cs="Arial" w:eastAsia="Arial" w:hAnsi="Arial"/>
                <w:sz w:val="18"/>
                <w:szCs w:val="18"/>
                <w:color w:val="auto"/>
              </w:rPr>
              <w:t>for impairment</w:t>
            </w:r>
          </w:p>
        </w:tc>
        <w:tc>
          <w:tcPr>
            <w:tcW w:w="180" w:type="dxa"/>
            <w:vAlign w:val="bottom"/>
            <w:tcBorders>
              <w:bottom w:val="single" w:sz="8" w:color="CFF0FC"/>
            </w:tcBorders>
          </w:tcPr>
          <w:p>
            <w:pPr>
              <w:spacing w:after="0"/>
              <w:rPr>
                <w:sz w:val="23"/>
                <w:szCs w:val="23"/>
                <w:color w:val="auto"/>
              </w:rPr>
            </w:pPr>
          </w:p>
        </w:tc>
        <w:tc>
          <w:tcPr>
            <w:tcW w:w="5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1,008</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492</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196"/>
        </w:trPr>
        <w:tc>
          <w:tcPr>
            <w:tcW w:w="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2"/>
              </w:rPr>
              <w:t>Ending</w:t>
            </w: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5"/>
              </w:rPr>
              <w:t>balance:</w:t>
            </w: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40" w:type="dxa"/>
            <w:vAlign w:val="bottom"/>
            <w:tcBorders>
              <w:left w:val="single" w:sz="8" w:color="auto"/>
            </w:tcBorders>
            <w:shd w:val="clear" w:color="auto" w:fill="CFF0FC"/>
          </w:tcPr>
          <w:p>
            <w:pPr>
              <w:spacing w:after="0"/>
              <w:rPr>
                <w:sz w:val="17"/>
                <w:szCs w:val="17"/>
                <w:color w:val="auto"/>
              </w:rPr>
            </w:pPr>
          </w:p>
        </w:tc>
        <w:tc>
          <w:tcPr>
            <w:tcW w:w="62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tcBorders>
              <w:left w:val="single" w:sz="8" w:color="auto"/>
            </w:tcBorders>
            <w:shd w:val="clear" w:color="auto" w:fill="CFF0FC"/>
          </w:tcPr>
          <w:p>
            <w:pPr>
              <w:spacing w:after="0"/>
              <w:rPr>
                <w:sz w:val="18"/>
                <w:szCs w:val="18"/>
                <w:color w:val="auto"/>
              </w:rPr>
            </w:pPr>
          </w:p>
        </w:tc>
        <w:tc>
          <w:tcPr>
            <w:tcW w:w="6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82,895</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63,902</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83,771</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393,559</w:t>
            </w:r>
          </w:p>
        </w:tc>
        <w:tc>
          <w:tcPr>
            <w:tcW w:w="3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129,561</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35,435</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789,123</w:t>
            </w:r>
          </w:p>
        </w:tc>
        <w:tc>
          <w:tcPr>
            <w:tcW w:w="0" w:type="dxa"/>
            <w:vAlign w:val="bottom"/>
          </w:tcPr>
          <w:p>
            <w:pPr>
              <w:spacing w:after="0"/>
              <w:rPr>
                <w:sz w:val="1"/>
                <w:szCs w:val="1"/>
                <w:color w:val="auto"/>
              </w:rPr>
            </w:pPr>
          </w:p>
        </w:tc>
      </w:tr>
      <w:tr>
        <w:trPr>
          <w:trHeight w:val="20"/>
        </w:trPr>
        <w:tc>
          <w:tcPr>
            <w:tcW w:w="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2"/>
              </w:rPr>
              <w:t>Ending</w:t>
            </w:r>
          </w:p>
        </w:tc>
        <w:tc>
          <w:tcPr>
            <w:tcW w:w="840" w:type="dxa"/>
            <w:vAlign w:val="bottom"/>
            <w:tcBorders>
              <w:top w:val="single" w:sz="8" w:color="CFF0FC"/>
              <w:bottom w:val="single" w:sz="8" w:color="CFF0FC"/>
            </w:tcBorders>
            <w:gridSpan w:val="2"/>
            <w:vMerge w:val="restart"/>
          </w:tcPr>
          <w:p>
            <w:pPr>
              <w:ind w:left="220"/>
              <w:spacing w:after="0"/>
              <w:rPr>
                <w:sz w:val="20"/>
                <w:szCs w:val="20"/>
                <w:color w:val="auto"/>
              </w:rPr>
            </w:pPr>
            <w:r>
              <w:rPr>
                <w:rFonts w:ascii="Arial" w:cs="Arial" w:eastAsia="Arial" w:hAnsi="Arial"/>
                <w:sz w:val="18"/>
                <w:szCs w:val="18"/>
                <w:color w:val="auto"/>
                <w:w w:val="88"/>
              </w:rPr>
              <w:t>balance:</w:t>
            </w:r>
          </w:p>
        </w:tc>
        <w:tc>
          <w:tcPr>
            <w:tcW w:w="1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92"/>
              </w:rPr>
              <w:t>loans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Borders>
              <w:lef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w w:val="99"/>
              </w:rPr>
              <w:t>acquired with</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rPr>
              <w:t>deteriorated</w:t>
            </w:r>
          </w:p>
        </w:tc>
        <w:tc>
          <w:tcPr>
            <w:tcW w:w="740" w:type="dxa"/>
            <w:vAlign w:val="bottom"/>
            <w:gridSpan w:val="2"/>
          </w:tcPr>
          <w:p>
            <w:pPr>
              <w:jc w:val="right"/>
              <w:ind w:right="230"/>
              <w:spacing w:after="0"/>
              <w:rPr>
                <w:sz w:val="20"/>
                <w:szCs w:val="20"/>
                <w:color w:val="auto"/>
              </w:rPr>
            </w:pPr>
            <w:r>
              <w:rPr>
                <w:rFonts w:ascii="Arial" w:cs="Arial" w:eastAsia="Arial" w:hAnsi="Arial"/>
                <w:sz w:val="18"/>
                <w:szCs w:val="18"/>
                <w:color w:val="auto"/>
                <w:w w:val="90"/>
              </w:rPr>
              <w:t>credit</w:t>
            </w:r>
          </w:p>
        </w:tc>
        <w:tc>
          <w:tcPr>
            <w:tcW w:w="7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9"/>
              </w:rPr>
              <w:t>quality</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5 EARNINGS PER SHARE</w:t>
      </w:r>
    </w:p>
    <w:p>
      <w:pPr>
        <w:spacing w:after="0" w:line="252"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 of dollars)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jc w:val="right"/>
              <w:ind w:right="61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4"/>
          </w:tcPr>
          <w:p>
            <w:pPr>
              <w:jc w:val="right"/>
              <w:ind w:right="71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jc w:val="right"/>
              <w:ind w:right="8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June 30, 2018</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June 30, 2017</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June 30, 2018</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June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1740"/>
              <w:spacing w:after="0"/>
              <w:rPr>
                <w:sz w:val="20"/>
                <w:szCs w:val="20"/>
                <w:color w:val="auto"/>
              </w:rPr>
            </w:pPr>
            <w:r>
              <w:rPr>
                <w:rFonts w:ascii="Arial" w:cs="Arial" w:eastAsia="Arial" w:hAnsi="Arial"/>
                <w:sz w:val="18"/>
                <w:szCs w:val="18"/>
                <w:b w:val="1"/>
                <w:bCs w:val="1"/>
                <w:color w:val="auto"/>
              </w:rPr>
              <w:t>Earnings per share</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7,881</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vMerge w:val="continue"/>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securities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Borders>
              <w:bottom w:val="single" w:sz="8" w:color="CFF0FC"/>
            </w:tcBorders>
            <w:vMerge w:val="continue"/>
          </w:tcPr>
          <w:p>
            <w:pPr>
              <w:spacing w:after="0"/>
              <w:rPr>
                <w:sz w:val="9"/>
                <w:szCs w:val="9"/>
                <w:color w:val="auto"/>
              </w:rPr>
            </w:pPr>
          </w:p>
        </w:tc>
        <w:tc>
          <w:tcPr>
            <w:tcW w:w="5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4,073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3,193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7,802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9,265,898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9,265,928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9,241,750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15"/>
                <w:szCs w:val="15"/>
                <w:color w:val="auto"/>
              </w:rPr>
              <w:t>(1)</w:t>
            </w: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9,241,750</w:t>
            </w: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vMerge w:val="continue"/>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Less: average unvested restricted shares </w:t>
            </w:r>
            <w:r>
              <w:rPr>
                <w:rFonts w:ascii="Arial" w:cs="Arial" w:eastAsia="Arial" w:hAnsi="Arial"/>
                <w:sz w:val="15"/>
                <w:szCs w:val="15"/>
                <w:color w:val="auto"/>
              </w:rPr>
              <w:t>(1)</w:t>
            </w:r>
          </w:p>
        </w:tc>
        <w:tc>
          <w:tcPr>
            <w:tcW w:w="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(92,368)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(86,300)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Weighted average common shares outstanding </w:t>
            </w:r>
            <w:r>
              <w:rPr>
                <w:rFonts w:ascii="Arial" w:cs="Arial" w:eastAsia="Arial" w:hAnsi="Arial"/>
                <w:sz w:val="15"/>
                <w:szCs w:val="15"/>
                <w:color w:val="auto"/>
              </w:rPr>
              <w:t>(1)</w:t>
            </w: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9,173,530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9,155,450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9,173,530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9,155,450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Basic earnings and diluted per share </w:t>
            </w:r>
            <w:r>
              <w:rPr>
                <w:rFonts w:ascii="Arial" w:cs="Arial" w:eastAsia="Arial" w:hAnsi="Arial"/>
                <w:sz w:val="15"/>
                <w:szCs w:val="15"/>
                <w:color w:val="auto"/>
              </w:rPr>
              <w:t>(1)</w:t>
            </w:r>
          </w:p>
        </w:tc>
        <w:tc>
          <w:tcPr>
            <w:tcW w:w="6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20" w:hanging="291"/>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 data has been adjusted to reflect a 2-for-1 stock split on September 20, 2017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w:t>
      </w:r>
    </w:p>
    <w:p>
      <w:pPr>
        <w:spacing w:after="0" w:line="185"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Bearing Time Deposits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Securities – Available-for-sale</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Securities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Held for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net</w:t>
      </w:r>
    </w:p>
    <w:p>
      <w:pPr>
        <w:spacing w:after="0" w:line="19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 closed in the last six months of 2017.</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Deposits</w:t>
      </w:r>
    </w:p>
    <w:p>
      <w:pPr>
        <w:spacing w:after="0" w:line="18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FHLB Advances</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Interest Receivable and Payable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 Balance Sheet Financial Instruments</w:t>
      </w:r>
    </w:p>
    <w:p>
      <w:pPr>
        <w:spacing w:after="0" w:line="185"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4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June 30, 2018 and December 31, 2017 are reflected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4"/>
              </w:rPr>
              <w:t>(In Thousands)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87"/>
              </w:rPr>
              <w:t>June 30, 2018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6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32,564</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32,564</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32,564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Securities - available-for-sale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187,036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187,036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164,835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824,226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809,064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809,064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Financial Liabilities: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 Deposits</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549,352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550,699</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550,699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Non-interest bearing Deposits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200,067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200,067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200,067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6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181,347</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179,959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179,959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Total Deposits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930,766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930,725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200,067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730,658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Agreement to Repurchase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23,898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23,898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23,898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advances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payable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 w:name="page29"/>
    <w:bookmarkEnd w:id="28"/>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6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2017</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6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34,467</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34,467</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34,467</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4,009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Securities - available-for-sale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196,398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173,992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816,156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819,193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Financial Liabilities: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 Deposits</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532,660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532,660</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Non-interest bearing Deposits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199,114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199,114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6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187,566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188,335</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Total Deposits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919,340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199,114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720,995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Agreement to Repurchase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39,495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advances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payable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1"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June 30, 2018 and December 31, 2017, segregated by level or the valuation inputs within the fair value hierarchy utilized to measure fair value:</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Significant</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6"/>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1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20,791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76,310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164,835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6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6"/>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20,978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173,992</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June 30, 2018 and June 30,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7"/>
              </w:rPr>
              <w:t>State and Local</w:t>
            </w: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Governments</w:t>
            </w:r>
          </w:p>
        </w:tc>
        <w:tc>
          <w:tcPr>
            <w:tcW w:w="2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Governments</w:t>
            </w: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Taxable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2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20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bottom w:val="single" w:sz="8" w:color="CFF0FC"/>
            </w:tcBorders>
            <w:vMerge w:val="restart"/>
          </w:tcPr>
          <w:p>
            <w:pPr>
              <w:jc w:val="right"/>
              <w:ind w:right="47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0" w:name="page31"/>
    <w:bookmarkEnd w:id="30"/>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7"/>
              </w:rPr>
              <w:t>State and Local</w:t>
            </w:r>
          </w:p>
        </w:tc>
        <w:tc>
          <w:tcPr>
            <w:tcW w:w="136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Governments</w:t>
            </w:r>
          </w:p>
        </w:tc>
        <w:tc>
          <w:tcPr>
            <w:tcW w:w="2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Governments</w:t>
            </w:r>
          </w:p>
        </w:tc>
        <w:tc>
          <w:tcPr>
            <w:tcW w:w="2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0"/>
              </w:rPr>
              <w:t>Taxable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1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6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Balance at June 30, 2017</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540" w:type="dxa"/>
            <w:vAlign w:val="bottom"/>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4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right="20"/>
        <w:spacing w:after="0" w:line="29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June 30, 2018 and December 31, 2017,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1"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At June 30, 2018 and December 31, 2017, fair value of collateral dependent impaired loans categorized as Level 3 was $516 and $508 thousand, respectively. The specific allocation for impaired loans was $132 and $106 thousand as of June 30, 2018 and December 31, 2017, respectively, which are accounted for in the allowance for loan losses (see Note 4).</w:t>
      </w:r>
    </w:p>
    <w:p>
      <w:pPr>
        <w:spacing w:after="0" w:line="141"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center"/>
              <w:ind w:right="270"/>
              <w:spacing w:after="0"/>
              <w:rPr>
                <w:sz w:val="20"/>
                <w:szCs w:val="20"/>
                <w:color w:val="auto"/>
              </w:rPr>
            </w:pPr>
            <w:r>
              <w:rPr>
                <w:rFonts w:ascii="Arial" w:cs="Arial" w:eastAsia="Arial" w:hAnsi="Arial"/>
                <w:sz w:val="18"/>
                <w:szCs w:val="18"/>
                <w:color w:val="auto"/>
                <w:w w:val="90"/>
              </w:rPr>
              <w:t>Fair Value at</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center"/>
              <w:ind w:right="270"/>
              <w:spacing w:after="0"/>
              <w:rPr>
                <w:sz w:val="20"/>
                <w:szCs w:val="20"/>
                <w:color w:val="auto"/>
              </w:rPr>
            </w:pPr>
            <w:r>
              <w:rPr>
                <w:rFonts w:ascii="Arial" w:cs="Arial" w:eastAsia="Arial" w:hAnsi="Arial"/>
                <w:sz w:val="18"/>
                <w:szCs w:val="18"/>
                <w:color w:val="auto"/>
                <w:w w:val="87"/>
              </w:rPr>
              <w:t>June 30, 2018</w:t>
            </w:r>
          </w:p>
        </w:tc>
        <w:tc>
          <w:tcPr>
            <w:tcW w:w="14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Valuation Technique</w:t>
            </w: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1,410</w:t>
            </w: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Discounted Cash Flow</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(3.78%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Collateral based</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516</w:t>
            </w: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measurements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(20.37%)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60" w:type="dxa"/>
            <w:vAlign w:val="bottom"/>
            <w:gridSpan w:val="2"/>
          </w:tcPr>
          <w:p>
            <w:pPr>
              <w:jc w:val="right"/>
              <w:ind w:right="8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1" w:name="page32"/>
    <w:bookmarkEnd w:id="31"/>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6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2017</w:t>
            </w:r>
          </w:p>
        </w:tc>
        <w:tc>
          <w:tcPr>
            <w:tcW w:w="24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Valuation Technique</w:t>
            </w: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presents impaired loans and other real estate owned as recorded at fair value on June 30, 2018 and December 31, 2017:</w:t>
      </w:r>
    </w:p>
    <w:p>
      <w:pPr>
        <w:spacing w:after="0" w:line="27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740" w:type="dxa"/>
            <w:vAlign w:val="bottom"/>
            <w:tcBorders>
              <w:bottom w:val="single" w:sz="8" w:color="auto"/>
            </w:tcBorders>
            <w:gridSpan w:val="10"/>
          </w:tcPr>
          <w:p>
            <w:pPr>
              <w:jc w:val="center"/>
              <w:ind w:left="250"/>
              <w:spacing w:after="0"/>
              <w:rPr>
                <w:sz w:val="20"/>
                <w:szCs w:val="20"/>
                <w:color w:val="auto"/>
              </w:rPr>
            </w:pPr>
            <w:r>
              <w:rPr>
                <w:rFonts w:ascii="Arial" w:cs="Arial" w:eastAsia="Arial" w:hAnsi="Arial"/>
                <w:sz w:val="18"/>
                <w:szCs w:val="18"/>
                <w:color w:val="auto"/>
                <w:w w:val="89"/>
              </w:rPr>
              <w:t>Assets Measured at Fair Value on a Nonrecurring Basis at June 30, 2018</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center"/>
              <w:ind w:left="19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June 30, 2018</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040" w:type="dxa"/>
            <w:vAlign w:val="bottom"/>
            <w:gridSpan w:val="2"/>
            <w:shd w:val="clear" w:color="auto" w:fill="CFF0FC"/>
          </w:tcPr>
          <w:p>
            <w:pPr>
              <w:jc w:val="right"/>
              <w:ind w:right="1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516</w:t>
            </w:r>
          </w:p>
        </w:tc>
        <w:tc>
          <w:tcPr>
            <w:tcW w:w="168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473"/>
        </w:trPr>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40" w:type="dxa"/>
            <w:vAlign w:val="bottom"/>
            <w:tcBorders>
              <w:bottom w:val="single" w:sz="8" w:color="auto"/>
            </w:tcBorders>
            <w:gridSpan w:val="10"/>
          </w:tcPr>
          <w:p>
            <w:pPr>
              <w:jc w:val="center"/>
              <w:ind w:left="230"/>
              <w:spacing w:after="0"/>
              <w:rPr>
                <w:sz w:val="20"/>
                <w:szCs w:val="20"/>
                <w:color w:val="auto"/>
              </w:rPr>
            </w:pPr>
            <w:r>
              <w:rPr>
                <w:rFonts w:ascii="Arial" w:cs="Arial" w:eastAsia="Arial" w:hAnsi="Arial"/>
                <w:sz w:val="18"/>
                <w:szCs w:val="18"/>
                <w:color w:val="auto"/>
                <w:w w:val="89"/>
              </w:rPr>
              <w:t>Assets Measured at Fair Value on a Nonrecurring Basis at December 31, 2017</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jc w:val="center"/>
              <w:ind w:left="19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2017</w:t>
            </w:r>
          </w:p>
        </w:tc>
        <w:tc>
          <w:tcPr>
            <w:tcW w:w="2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2040" w:type="dxa"/>
            <w:vAlign w:val="bottom"/>
            <w:gridSpan w:val="2"/>
            <w:shd w:val="clear" w:color="auto" w:fill="CFF0FC"/>
          </w:tcPr>
          <w:p>
            <w:pPr>
              <w:jc w:val="right"/>
              <w:ind w:right="11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508</w:t>
            </w:r>
          </w:p>
        </w:tc>
        <w:tc>
          <w:tcPr>
            <w:tcW w:w="168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266</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5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did not have any Federal Funds Purchased as of June 30, 2018 and had $10.4 million as of December 31, 2017. During the same time periods the company also had $23.9 million and $29.1 million in securities sold under agreement to repurchase.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7"/>
              </w:rPr>
              <w:t>June 30, 2018</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3"/>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Overnight &amp;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23,898</w:t>
            </w:r>
          </w:p>
        </w:tc>
        <w:tc>
          <w:tcPr>
            <w:tcW w:w="100" w:type="dxa"/>
            <w:vAlign w:val="bottom"/>
            <w:shd w:val="clear" w:color="auto" w:fill="CFF0FC"/>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23,898</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2017</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3"/>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Overnight &amp;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6,145</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29,070</w:t>
            </w:r>
          </w:p>
        </w:tc>
        <w:tc>
          <w:tcPr>
            <w:tcW w:w="100" w:type="dxa"/>
            <w:vAlign w:val="bottom"/>
            <w:shd w:val="clear" w:color="auto" w:fill="CFF0FC"/>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16,570</w:t>
            </w:r>
          </w:p>
        </w:tc>
        <w:tc>
          <w:tcPr>
            <w:tcW w:w="2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22,925</w:t>
            </w:r>
          </w:p>
        </w:tc>
        <w:tc>
          <w:tcPr>
            <w:tcW w:w="240" w:type="dxa"/>
            <w:vAlign w:val="bottom"/>
            <w:gridSpan w:val="2"/>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39,495</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8 RECENT ACCOUNTING PRONOUNCEMENTS</w:t>
      </w:r>
    </w:p>
    <w:p>
      <w:pPr>
        <w:spacing w:after="0" w:line="252"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ASU 2014-09 requires that an entity recognize revenue to depict the transfer of promised goods or services to customers in an amount that reflects the consideration to which the entity expects to be entitled in exchange for those goods and services. On July 9, 2015, the FASB approved amendments deferring the effective date by one year. ASU 2014-09 is now effective for annual reporting periods beginning after December 15, 2017, including interim periods within that reporting period. The amendments can be applied retrospectively to each prior reporting period or retrospectively with the cumulative effect of initially applying this update recognized at the date of initial application. Early application was permitted but not before the original public entity effective date, i.e., annual periods beginning after December 15, 2016. The Company has adopted ASU 2014-09 on January 1, 2018 and ASU No 2014-09 did not have a significant impact on its financial statements. Several of the Company’s revenue streams were reviewed out as a result of the standard.</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In January 2016, the Financial Accounting Standards Board (FASB) issued ASU No. 2016-01 </w:t>
      </w:r>
      <w:r>
        <w:rPr>
          <w:rFonts w:ascii="Arial" w:cs="Arial" w:eastAsia="Arial" w:hAnsi="Arial"/>
          <w:sz w:val="16"/>
          <w:szCs w:val="16"/>
          <w:i w:val="1"/>
          <w:iCs w:val="1"/>
          <w:color w:val="auto"/>
        </w:rPr>
        <w:t>“Financial Instruments - Overall (Subtopic 825-10)</w:t>
      </w:r>
    </w:p>
    <w:p>
      <w:pPr>
        <w:spacing w:after="0" w:line="46" w:lineRule="exact"/>
        <w:rPr>
          <w:sz w:val="20"/>
          <w:szCs w:val="20"/>
          <w:color w:val="auto"/>
        </w:rPr>
      </w:pPr>
    </w:p>
    <w:p>
      <w:pPr>
        <w:jc w:val="both"/>
        <w:ind w:left="760" w:firstLine="9"/>
        <w:spacing w:after="0" w:line="266" w:lineRule="auto"/>
        <w:tabs>
          <w:tab w:leader="none" w:pos="908"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Recognition and Measurement of Financial Assets and Financial Liabilities.” </w:t>
      </w:r>
      <w:r>
        <w:rPr>
          <w:rFonts w:ascii="Arial" w:cs="Arial" w:eastAsia="Arial" w:hAnsi="Arial"/>
          <w:sz w:val="17"/>
          <w:szCs w:val="17"/>
          <w:color w:val="auto"/>
        </w:rPr>
        <w:t>ASU 2016-01 is intended to improve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financial instruments by requiring equity investments to 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adopted ASU 2016-01 on January 1, 2018 and it did not have a material impact on the consolidated financial statement. The Bank’s equity securities are membership stocks in the Federal Home Loan Bank and Farmer Mac and thereby excluded from fair value pricing. For exit pricing on loans, the company used recent Merger and Acquisition Transaction Metrics compiled by S&amp;P Global Market Intelligence for the second half of 2017. This provided the credit mark to be used along with the fair value adjustment based on the yield metrics of the portfolio.</w:t>
      </w:r>
    </w:p>
    <w:p>
      <w:pPr>
        <w:spacing w:after="0" w:line="16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 and currently has very limited exposure to the rule.</w:t>
      </w:r>
    </w:p>
    <w:p>
      <w:pPr>
        <w:spacing w:after="0" w:line="20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 xml:space="preserve">In June 2016, FASB issued ASU No. 2016-13, Financial Instruments - </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ASU requires the measurement of all expected credit losses for financial assets held at the reporting date based on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NOTE 8 RECENT ACCOUNTING PRONOUNCEMENTS (Continued)</w:t>
      </w:r>
    </w:p>
    <w:p>
      <w:pPr>
        <w:spacing w:after="0" w:line="238"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is currently gathering information, reviewing possible vendors and has formed a committee to formulate the methodology to be used. Most importantly, the Company is gathering as much data as possible to enable review scenarios and determine which calculations will produce the most reliable results. At this time, an external advisor has been contracted. The Company is in the early stages of CECL conversion analysis.</w:t>
      </w:r>
    </w:p>
    <w:p>
      <w:pPr>
        <w:spacing w:after="0" w:line="153"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 Restricted Cash.”</w:t>
      </w:r>
      <w:r>
        <w:rPr>
          <w:rFonts w:ascii="Arial" w:cs="Arial" w:eastAsia="Arial" w:hAnsi="Arial"/>
          <w:sz w:val="17"/>
          <w:szCs w:val="17"/>
          <w:color w:val="auto"/>
        </w:rPr>
        <w:t xml:space="preserve"> ASU-2016-18 provides amendments to cash flow statement classification and presentation to explain the change during the period in the total of cash, cash equivalents, and amounts generally described as restricted cash or restricted cash equivalents. The guidance is effective for public business entities for fiscal years beginning after December 15, 2017, and interim periods within those fiscal years and should be applied using a retrospective transition method to each period presented. Early adoption is permitted including adoption in an interim period. The Company has adopted ASU 2016-18 on January 1, 2018 and does not currently have restricted cash or restricted cash equivalents. In the future, restricted cash or restricted cash equivalents will be presented in accordance with the guidance.</w:t>
      </w:r>
    </w:p>
    <w:p>
      <w:pPr>
        <w:spacing w:after="0" w:line="151"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 Clarifying the Definition of a Business.”</w:t>
      </w:r>
      <w:r>
        <w:rPr>
          <w:rFonts w:ascii="Arial" w:cs="Arial" w:eastAsia="Arial" w:hAnsi="Arial"/>
          <w:sz w:val="17"/>
          <w:szCs w:val="17"/>
          <w:color w:val="auto"/>
        </w:rPr>
        <w:t xml:space="preserve"> ASU 2017-01 provides amendments to clarify the definition of a business and affect all companies and other reporting organizations that must determine whether they have acquired or sold a business. The amendments are intended to help companies and other organizations evaluate whether transactions should be accounted for as acquisitions (or disposals) of assets or businesses. The guidance is effective for public business entities for fiscal years beginning after December 15, 2017, and adoption is permitted under certain circumstances. The company has adopted ASU 2017-01 on January 1, 2018 and going forward will account for business combinations accordingly.</w:t>
      </w:r>
    </w:p>
    <w:p>
      <w:pPr>
        <w:spacing w:after="0" w:line="138"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These amendments eliminate Step 2 from the goodwill impairment test. The amendments also eliminate the requirements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accounting disclosures, as goodwill testing has been completed annually without any impairment concerns.</w:t>
      </w:r>
    </w:p>
    <w:p>
      <w:pPr>
        <w:spacing w:after="0" w:line="138"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March 2017, the FASB issued Accounting Standards Update (ASU) No. 2017-08 “</w:t>
      </w:r>
      <w:r>
        <w:rPr>
          <w:rFonts w:ascii="Arial" w:cs="Arial" w:eastAsia="Arial" w:hAnsi="Arial"/>
          <w:sz w:val="17"/>
          <w:szCs w:val="17"/>
          <w:i w:val="1"/>
          <w:iCs w:val="1"/>
          <w:color w:val="auto"/>
        </w:rPr>
        <w:t>Receivables – Nonrefundable Fees and Other Cost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310-20), Premium Amortization on Purchased Callable Debit Securities.” </w:t>
      </w:r>
      <w:r>
        <w:rPr>
          <w:rFonts w:ascii="Arial" w:cs="Arial" w:eastAsia="Arial" w:hAnsi="Arial"/>
          <w:sz w:val="17"/>
          <w:szCs w:val="17"/>
          <w:color w:val="auto"/>
        </w:rPr>
        <w:t>These amendments shorten the amortization period for certain callable</w:t>
      </w:r>
      <w:r>
        <w:rPr>
          <w:rFonts w:ascii="Arial" w:cs="Arial" w:eastAsia="Arial" w:hAnsi="Arial"/>
          <w:sz w:val="17"/>
          <w:szCs w:val="17"/>
          <w:i w:val="1"/>
          <w:iCs w:val="1"/>
          <w:color w:val="auto"/>
        </w:rPr>
        <w:t xml:space="preserve"> </w:t>
      </w:r>
      <w:r>
        <w:rPr>
          <w:rFonts w:ascii="Arial" w:cs="Arial" w:eastAsia="Arial" w:hAnsi="Arial"/>
          <w:sz w:val="17"/>
          <w:szCs w:val="17"/>
          <w:color w:val="auto"/>
        </w:rPr>
        <w:t>debit securities held at a premium. Specifically, the amendments require the premium to be amortized to the earliest call date. The amendments do not require an accounting change for securities held at a discount; the discount continues to be amortized to maturity. The guidance is effective for public business entities for fiscal years, and interim periods within those fiscal years, beginning after December 15, 2018. Early adoption is permitted including adoption in an interim period. If an entity early adopts in an interim period, any adjustments should be reflected as of the beginning of the fiscal year that includes the interim period. The amendments should be applied on a modified retrospective basis, with a cumulative-effect adjustment directly to retained earnings as of the beginning of the period of adoption. The Company adopted this standard as of January 1, 2018. The impact of just over $30 thousand of accelerated amortization expense was booked and the adjustment ran through retained earnings. This will not alter the Bank or Company’s well capitalized status. The Bank’s Municipal Tax-Exempt category of securities was the only category affected by the adoption.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NOTE 8 RECENT ACCOUNTING PRONOUNCEMENTS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 xml:space="preserve">In May 2017, the Financial Accounting Standards Board (FASB) issued Accounting Standards Update (ASU) No. 2017-09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Scope of Modification Accounting.” </w:t>
      </w:r>
      <w:r>
        <w:rPr>
          <w:rFonts w:ascii="Arial" w:cs="Arial" w:eastAsia="Arial" w:hAnsi="Arial"/>
          <w:sz w:val="16"/>
          <w:szCs w:val="16"/>
          <w:color w:val="auto"/>
        </w:rPr>
        <w:t>These amendments provide guidance on determining which changes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of share-based payment awards require an entity to apply modification accounting under Topic 7l8. The guidance is effective for public business entities for fiscal years, and interim periods within those fiscal years, beginning after December 15, 2017. Early adoption is permitted, including adoption in an interim period. The amendments should be applied on a prospective basis to an award modified on or after the adoption date. The Company adopted ASU 2016-09 on January 1, 2017. ASU 2016-09 also requires that companies make an accounting policy election regarding forfeitures, to either estimate the number of awards that are expected to vest or account for them when they occur. The impact of this change and that of the remaining provisions of ASU 2016-09 did not have a significant impact on our financial statements.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In February 2018, the Financial Accounting Standards Board (FASB) issued Accounting Standards Update (ASU) No. 2018-02 </w:t>
      </w:r>
      <w:r>
        <w:rPr>
          <w:rFonts w:ascii="Arial" w:cs="Arial" w:eastAsia="Arial" w:hAnsi="Arial"/>
          <w:sz w:val="16"/>
          <w:szCs w:val="16"/>
          <w:i w:val="1"/>
          <w:iCs w:val="1"/>
          <w:color w:val="auto"/>
        </w:rPr>
        <w:t>“Income Statement</w:t>
      </w:r>
    </w:p>
    <w:p>
      <w:pPr>
        <w:spacing w:after="0" w:line="46"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i w:val="1"/>
          <w:iCs w:val="1"/>
          <w:color w:val="auto"/>
        </w:rPr>
        <w:t xml:space="preserve">– Reporting Comprehensive Income (Topic 220): Reclassification of Certain Tax Effects from Accumulated Other Comprehensive Income.”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allow for the reclassification of stranded tax effects in accumulated other comprehensive income (AOCI) an option rather than a requirement; however, disclosure is required if not elected. The reclassification from accumulated other comprehensive income to retained earnings results from the newly enacted federal corporate income tax rate resulting from the Tax Cuts and Job Acts signed by President Trump in December 2017. The amount of the reclassification is the difference between the historical corporate income tax rate and the newly enacted corporate income tax rate of 21%. Entities will have an option to adopt the standard retrospectively or in the period of adoption. The company has adopted this standard on January 1, 2018 and reclassified approximately $360 thousand into retained earnings.</w:t>
      </w:r>
    </w:p>
    <w:p>
      <w:pPr>
        <w:spacing w:after="0" w:line="140"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 xml:space="preserve">In March of 2018, the FASB issued ASU 2018-05 </w:t>
      </w:r>
      <w:r>
        <w:rPr>
          <w:rFonts w:ascii="Arial" w:cs="Arial" w:eastAsia="Arial" w:hAnsi="Arial"/>
          <w:sz w:val="17"/>
          <w:szCs w:val="17"/>
          <w:i w:val="1"/>
          <w:iCs w:val="1"/>
          <w:color w:val="auto"/>
        </w:rPr>
        <w:t>“Income Taxes (Topic 740): Amendments to SEC Paragraphs Pursuant to SEC Staff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Bulletin (SAB) No. 118.” </w:t>
      </w:r>
      <w:r>
        <w:rPr>
          <w:rFonts w:ascii="Arial" w:cs="Arial" w:eastAsia="Arial" w:hAnsi="Arial"/>
          <w:sz w:val="17"/>
          <w:szCs w:val="17"/>
          <w:color w:val="auto"/>
        </w:rPr>
        <w:t>These amendments add SEC guidance to the FASB Accounting Standards Codification regarding the Tax Cuts and Jobs</w:t>
      </w:r>
      <w:r>
        <w:rPr>
          <w:rFonts w:ascii="Arial" w:cs="Arial" w:eastAsia="Arial" w:hAnsi="Arial"/>
          <w:sz w:val="17"/>
          <w:szCs w:val="17"/>
          <w:i w:val="1"/>
          <w:iCs w:val="1"/>
          <w:color w:val="auto"/>
        </w:rPr>
        <w:t xml:space="preserve"> </w:t>
      </w:r>
      <w:r>
        <w:rPr>
          <w:rFonts w:ascii="Arial" w:cs="Arial" w:eastAsia="Arial" w:hAnsi="Arial"/>
          <w:sz w:val="17"/>
          <w:szCs w:val="17"/>
          <w:color w:val="auto"/>
        </w:rPr>
        <w:t>Act pursuant to the issuance of SAB 118. The amendments are effective upon addition to the FASB Codification.</w:t>
      </w:r>
    </w:p>
    <w:p>
      <w:pPr>
        <w:spacing w:after="0" w:line="12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In June 2018, the financial Accounting Standards Board (FASB) issued Accounting Standards Update (ASU) No. 2018-07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Improvements to Nonemployee Share-Based Payment Accounting.” </w:t>
      </w:r>
      <w:r>
        <w:rPr>
          <w:rFonts w:ascii="Arial" w:cs="Arial" w:eastAsia="Arial" w:hAnsi="Arial"/>
          <w:sz w:val="18"/>
          <w:szCs w:val="18"/>
          <w:color w:val="auto"/>
        </w:rPr>
        <w:t>These amendments expand the scope of Topic 718,</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 – Equity-Based Payments to Non-Employees. The guidance is effective for public companies for fiscal years, and interim fiscal periods within those fiscal years, beginning after December 15, 2018. Early adoption is permitted, but no earlier than a company’s adoption date of Topic 606, Revenue from Contracts with Customers. At this time, the Company does not recognize the existence of any non-employee relationships involving share-based payments. The Company will continue to assess prior to adoption.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760"/>
        <w:spacing w:after="0" w:line="254" w:lineRule="auto"/>
        <w:rPr>
          <w:sz w:val="20"/>
          <w:szCs w:val="20"/>
          <w:color w:val="auto"/>
        </w:rPr>
      </w:pPr>
      <w:r>
        <w:rPr>
          <w:rFonts w:ascii="Arial" w:cs="Arial" w:eastAsia="Arial" w:hAnsi="Arial"/>
          <w:sz w:val="18"/>
          <w:szCs w:val="18"/>
          <w:color w:val="auto"/>
        </w:rPr>
        <w:t>Overall, the local economies continue to grow. The loan pipeline remains strong though down slightly as compared to a year ago. The business climate is strong though tempered by some concern with tariffs, steel supply and the macro economy. This concern has lead to projects being delayed. Profitability remains solid in all loan segments. The passing of the Farm Bill enabled some agricultural real estate sales into the secondary market to occur during the quarter. Tariffs are impacting crop prices, especially soybeans at this time. Farmers recognize this strategy may result in short-term pain for long-term gain though it has created unease. The automotive industry is still strong and the manufacturers in our market area continue to fill orders. More companies are turning to automation as finding employees has become more difficult. The labor shortage is a concern for many industrial sectors. The Company has also experienced difficulty in finding quality employees with the low unemployment rates throughout our markets.</w:t>
      </w:r>
    </w:p>
    <w:p>
      <w:pPr>
        <w:spacing w:after="0" w:line="15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Federal rate increases have resulted in a widening of the net interest margin. The sustainability of a widening of the margin with future rate hikes is questionable. Pressure on the cost of funds continues to mount with each rate increase. The flattening of the yield curve, which is being driven by the increase in the short end of the curve puts the most pressure on the most liquid funds. A slowing in the rate of loan growth has and will put pressure on the margin also.</w:t>
      </w:r>
    </w:p>
    <w:p>
      <w:pPr>
        <w:spacing w:after="0" w:line="146"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Lastly, a very bright spot in 2018 has been the change in tax rates. The Company has chosen to invest a portion of those tax savings dollars to increase the base pay of our lowest paid employees. We continue to evaluate how best to utilize those funds to impact our shareholders, customers, communities and employees. Additional investment in capital assets is also occurring.</w:t>
      </w:r>
    </w:p>
    <w:p>
      <w:pPr>
        <w:spacing w:after="0" w:line="15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With long-term sustainable growth as a strategic objective, the Bank opened its 25</w:t>
      </w:r>
      <w:r>
        <w:rPr>
          <w:rFonts w:ascii="Arial" w:cs="Arial" w:eastAsia="Arial" w:hAnsi="Arial"/>
          <w:sz w:val="15"/>
          <w:szCs w:val="15"/>
          <w:color w:val="auto"/>
        </w:rPr>
        <w:t>th</w:t>
      </w:r>
      <w:r>
        <w:rPr>
          <w:rFonts w:ascii="Arial" w:cs="Arial" w:eastAsia="Arial" w:hAnsi="Arial"/>
          <w:sz w:val="18"/>
          <w:szCs w:val="18"/>
          <w:color w:val="auto"/>
        </w:rPr>
        <w:t xml:space="preserve"> office in Findlay, Ohio, in the first quarter. Unique to the office is the utilization of newer technology in the form of Interactive Teller Machines (ITMs). The use of ITMs enabled the office to be remodeled and eliminated the traditional teller line and drive-up. The ITMs have remote assistance available upon request or the customer can complete the transactions themselves with debit card activation. Previous teller line space has been converted to work stations at which personal relationship bankers may assist customers with transactions, open a deposit account, add a service or grant a consumer loan. The strategic initiative provides a better customer experience upon entering the office. A personal relationship banker will greet the customer and personally assist them with their banking needs. The physical office transformations will continue with existing offices over multiple years and any additional new offices will be designed accordingly. The Bank converted its first existing office to our new vision in June with an additional office scheduled for third quarter conversion.</w:t>
      </w:r>
    </w:p>
    <w:p>
      <w:pPr>
        <w:spacing w:after="0" w:line="157"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All offices had some type of personnel transformation during the quarter as the banking experience of our communities is also more personalized. Bankers will be spending more time out of the office, focused on small business relationships and home loan originations. Along with the new office, the Company plans for growth in 2018 to be more focused within its newer markets – both in loans and deposits.</w:t>
      </w:r>
    </w:p>
    <w:p>
      <w:pPr>
        <w:spacing w:after="0" w:line="12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dividend declared for the second quarter represented a 12% increase over the declaration of the same period last year and a 12.5% increase over 2017 on a year-to-date declaration basis. Strong earnings for the second quarter exceeded the prior quarter and second quarter last year. The focus remains on loan and deposit growth for 2018 along with a widening of our footprint from the additional offices. As mentioned previously, improved profitability through long term sustainable growth is the overall goal of the organization.</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146"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twenty-five full service banking offices throughout Northwest Ohio and Northeast Indiana.</w:t>
      </w:r>
    </w:p>
    <w:p>
      <w:pPr>
        <w:spacing w:after="0" w:line="14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Bank opened an additional office during February of 2018 in Findlay, Ohio and the office is located in Hancock County. The Bank purchased the building in 2017 and was subsequently remodeled. The Bank has continued its expansion strategy and the new office is expected to provide new growth opportunities.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51" w:lineRule="exact"/>
        <w:rPr>
          <w:sz w:val="20"/>
          <w:szCs w:val="20"/>
          <w:color w:val="auto"/>
        </w:rPr>
      </w:pPr>
    </w:p>
    <w:p>
      <w:pPr>
        <w:jc w:val="both"/>
        <w:ind w:left="700"/>
        <w:spacing w:after="0" w:line="286"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are provided at most branch locations along with other independent locations such as major employers and hospitals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Upgrades to our digital products and services continue to occur in both retail and business lines. The Bank began utilizing Integrated Teller Machines (ITMs) with the opening of our Findlay office and incorporated the use of them in our Waterville office at the end of second quarter 2018. ITMs operate as an ATM with the addition of remote teller access to assist the user. The Bank plans to utilize ITMs in locations going forward.</w:t>
      </w:r>
    </w:p>
    <w:p>
      <w:pPr>
        <w:spacing w:after="0" w:line="131" w:lineRule="exact"/>
        <w:rPr>
          <w:sz w:val="20"/>
          <w:szCs w:val="20"/>
          <w:color w:val="auto"/>
        </w:rPr>
      </w:pPr>
    </w:p>
    <w:p>
      <w:pPr>
        <w:jc w:val="both"/>
        <w:ind w:left="700"/>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41"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43"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and additional officer approval is required.</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1460" w:hanging="378"/>
        <w:spacing w:after="0"/>
        <w:tabs>
          <w:tab w:leader="none" w:pos="1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Maximum loan to value (LTV) for cars, trucks and light trucks vary from 90% to 110% depending on whether direct or indirect.</w:t>
      </w:r>
    </w:p>
    <w:p>
      <w:pPr>
        <w:spacing w:after="0" w:line="20" w:lineRule="exact"/>
        <w:rPr>
          <w:rFonts w:ascii="Arial" w:cs="Arial" w:eastAsia="Arial" w:hAnsi="Arial"/>
          <w:sz w:val="17"/>
          <w:szCs w:val="17"/>
          <w:color w:val="auto"/>
        </w:rPr>
      </w:pPr>
    </w:p>
    <w:p>
      <w:pPr>
        <w:ind w:left="1460" w:hanging="378"/>
        <w:spacing w:after="0"/>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Loans above 100% are generally due to additional charges for extended warranties and/or insurance coverage periods for wage or death.</w:t>
      </w:r>
    </w:p>
    <w:p>
      <w:pPr>
        <w:spacing w:after="0" w:line="32" w:lineRule="exact"/>
        <w:rPr>
          <w:rFonts w:ascii="Arial" w:cs="Arial" w:eastAsia="Arial" w:hAnsi="Arial"/>
          <w:sz w:val="16"/>
          <w:szCs w:val="16"/>
          <w:color w:val="auto"/>
        </w:rPr>
      </w:pPr>
    </w:p>
    <w:p>
      <w:pPr>
        <w:ind w:left="1460" w:hanging="378"/>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9" w:lineRule="exact"/>
        <w:rPr>
          <w:rFonts w:ascii="Arial" w:cs="Arial" w:eastAsia="Arial" w:hAnsi="Arial"/>
          <w:sz w:val="18"/>
          <w:szCs w:val="18"/>
          <w:color w:val="auto"/>
        </w:rPr>
      </w:pPr>
    </w:p>
    <w:p>
      <w:pPr>
        <w:ind w:left="1460" w:hanging="378"/>
        <w:spacing w:after="0" w:line="250"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ind w:left="1460" w:hanging="378"/>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ind w:left="1460" w:hanging="37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460" w:hanging="378"/>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11" w:lineRule="exact"/>
        <w:rPr>
          <w:sz w:val="20"/>
          <w:szCs w:val="20"/>
          <w:color w:val="auto"/>
        </w:rPr>
      </w:pPr>
    </w:p>
    <w:p>
      <w:pPr>
        <w:ind w:left="1460" w:hanging="378"/>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25" w:lineRule="exact"/>
        <w:rPr>
          <w:sz w:val="20"/>
          <w:szCs w:val="20"/>
          <w:color w:val="auto"/>
        </w:rPr>
      </w:pPr>
    </w:p>
    <w:p>
      <w:pPr>
        <w:ind w:left="1460" w:hanging="378"/>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7" w:lineRule="exact"/>
        <w:rPr>
          <w:sz w:val="20"/>
          <w:szCs w:val="20"/>
          <w:color w:val="auto"/>
        </w:rPr>
      </w:pPr>
    </w:p>
    <w:p>
      <w:pPr>
        <w:ind w:left="2220" w:hanging="381"/>
        <w:spacing w:after="0"/>
        <w:tabs>
          <w:tab w:leader="none" w:pos="222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2220" w:hanging="381"/>
        <w:spacing w:after="0" w:line="232" w:lineRule="auto"/>
        <w:tabs>
          <w:tab w:leader="none" w:pos="2220" w:val="left"/>
        </w:tabs>
        <w:numPr>
          <w:ilvl w:val="0"/>
          <w:numId w:val="20"/>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460" w:hanging="378"/>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70"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43"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18" w:lineRule="exact"/>
        <w:rPr>
          <w:sz w:val="20"/>
          <w:szCs w:val="20"/>
          <w:color w:val="auto"/>
        </w:rPr>
      </w:pPr>
    </w:p>
    <w:p>
      <w:pPr>
        <w:jc w:val="both"/>
        <w:ind w:left="700"/>
        <w:spacing w:after="0" w:line="327" w:lineRule="auto"/>
        <w:rPr>
          <w:sz w:val="20"/>
          <w:szCs w:val="20"/>
          <w:color w:val="auto"/>
        </w:rPr>
      </w:pPr>
      <w:r>
        <w:rPr>
          <w:rFonts w:ascii="Arial" w:cs="Arial" w:eastAsia="Arial" w:hAnsi="Arial"/>
          <w:sz w:val="15"/>
          <w:szCs w:val="15"/>
          <w:color w:val="auto"/>
        </w:rPr>
        <w:t>The Bank’s primary market includes communities located in the Ohio counties of Defiance, Fulton, Hancock, Henry, Lucas, Williams, Wood and in the Indiana counties of Allen, DeKalb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00"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At June 30, 2018, we had 276 full time equivalent employees. The employees are not represented by a collective bargaining unit. We provide our employees with a comprehensive benefit program, some of which are contributory. We consider our employee relations to be good.</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REGULATORY DEVELOPMENTS</w:t>
      </w:r>
    </w:p>
    <w:p>
      <w:pPr>
        <w:spacing w:after="0" w:line="18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The Bank remains attentive to the current regulatory environment in light of the risk-based approach regulatory agencies use to conduct examinations. The degree of regulatory changes and the complexity of the recent new rules, which lack clarity or guidance on various provisions, and have resulted in uncertainties regarding liability, pose an increased overall risk of noncompliance. Various significant mortgage rules require ongoing monitoring by means of testing, validation of results, additional training, and further research or consultation to assist with ensuring compliance.</w:t>
      </w:r>
    </w:p>
    <w:p>
      <w:pPr>
        <w:spacing w:after="0" w:line="148" w:lineRule="exact"/>
        <w:rPr>
          <w:sz w:val="20"/>
          <w:szCs w:val="20"/>
          <w:color w:val="auto"/>
        </w:rPr>
      </w:pPr>
    </w:p>
    <w:p>
      <w:pPr>
        <w:jc w:val="both"/>
        <w:ind w:left="700"/>
        <w:spacing w:after="0" w:line="270" w:lineRule="auto"/>
        <w:rPr>
          <w:sz w:val="20"/>
          <w:szCs w:val="20"/>
          <w:color w:val="auto"/>
        </w:rPr>
      </w:pPr>
      <w:r>
        <w:rPr>
          <w:rFonts w:ascii="Arial" w:cs="Arial" w:eastAsia="Arial" w:hAnsi="Arial"/>
          <w:sz w:val="17"/>
          <w:szCs w:val="17"/>
          <w:color w:val="auto"/>
        </w:rPr>
        <w:t>Regulatory Reform legislation successfully passed in both the House and Senate. The Economic Growth Regulatory Reform and Consumer Protection Act (EGRRCPA) became a new law with the signature of President Trump on May 24, 2018. EGRRCPA is considered right-sized financial regulation which will pave the way for banks to lend to creditworthy borrowers and better serve their communities. Regulatory relief will not be immediate. In many instances, guidance or new rulemaking will be required to implement the changes. The Bank along with many community banks will eventually experience the rollback of some of the burdensome requirements resulting from the Dodd-Frank Wall Street Reform and Consumer Protection Act. Sections in the EGRRCPA address access to mortgage credit; consumer access to credit; protections for veterans, consumers, and homeowners; rules for certain bank holding companies, capital access; and protections for student borrowers. In the next 12 to 18 months or longer, the Bank will focus on the implementing rules and guidance for the various provisions in each section of the EGRRCPA that impact its operations and activities.</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Bank is subject to numerous laws, rules, regulations and guidance which include, but are not limited to, the following significant matters: deposit insurance coverage; equal credit opportunity; fair lending; community reinvestment; anti-money laundering; suspicious activity reporting; identity theft identification and prevention; protections for military members and their dependents; flood disaster protection; integrated mortgage disclosures; mortgage servicing rights; legal lending limits; electronic fund transfers; consumer privacy; and unfair and deceptive acts and practices. Extensive training and training resources are necessary to develop and maintain expertise on the various regulatory matters.</w:t>
      </w:r>
    </w:p>
    <w:p>
      <w:pPr>
        <w:spacing w:after="0" w:line="118"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The Bank completed implementation of the U.S. Department of the Treasury’s final rules on Customer Due Diligence (CDD) and Beneficial Ownership. The mandatory effective date was May 11, 2018. Prior to these new rules, the ability for individuals to hide financial activity through anonymous ownership of business entities was a weakness in the fight against financial crime. The CDD Final Rule is a significant step toward greater financial transparency. By gaining a more complete profile of entity customers, financial institutions can help further reduce the flow of illicit funds through the US banking system. The CDD and Beneficial Ownership final rules added a fifth core element to the original core elements necessary for an effective Bank Secrecy Act and Anti-Money Laundering compliance program.</w:t>
      </w:r>
    </w:p>
    <w:p>
      <w:pPr>
        <w:spacing w:after="0" w:line="151"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41"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ind w:left="700"/>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recognition of revenue,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28" w:lineRule="exact"/>
        <w:rPr>
          <w:sz w:val="20"/>
          <w:szCs w:val="20"/>
          <w:color w:val="auto"/>
        </w:rPr>
      </w:pPr>
    </w:p>
    <w:p>
      <w:pPr>
        <w:jc w:val="both"/>
        <w:ind w:left="700"/>
        <w:spacing w:after="0" w:line="254" w:lineRule="auto"/>
        <w:rPr>
          <w:sz w:val="20"/>
          <w:szCs w:val="20"/>
          <w:color w:val="auto"/>
        </w:rPr>
      </w:pPr>
      <w:r>
        <w:rPr>
          <w:rFonts w:ascii="Arial" w:cs="Arial" w:eastAsia="Arial" w:hAnsi="Arial"/>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 In certain circumstances, noninterest income is reported net of associated expenses.</w:t>
      </w:r>
    </w:p>
    <w:p>
      <w:pPr>
        <w:spacing w:after="0" w:line="165"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54"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June 30, 2018 OREO property holdings were $649 thousand. OREO totaled $674 thousand and $630 thousand as of December 31, 2017 and June 30, 2017 respectively.</w:t>
      </w:r>
    </w:p>
    <w:p>
      <w:pPr>
        <w:spacing w:after="0" w:line="141"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44"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41"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is has sold without recourse but services for others for a fee represent an asset on the Bank’s balance sheet. The valuation is completed by an independent third party.</w:t>
      </w:r>
    </w:p>
    <w:p>
      <w:pPr>
        <w:spacing w:after="0" w:line="141"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54" w:lineRule="exact"/>
        <w:rPr>
          <w:sz w:val="20"/>
          <w:szCs w:val="20"/>
          <w:color w:val="auto"/>
        </w:rPr>
      </w:pPr>
    </w:p>
    <w:p>
      <w:pPr>
        <w:jc w:val="both"/>
        <w:ind w:left="700"/>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using the level yield method. The amortization thereof is recorded in non-interest expense.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4 to the consolidated financial statements provided herewith.</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Company plans to continue in its growth mode in 2018 led by loan growth from within our newer markets. The Bank is focused on funding the loan growth with the least expensive source. Growing deposits will also be a focus especially in our newer markets. The Bank decreased the level of pledged securities by offering the Insured Cash Sweep, “ICS” product accessed through the Promontory network of financial institutions as compared to a year ago. This has provided more availability for runoff of securities by the Bank if warranted to fund loan growth. Competition for deposits is intense with most competitors offering “special” rates for specific terms. Relationship ties garner higher rates.</w:t>
      </w:r>
    </w:p>
    <w:p>
      <w:pPr>
        <w:spacing w:after="0" w:line="118"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Liquidity in terms of cash and cash equivalents ended $1.9 million lower as of June 30, 2018 than it was at yearend December 31, 2017. A decrease in securities held along with increased deposits funded the $8.1 million increase in net loans since yearend 2017. The largest loan growth occurred in agricultural real estate and agricultural portfolios. Consumer real estate and commercial real estate portfolios also experienced increases. The largest decline was in the commercial and industrial portfolios.</w:t>
      </w:r>
    </w:p>
    <w:p>
      <w:pPr>
        <w:spacing w:after="0" w:line="160" w:lineRule="exact"/>
        <w:rPr>
          <w:sz w:val="20"/>
          <w:szCs w:val="20"/>
          <w:color w:val="auto"/>
        </w:rPr>
      </w:pPr>
    </w:p>
    <w:p>
      <w:pPr>
        <w:jc w:val="both"/>
        <w:ind w:left="700"/>
        <w:spacing w:after="0" w:line="293" w:lineRule="auto"/>
        <w:rPr>
          <w:sz w:val="20"/>
          <w:szCs w:val="20"/>
          <w:color w:val="auto"/>
        </w:rPr>
      </w:pPr>
      <w:r>
        <w:rPr>
          <w:rFonts w:ascii="Arial" w:cs="Arial" w:eastAsia="Arial" w:hAnsi="Arial"/>
          <w:sz w:val="16"/>
          <w:szCs w:val="16"/>
          <w:color w:val="auto"/>
        </w:rPr>
        <w:t>In comparing to the same prior year period, the June 30, 2018 (net of deferred fees and cost) loan balances of $831 million accounted for a $40.2 million or 5.1% increase when compared to 2017’s $790.8 million. The year over year improvement was made up of a 4.3% increase in commercial real estate loans, a 14.6% increase in consumer loans and lastly a combined increase in agricultural related loans (comprised of a 8.9% increase in agricultural real estate loans and 25.3% increase in non-real estate agricultural loans). Consumer real estate loans slightly decreased by 1.8%, commercial and industrial loans decreased by 5.4% and Industrial Development Bonds (“IDB’s”) decreased 8.3%. The Company credits the growth to a strong team of lenders focused on providing customers valuable localized services and thereby increasing our market share.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chart below shows the breakdown of the loan portfolio by category as of June 30, for the last three years, net of deferred fees and costs.</w:t>
      </w:r>
    </w:p>
    <w:p>
      <w:pPr>
        <w:spacing w:after="0" w:line="27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June 30, 2018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June 30, 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7"/>
              </w:rPr>
              <w:t>June 30, 2016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Amount</w:t>
            </w: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82,368</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83,903</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69,676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83,771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410,886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394,051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357,243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123,058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Consumer</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1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Loans, net</w:t>
            </w:r>
          </w:p>
        </w:tc>
        <w:tc>
          <w:tcPr>
            <w:tcW w:w="1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831,015</w:t>
            </w: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790,838</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729,915</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While the security portfolio has been utilized to fund loan growth for the last three years, additional sources have been cultivated during 2016, 2017, and 2018. The security portfolio decreased $9.4 million in the first six months 2018 from yearend 2017. The amount of pledged investment securities increased by $346 thousand as compared to yearend and decreased $3.2 million as compared to June 30, 2017. This was accomplished by utilizing Promontory’s Insured Cash Sweep, “ICS”, product to protect Ohio public fund depositors and commercial sweep customers with FDIC coverage rather than pledge securities. This in turn improves liquidity with the additional option of selling unpledged investment securities if needed to fund loan growth or other initiatives. As of June 30, 2018, pledged investment securities totaled $83.2 million. The current portfolio is in a net unrealized loss position of $5.6 million.</w:t>
      </w:r>
    </w:p>
    <w:p>
      <w:pPr>
        <w:spacing w:after="0" w:line="205"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For the Bank, an additional $6.1 million is also available from the Federal Home Loan Bank based on current collateral pledging with up to $114.0 million available provided adequate collateral is pledged.</w:t>
      </w:r>
    </w:p>
    <w:p>
      <w:pPr>
        <w:spacing w:after="0" w:line="130"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With the exception of FHLB stock and Farmer Mac stock, carried at cost, which is shown as other securities, all of the Company’s security portfolio is categorized as “available-for-sale” and as such is recorded at fair value.</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$123.1 million of unsecured borrowing capacity through its correspondent banks.</w:t>
      </w:r>
    </w:p>
    <w:p>
      <w:pPr>
        <w:spacing w:after="0" w:line="154"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Overall total assets decreased .2% since yearend 2017 and grew 3.7% since June 30, 2017. The largest growth in both periods was in the loan portfolios followed by other assets since yearend and cash and cash equivalents since June 30, 2017.</w:t>
      </w:r>
    </w:p>
    <w:p>
      <w:pPr>
        <w:spacing w:after="0" w:line="130"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Deposits accounted for the largest growth within liabilities, up 1.2% or $11.4 million since yearend and 6.1% or $53.3 million over June 30, 2017 balances. Core deposits continue to drive the increase which provided the greatest benefit for both lower cost of funds and the opportunity to generate additional noninterest income. Compared to previous year, a movement of funds from securities sold under agreement to repurchase into interest bearing NOW accounts occurred due to utilization of the ICS product previously mentioned. This growth aided the increased liquidity position and funded the loan growth for the periods along with usage of purchased Federal Funds for daily borrowings.</w:t>
      </w:r>
    </w:p>
    <w:p>
      <w:pPr>
        <w:spacing w:after="0" w:line="118"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Shareholders’ equity increased by $3.4 million as of the second quarter of 2018 compared to yearend 2017, as earnings exceeded dividend declarations. Accumulated other comprehensive loss increased in loss position by $2.6 million from December 2017. Dividends paid for the quarter increased from the previous quarter by $400 thousand and dividends declared increased by 7.7% or one cent from the previous quarter. Compared to June 30, 2017, shareholders’ equity increased 4.8% or $6.3 million. Record profits during 2017 were offset by a change in accumulated other comprehensive loss related to the available-for-sale securities portfolio from a loss position of $382 thousand to a loss position of $4.4 million as of June 30, 2017 and 2018, respectively. Profits are higher in June 2018 than June 2017 by $1.8 million.</w:t>
      </w:r>
    </w:p>
    <w:p>
      <w:pPr>
        <w:spacing w:after="0" w:line="151"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increases to 1.875%. The total buffer requirement will increase to 2.5% for calendar year 2019. As of June 30, 2018, the Company and the Bank are both positioned well above the 2019 requirement.</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continues to be well-capitalized in accordance with Federal regulatory capital requirements as the capital ratios below show:</w:t>
      </w:r>
    </w:p>
    <w:p>
      <w:pPr>
        <w:spacing w:after="0" w:line="278"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50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50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Results of Interest Earnings and Expenses for three month periods ended June 30, 2018 and 2017</w:t>
      </w:r>
    </w:p>
    <w:p>
      <w:pPr>
        <w:spacing w:after="0" w:line="202" w:lineRule="exact"/>
        <w:rPr>
          <w:sz w:val="20"/>
          <w:szCs w:val="20"/>
          <w:color w:val="auto"/>
        </w:rPr>
      </w:pPr>
    </w:p>
    <w:p>
      <w:pPr>
        <w:jc w:val="both"/>
        <w:ind w:left="700"/>
        <w:spacing w:after="0" w:line="312" w:lineRule="auto"/>
        <w:rPr>
          <w:sz w:val="20"/>
          <w:szCs w:val="20"/>
          <w:color w:val="auto"/>
        </w:rPr>
      </w:pPr>
      <w:r>
        <w:rPr>
          <w:rFonts w:ascii="Arial" w:cs="Arial" w:eastAsia="Arial" w:hAnsi="Arial"/>
          <w:sz w:val="16"/>
          <w:szCs w:val="16"/>
          <w:color w:val="auto"/>
        </w:rPr>
        <w:t>When comparing second quarter 2018 to second quarter 2017, average loan balances grew $56 million. This represented a strong 7.2% increase in a one year time period. Interest income on loan balances also experienced an increase of $1.4 million as compared to the quarter ended June 30, 2017. Increases in the prime lending rate between the periods also contributed to the improvement in interest income and rate yield.</w:t>
      </w:r>
    </w:p>
    <w:p>
      <w:pPr>
        <w:spacing w:after="0" w:line="106"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The higher levels of loan interest income helped to offset the available-for-sale securities portfolio, which decreased in average balances when comparing to the previous year. The decreased balances were expected as available-for-sale securities were used as a source of funds for loan growth. The income associated with the security portfolio decreased $13 thousand in comparison to the same second quarter 2017. The benefit of the increase in interest income from loans was well above the loss of interest income from the smaller security portfolio.</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Overall, interest income for the quarter comparisons was higher for second quarter 2018 by 14% or $1.4 million as to second quarter 2017.</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60" w:right="20"/>
        <w:spacing w:after="0" w:line="279" w:lineRule="auto"/>
        <w:rPr>
          <w:sz w:val="20"/>
          <w:szCs w:val="20"/>
          <w:color w:val="auto"/>
        </w:rPr>
      </w:pPr>
      <w:r>
        <w:rPr>
          <w:rFonts w:ascii="Arial" w:cs="Arial" w:eastAsia="Arial" w:hAnsi="Arial"/>
          <w:sz w:val="17"/>
          <w:szCs w:val="17"/>
          <w:color w:val="auto"/>
        </w:rPr>
        <w:t>In terms of annualized yield, for the quarter ended June 30, 2018, it was 4.41% which compares to a year ago second quarter ended June 30, 2017 of 4.11%. The following chart demonstrates the value of increased loan balances in the balance sheet mix, even if offset by lower balances in the available-for-sale security portfolio. The yields on tax-exempt securities and the portion of the tax-exempt IDB loans included in loans have been tax adjusted based on a 34% tax rate for 2017 and a 21% tax rate for 2018 in the charts to follow.</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80" w:type="dxa"/>
            <w:vAlign w:val="bottom"/>
            <w:gridSpan w:val="5"/>
          </w:tcPr>
          <w:p>
            <w:pPr>
              <w:ind w:left="1100"/>
              <w:spacing w:after="0"/>
              <w:rPr>
                <w:sz w:val="20"/>
                <w:szCs w:val="20"/>
                <w:color w:val="auto"/>
              </w:rPr>
            </w:pPr>
            <w:r>
              <w:rPr>
                <w:rFonts w:ascii="Arial" w:cs="Arial" w:eastAsia="Arial" w:hAnsi="Arial"/>
                <w:sz w:val="18"/>
                <w:szCs w:val="18"/>
                <w:color w:val="auto"/>
              </w:rPr>
              <w:t>(In Thousands)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2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56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w w:val="98"/>
              </w:rPr>
              <w:t>Quarter to Date Ended June 30, 2018</w:t>
            </w:r>
          </w:p>
        </w:tc>
        <w:tc>
          <w:tcPr>
            <w:tcW w:w="1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color w:val="auto"/>
              </w:rPr>
              <w:t>Yield/Rate</w:t>
            </w:r>
          </w:p>
        </w:tc>
      </w:tr>
      <w:tr>
        <w:trPr>
          <w:trHeight w:val="223"/>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Earning Assets:</w:t>
            </w:r>
          </w:p>
        </w:tc>
        <w:tc>
          <w:tcPr>
            <w:tcW w:w="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Average Balance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Interest/Dividends</w:t>
            </w: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June 30, 2018</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June 30, 2017</w:t>
            </w:r>
          </w:p>
        </w:tc>
      </w:tr>
      <w:tr>
        <w:trPr>
          <w:trHeight w:val="223"/>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833,932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10,521</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149,284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50,663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19,315</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1,053,194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11,537</w:t>
            </w:r>
          </w:p>
        </w:tc>
        <w:tc>
          <w:tcPr>
            <w:tcW w:w="1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Change in Interest Income Quarter to Date June 30, 2018 Compared to June 30, 2017</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0"/>
              </w:rPr>
              <w:t>Due to</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Interest Earning Assets:</w:t>
            </w:r>
          </w:p>
        </w:tc>
        <w:tc>
          <w:tcPr>
            <w:tcW w:w="24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Volume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w w:val="97"/>
              </w:rPr>
              <w:t>Due to Rate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1,401</w:t>
            </w: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710</w:t>
            </w:r>
          </w:p>
        </w:tc>
        <w:tc>
          <w:tcPr>
            <w:tcW w:w="320" w:type="dxa"/>
            <w:vAlign w:val="bottom"/>
            <w:tcBorders>
              <w:top w:val="single" w:sz="8" w:color="auto"/>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691</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2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1,413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723</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79" w:lineRule="auto"/>
        <w:rPr>
          <w:sz w:val="20"/>
          <w:szCs w:val="20"/>
          <w:color w:val="auto"/>
        </w:rPr>
      </w:pPr>
      <w:r>
        <w:rPr>
          <w:rFonts w:ascii="Arial" w:cs="Arial" w:eastAsia="Arial" w:hAnsi="Arial"/>
          <w:sz w:val="17"/>
          <w:szCs w:val="17"/>
          <w:color w:val="auto"/>
        </w:rPr>
        <w:t>Offsetting some of the increase in interest income for the quarter was the increase in cost of funds in 2018. Second quarter 2018 was higher by $274 thousand than second quarter 2017. Since 2017, average interest-bearing deposit balances have increased $44 million and resulted in $291 thousand more in interest expense for the most recent quarter. Additionally, interest expense on FHLB borrowings was down $17 thousand in the second quarter 2018 over the same time frame in 2017 due to a payoff of $5 million in December 2017.</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5"/>
          </w:tcPr>
          <w:p>
            <w:pPr>
              <w:ind w:left="1080"/>
              <w:spacing w:after="0"/>
              <w:rPr>
                <w:sz w:val="20"/>
                <w:szCs w:val="20"/>
                <w:color w:val="auto"/>
              </w:rPr>
            </w:pPr>
            <w:r>
              <w:rPr>
                <w:rFonts w:ascii="Arial" w:cs="Arial" w:eastAsia="Arial" w:hAnsi="Arial"/>
                <w:sz w:val="18"/>
                <w:szCs w:val="18"/>
                <w:color w:val="auto"/>
              </w:rPr>
              <w:t>(In Thousands)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520" w:type="dxa"/>
            <w:vAlign w:val="bottom"/>
            <w:tcBorders>
              <w:top w:val="single" w:sz="8" w:color="auto"/>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w w:val="97"/>
              </w:rPr>
              <w:t>Quarter to Date Ended June 30, 2018</w:t>
            </w:r>
          </w:p>
        </w:tc>
        <w:tc>
          <w:tcPr>
            <w:tcW w:w="1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rPr>
              <w:t>Yield/Rate</w:t>
            </w: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Bearing Liabilities: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1"/>
              </w:rPr>
              <w:t>Average Balance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Interest/Dividends</w:t>
            </w: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June 30, 2018</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June 30, 2017</w:t>
            </w: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558,826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Other Time Deposits</w:t>
            </w:r>
          </w:p>
        </w:tc>
        <w:tc>
          <w:tcPr>
            <w:tcW w:w="16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181,590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1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1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26,292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771,708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Change in Interest Expense Quarter to Date June 30, 2018 Compared to June 30, 2017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5"/>
              </w:rPr>
              <w:t>(In Thousands)</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Due to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140"/>
              <w:spacing w:after="0"/>
              <w:rPr>
                <w:sz w:val="20"/>
                <w:szCs w:val="20"/>
                <w:color w:val="auto"/>
              </w:rPr>
            </w:pPr>
            <w:r>
              <w:rPr>
                <w:rFonts w:ascii="Arial" w:cs="Arial" w:eastAsia="Arial" w:hAnsi="Arial"/>
                <w:sz w:val="18"/>
                <w:szCs w:val="18"/>
                <w:color w:val="auto"/>
              </w:rPr>
              <w:t>Interest Bearing Liabilities:</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Volume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87"/>
              </w:rPr>
              <w:t>Due to Rate</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1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261</w:t>
            </w:r>
          </w:p>
        </w:tc>
        <w:tc>
          <w:tcPr>
            <w:tcW w:w="30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Time Deposits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1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ind w:left="1140"/>
              <w:spacing w:after="0"/>
              <w:rPr>
                <w:sz w:val="20"/>
                <w:szCs w:val="20"/>
                <w:color w:val="auto"/>
              </w:rPr>
            </w:pPr>
            <w:r>
              <w:rPr>
                <w:rFonts w:ascii="Arial" w:cs="Arial" w:eastAsia="Arial" w:hAnsi="Arial"/>
                <w:sz w:val="18"/>
                <w:szCs w:val="18"/>
                <w:color w:val="auto"/>
              </w:rPr>
              <w:t>Total Interest Bearing Liabilities</w:t>
            </w:r>
          </w:p>
        </w:tc>
        <w:tc>
          <w:tcPr>
            <w:tcW w:w="16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80" w:type="dxa"/>
            <w:vAlign w:val="bottom"/>
            <w:vMerge w:val="restart"/>
          </w:tcPr>
          <w:p>
            <w:pPr>
              <w:jc w:val="right"/>
              <w:ind w:right="65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Overall, net interest spread for the second quarter 2018 is higher than last year. As the following chart illustrates, higher yields on interest and dividend income did offset the higher interest expense in the most recent quarter when comparing to the same period a year ago.</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June 30, 2018</w:t>
            </w:r>
          </w:p>
        </w:tc>
        <w:tc>
          <w:tcPr>
            <w:tcW w:w="3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June 30, 2017</w:t>
            </w:r>
          </w:p>
        </w:tc>
        <w:tc>
          <w:tcPr>
            <w:tcW w:w="3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June 30, 2016</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4.41%</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3.62%</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3.83%</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3.61%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Net interest income was up $1.1 million for the second quarter 2018 over the same time frame in 2017 due to the increase in loan interest income and partially offset by higher interest expense, as previously mentioned. As the new loans added in 2017 and 2018 generate more income, management expects the benefits of the Company’s strategy of repositioning the balance sheet to continue to widen this margin as measured in dollars. In terms of net interest margin rate, the Bank recognizes competition for deposits have and will continue to put pressure on the margin which may lead to a tightening.</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Noninterest Results of Operations - Second Quarter 2018 to Second Quarter 2017</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Provision Expense</w:t>
      </w:r>
    </w:p>
    <w:p>
      <w:pPr>
        <w:spacing w:after="0" w:line="185"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commercial and industrial along with the consumer loan portfolios accounted for the largest component of charge-offs and recoveries for second quarter of 2018 and 2017. As was mentioned in previous discussion, the commercial real estate portfolio is currently creating a large impact on the ALLL due to the loan growth.</w:t>
      </w:r>
    </w:p>
    <w:p>
      <w:pPr>
        <w:spacing w:after="0" w:line="137" w:lineRule="exact"/>
        <w:rPr>
          <w:sz w:val="20"/>
          <w:szCs w:val="20"/>
          <w:color w:val="auto"/>
        </w:rPr>
      </w:pPr>
    </w:p>
    <w:p>
      <w:pPr>
        <w:jc w:val="both"/>
        <w:ind w:left="700"/>
        <w:spacing w:after="0" w:line="293" w:lineRule="auto"/>
        <w:rPr>
          <w:sz w:val="20"/>
          <w:szCs w:val="20"/>
          <w:color w:val="auto"/>
        </w:rPr>
      </w:pPr>
      <w:r>
        <w:rPr>
          <w:rFonts w:ascii="Arial" w:cs="Arial" w:eastAsia="Arial" w:hAnsi="Arial"/>
          <w:sz w:val="16"/>
          <w:szCs w:val="16"/>
          <w:color w:val="auto"/>
        </w:rPr>
        <w:t>Total provision for loan losses was $107 thousand higher for the second quarter 2018 as compared to the same quarter 2017. Management continues to monitor asset quality, making adjustments to the provision as necessary. Loan charge-offs were $129 thousand higher in second quarter 2018 than the same quarter 2017. Recoveries were $3 thousand higher in second quarter 2018 as compared to second quarter 2017. Combined net charge-offs were $126 thousand higher in second quarter 2018 than the same time period 2017. Past due loans decreased $226 thousand from June 30, 2017 as compared to June 30, 2018. The majority of the change is attributed to the decrease of past due balances in the consumer real estate, agricultural real estate and commercial real estate portfolios while the commercial and industrial increased.</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June 30, 2018, 2017, and 2016.</w:t>
      </w:r>
    </w:p>
    <w:p>
      <w:pPr>
        <w:spacing w:after="0" w:line="22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0"/>
              </w:rPr>
              <w:t>(In Thousands)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91"/>
              </w:rPr>
              <w:t>Three Months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color w:val="auto"/>
                <w:w w:val="91"/>
              </w:rPr>
              <w:t>Three Months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color w:val="auto"/>
                <w:w w:val="91"/>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7"/>
              </w:rPr>
              <w:t>June 30, 2018</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7"/>
              </w:rPr>
              <w:t>June 30, 2017</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7"/>
              </w:rPr>
              <w:t>June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Loans, net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831,015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790,838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729,915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3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833,932</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777,649</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720,408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Allowance for Loan Losses - April 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6,800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6,850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00" w:type="dxa"/>
            <w:vAlign w:val="bottom"/>
            <w:gridSpan w:val="2"/>
          </w:tcPr>
          <w:p>
            <w:pPr>
              <w:spacing w:after="0"/>
              <w:rPr>
                <w:sz w:val="20"/>
                <w:szCs w:val="20"/>
                <w:color w:val="auto"/>
              </w:rPr>
            </w:pPr>
            <w:r>
              <w:rPr>
                <w:rFonts w:ascii="Arial" w:cs="Arial" w:eastAsia="Arial" w:hAnsi="Arial"/>
                <w:sz w:val="18"/>
                <w:szCs w:val="18"/>
                <w:color w:val="auto"/>
              </w:rPr>
              <w:t>Allowance for Loan &amp; Lease Losses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 June 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6,789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6,858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 - June 30,</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219</w:t>
            </w:r>
          </w:p>
        </w:tc>
        <w:tc>
          <w:tcPr>
            <w:tcW w:w="2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63"/>
        </w:trPr>
        <w:tc>
          <w:tcPr>
            <w:tcW w:w="3700" w:type="dxa"/>
            <w:vAlign w:val="bottom"/>
            <w:gridSpan w:val="2"/>
          </w:tcPr>
          <w:p>
            <w:pPr>
              <w:spacing w:after="0"/>
              <w:rPr>
                <w:sz w:val="20"/>
                <w:szCs w:val="20"/>
                <w:color w:val="auto"/>
              </w:rPr>
            </w:pPr>
            <w:r>
              <w:rPr>
                <w:rFonts w:ascii="Arial" w:cs="Arial" w:eastAsia="Arial" w:hAnsi="Arial"/>
                <w:sz w:val="18"/>
                <w:szCs w:val="18"/>
                <w:color w:val="auto"/>
              </w:rPr>
              <w:t>Total Allowance for Credit Losses - June 30,</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7,104</w:t>
            </w:r>
          </w:p>
        </w:tc>
        <w:tc>
          <w:tcPr>
            <w:tcW w:w="2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7,077</w:t>
            </w: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Loans outstanding</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751.49%</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80" w:hanging="376"/>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198" w:lineRule="exact"/>
        <w:rPr>
          <w:sz w:val="20"/>
          <w:szCs w:val="20"/>
          <w:color w:val="auto"/>
        </w:rPr>
      </w:pPr>
    </w:p>
    <w:p>
      <w:pPr>
        <w:jc w:val="both"/>
        <w:ind w:left="70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Loans classified as nonaccrual were lower as of June 30, 2018 at $903 thousand as compared to $1.4 million as of June 30, 2017.</w:t>
      </w:r>
    </w:p>
    <w:p>
      <w:pPr>
        <w:spacing w:after="0" w:line="198"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the balances for allowance of loan losses by loan type for six months ended June 30, 2018 and June 30, 2017.</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480" w:type="dxa"/>
            <w:vAlign w:val="bottom"/>
          </w:tcPr>
          <w:p>
            <w:pPr>
              <w:spacing w:after="0"/>
              <w:rPr>
                <w:sz w:val="19"/>
                <w:szCs w:val="19"/>
                <w:color w:val="auto"/>
              </w:rPr>
            </w:pPr>
          </w:p>
        </w:tc>
      </w:tr>
      <w:tr>
        <w:trPr>
          <w:trHeight w:val="230"/>
        </w:trPr>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9"/>
              </w:rPr>
              <w:t>June 30, 2018</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color w:val="auto"/>
                <w:w w:val="87"/>
              </w:rPr>
              <w:t>June 30, 2017</w:t>
            </w:r>
          </w:p>
        </w:tc>
        <w:tc>
          <w:tcPr>
            <w:tcW w:w="148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 Applicable To:</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32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251</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9.91%</w:t>
            </w:r>
          </w:p>
        </w:tc>
        <w:tc>
          <w:tcPr>
            <w:tcW w:w="2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48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751</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12.63%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596</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3,260</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49.44%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3,076</w:t>
            </w:r>
          </w:p>
        </w:tc>
        <w:tc>
          <w:tcPr>
            <w:tcW w:w="1480" w:type="dxa"/>
            <w:vAlign w:val="bottom"/>
          </w:tcPr>
          <w:p>
            <w:pPr>
              <w:jc w:val="right"/>
              <w:spacing w:after="0"/>
              <w:rPr>
                <w:sz w:val="20"/>
                <w:szCs w:val="20"/>
                <w:color w:val="auto"/>
              </w:rPr>
            </w:pPr>
            <w:r>
              <w:rPr>
                <w:rFonts w:ascii="Arial" w:cs="Arial" w:eastAsia="Arial" w:hAnsi="Arial"/>
                <w:sz w:val="18"/>
                <w:szCs w:val="18"/>
                <w:color w:val="auto"/>
              </w:rPr>
              <w:t>49.83%</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1,420</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14.74%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14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924</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Allowance for Loan &amp; Lease Losses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6,789</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6,858</w:t>
            </w:r>
          </w:p>
        </w:tc>
        <w:tc>
          <w:tcPr>
            <w:tcW w:w="1480" w:type="dxa"/>
            <w:vAlign w:val="bottom"/>
          </w:tcPr>
          <w:p>
            <w:pPr>
              <w:spacing w:after="0"/>
              <w:rPr>
                <w:sz w:val="19"/>
                <w:szCs w:val="19"/>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315</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c>
          <w:tcPr>
            <w:tcW w:w="1480" w:type="dxa"/>
            <w:vAlign w:val="bottom"/>
            <w:shd w:val="clear" w:color="auto" w:fill="CFF0FC"/>
          </w:tcPr>
          <w:p>
            <w:pPr>
              <w:spacing w:after="0"/>
              <w:rPr>
                <w:sz w:val="19"/>
                <w:szCs w:val="19"/>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7,104</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7,077</w:t>
            </w:r>
          </w:p>
        </w:tc>
        <w:tc>
          <w:tcPr>
            <w:tcW w:w="14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Income</w:t>
      </w:r>
    </w:p>
    <w:p>
      <w:pPr>
        <w:spacing w:after="0" w:line="198"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Noninterest income was up $33 thousand for the second quarter 2018 over the same time frame in 2017. The Company has seen an increase in its mortgage production volume and as a result the gain on the sale of these loans was $83 thousand higher for the second quarter 2018 over the same period in 2017. Loan originations on loans held for sale for the second quarter 2018 were $15.6 million with proceeds from sale at $17.6 million for 2018 which was more than 2017’s second quarter activity of $15.8 million in originations and $15.4 million in sales. The net result of the activity was 2018 had $83 thousand more revenue on gain of sale on the quarter. The mortgages sold were out of both the 1-4 family and agricultural real estate portfolios.</w:t>
      </w:r>
    </w:p>
    <w:p>
      <w:pPr>
        <w:spacing w:after="0" w:line="153" w:lineRule="exact"/>
        <w:rPr>
          <w:sz w:val="20"/>
          <w:szCs w:val="20"/>
          <w:color w:val="auto"/>
        </w:rPr>
      </w:pPr>
    </w:p>
    <w:p>
      <w:pPr>
        <w:jc w:val="both"/>
        <w:ind w:left="700"/>
        <w:spacing w:after="0" w:line="312" w:lineRule="auto"/>
        <w:rPr>
          <w:sz w:val="20"/>
          <w:szCs w:val="20"/>
          <w:color w:val="auto"/>
        </w:rPr>
      </w:pPr>
      <w:r>
        <w:rPr>
          <w:rFonts w:ascii="Arial" w:cs="Arial" w:eastAsia="Arial" w:hAnsi="Arial"/>
          <w:sz w:val="16"/>
          <w:szCs w:val="16"/>
          <w:color w:val="auto"/>
        </w:rPr>
        <w:t>The Company was able to better take advantage of market fluctuations in its available-for-sale portfolio and sales on securities in second quarter 2017 than second quarter 2018. The gain was $16 thousand lower in the most recent quarter than the same quarter prior year. The next largest fluctuation in noninterest income was in the combined service fee lines, which was $34 thousand lower than the same quarter last year.</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54"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second quarter of 2018, mortgage servicing rights caused a net $43 thousand in income, in comparison to a net $21 thousand income for the second quarter of 2017. The higher capitalized additions for 2018 are attributed to a lower loan origination level of 1-4 families combined with a higher mortgage servicing rights value being applied to originations of 1-4 families in 2018 as compared to 2017. For loans of 15 years and less, the value was .988% in the second quarter 2018 versus .712% in second quarter 2017. For loans over 15 years, the value was 1.168% versus 1.001% for the same periods respectively. The carrying value is well below the market value of $3.2 million which indicates any large expense to fund the valuation allowance to be unlikely in 2018.</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(In Thousands)</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2017</w:t>
            </w:r>
          </w:p>
        </w:tc>
        <w:tc>
          <w:tcPr>
            <w:tcW w:w="8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January 1,</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2,299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Capitalized Additions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8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Ending Balance, June 30,</w:t>
            </w: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8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Mortgage Servicing Rights net, June 30,</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2,356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Expense</w:t>
      </w:r>
    </w:p>
    <w:p>
      <w:pPr>
        <w:spacing w:after="0" w:line="198"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For the second quarter 2018, noninterest expenses were $540 thousand higher than for the same quarter in 2017. Salaries, wages, and employee benefits increased $153 thousand, with the addition of the Findlay office, along with normal merit increases. Furniture and equipment expenses increased $74 thousand from the prior year due to an increase in depreciation of $25 thousand and maintenance contracts of $55 thousand. Data processing charges decreased just $3 thousand for second quarter 2018 compared to the second quarter 2017. General and administrative expenses were up $168 thousand compared to second quarter 2017 with the largest increases arising from auditing/accounting fees, provision for unfunded loans, appraisal fees, and consulting fees. These increased expenses were offset by a reduction in core deposit intangible expense, legal fees, and miscellaneous expenses.</w:t>
      </w:r>
    </w:p>
    <w:p>
      <w:pPr>
        <w:spacing w:after="0" w:line="149"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Results overall, net income in the second quarter of 2018 was up $891 thousand as compared to the same quarter last year. The improved results of second quarter 2018 as compared to second quarter 2017 are not solely related to the change in tax rate from 34% to 21%. The Company has done an exceptional job of growing loans while keeping past dues low. The Company remains strong, stable, and well capitalized and has the capacity to continue to cover the increased costs of expansion.</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Comparison of Results of Interest Earnings and Expenses for six month periods ended June 30, 2018 and 2017</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Income</w:t>
      </w:r>
    </w:p>
    <w:p>
      <w:pPr>
        <w:spacing w:after="0" w:line="25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Higher loan balances created the improvement in the interest income for the first half 2018 as compared to first half 2017. Interest income rose 14.3% or $2.8 million while interest income from loans accounted for the majority of the increase. Offsetting the improvement from loans was a decrease in securities income of $53 thousand. The change in the balance sheet mix along with the loan growth caused the asset yield to improve by 30 basis points to 4.35% for the first half 2018 compared to first half 2017’s 4.05%.</w:t>
      </w:r>
    </w:p>
    <w:p>
      <w:pPr>
        <w:spacing w:after="0" w:line="214"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With each quarter of 2018, the loan growth and prime rate increases contribute to the continued improvement in asset yield. The growth factor contribution is shown in the charts which follow. Improvement in loan interest income far outweighs the loss for investments decreasing.</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average interest earning asset base was $54.3 million higher in first half 2018 than for first half 2017, an increase of approximately 5.5%.</w:t>
      </w: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34% tax rate for 2017 and a 21% tax rate for 2018 in the charts to follow.</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8"/>
          </w:tcPr>
          <w:p>
            <w:pPr>
              <w:jc w:val="right"/>
              <w:ind w:right="197"/>
              <w:spacing w:after="0"/>
              <w:rPr>
                <w:sz w:val="20"/>
                <w:szCs w:val="20"/>
                <w:color w:val="auto"/>
              </w:rPr>
            </w:pPr>
            <w:r>
              <w:rPr>
                <w:rFonts w:ascii="Arial" w:cs="Arial" w:eastAsia="Arial" w:hAnsi="Arial"/>
                <w:sz w:val="18"/>
                <w:szCs w:val="18"/>
                <w:color w:val="auto"/>
                <w:w w:val="90"/>
              </w:rPr>
              <w:t>Year to Date Ended June 30, 2018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Yield/Rate</w:t>
            </w:r>
          </w:p>
        </w:tc>
      </w:tr>
      <w:tr>
        <w:trPr>
          <w:trHeight w:val="223"/>
        </w:trPr>
        <w:tc>
          <w:tcPr>
            <w:tcW w:w="3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Earning Assets:</w:t>
            </w:r>
          </w:p>
        </w:tc>
        <w:tc>
          <w:tcPr>
            <w:tcW w:w="5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w w:val="90"/>
              </w:rPr>
              <w:t>Average Balance</w:t>
            </w: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8"/>
              </w:rPr>
              <w:t>Interest/Dividends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June 30, 2018</w:t>
            </w:r>
          </w:p>
        </w:tc>
        <w:tc>
          <w:tcPr>
            <w:tcW w:w="15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June 30, 2017</w:t>
            </w:r>
          </w:p>
        </w:tc>
      </w:tr>
      <w:tr>
        <w:trPr>
          <w:trHeight w:val="223"/>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829,545</w:t>
            </w:r>
          </w:p>
        </w:tc>
        <w:tc>
          <w:tcPr>
            <w:tcW w:w="1000" w:type="dxa"/>
            <w:vAlign w:val="bottom"/>
            <w:gridSpan w:val="3"/>
            <w:shd w:val="clear" w:color="auto" w:fill="CFF0FC"/>
          </w:tcPr>
          <w:p>
            <w:pPr>
              <w:jc w:val="right"/>
              <w:ind w:right="645"/>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20,623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4.63%</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150,464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1,426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r>
      <w:tr>
        <w:trPr>
          <w:trHeight w:val="230"/>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50,245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w:t>
            </w:r>
          </w:p>
        </w:tc>
      </w:tr>
      <w:tr>
        <w:trPr>
          <w:trHeight w:val="230"/>
        </w:trPr>
        <w:tc>
          <w:tcPr>
            <w:tcW w:w="3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Fed Funds Sold &amp; Other</w:t>
            </w:r>
          </w:p>
        </w:tc>
        <w:tc>
          <w:tcPr>
            <w:tcW w:w="5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19,435</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0.96%</w:t>
            </w:r>
          </w:p>
        </w:tc>
      </w:tr>
      <w:tr>
        <w:trPr>
          <w:trHeight w:val="223"/>
        </w:trPr>
        <w:tc>
          <w:tcPr>
            <w:tcW w:w="3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1,049,689</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22,673</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w:t>
            </w:r>
          </w:p>
        </w:tc>
      </w:tr>
      <w:tr>
        <w:trPr>
          <w:trHeight w:val="20"/>
        </w:trPr>
        <w:tc>
          <w:tcPr>
            <w:tcW w:w="5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8180" w:type="dxa"/>
            <w:vAlign w:val="bottom"/>
            <w:gridSpan w:val="17"/>
          </w:tcPr>
          <w:p>
            <w:pPr>
              <w:ind w:left="1800"/>
              <w:spacing w:after="0"/>
              <w:rPr>
                <w:sz w:val="20"/>
                <w:szCs w:val="20"/>
                <w:color w:val="auto"/>
              </w:rPr>
            </w:pPr>
            <w:r>
              <w:rPr>
                <w:rFonts w:ascii="Arial" w:cs="Arial" w:eastAsia="Arial" w:hAnsi="Arial"/>
                <w:sz w:val="18"/>
                <w:szCs w:val="18"/>
                <w:b w:val="1"/>
                <w:bCs w:val="1"/>
                <w:color w:val="auto"/>
                <w:w w:val="91"/>
              </w:rPr>
              <w:t>Change in Interest Income Year to Date June 30, 2018 Compared to June 30, 2017</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73"/>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ind w:right="410"/>
              <w:spacing w:after="0"/>
              <w:rPr>
                <w:sz w:val="20"/>
                <w:szCs w:val="20"/>
                <w:color w:val="auto"/>
              </w:rPr>
            </w:pPr>
            <w:r>
              <w:rPr>
                <w:rFonts w:ascii="Arial" w:cs="Arial" w:eastAsia="Arial" w:hAnsi="Arial"/>
                <w:sz w:val="18"/>
                <w:szCs w:val="18"/>
                <w:color w:val="auto"/>
                <w:w w:val="90"/>
              </w:rPr>
              <w:t>Due to</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3500" w:type="dxa"/>
            <w:vAlign w:val="bottom"/>
            <w:gridSpan w:val="2"/>
          </w:tcPr>
          <w:p>
            <w:pPr>
              <w:ind w:left="560"/>
              <w:spacing w:after="0"/>
              <w:rPr>
                <w:sz w:val="20"/>
                <w:szCs w:val="20"/>
                <w:color w:val="auto"/>
              </w:rPr>
            </w:pPr>
            <w:r>
              <w:rPr>
                <w:rFonts w:ascii="Arial" w:cs="Arial" w:eastAsia="Arial" w:hAnsi="Arial"/>
                <w:sz w:val="18"/>
                <w:szCs w:val="18"/>
                <w:color w:val="auto"/>
              </w:rPr>
              <w:t>Interest Earning Assets: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ind w:right="365"/>
              <w:spacing w:after="0"/>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3"/>
          </w:tcPr>
          <w:p>
            <w:pPr>
              <w:jc w:val="center"/>
              <w:ind w:right="350"/>
              <w:spacing w:after="0"/>
              <w:rPr>
                <w:sz w:val="20"/>
                <w:szCs w:val="20"/>
                <w:color w:val="auto"/>
              </w:rPr>
            </w:pPr>
            <w:r>
              <w:rPr>
                <w:rFonts w:ascii="Arial" w:cs="Arial" w:eastAsia="Arial" w:hAnsi="Arial"/>
                <w:sz w:val="18"/>
                <w:szCs w:val="18"/>
                <w:color w:val="auto"/>
                <w:w w:val="91"/>
              </w:rPr>
              <w:t>Volume</w:t>
            </w:r>
          </w:p>
        </w:tc>
        <w:tc>
          <w:tcPr>
            <w:tcW w:w="160" w:type="dxa"/>
            <w:vAlign w:val="bottom"/>
          </w:tcPr>
          <w:p>
            <w:pPr>
              <w:spacing w:after="0"/>
              <w:rPr>
                <w:sz w:val="20"/>
                <w:szCs w:val="20"/>
                <w:color w:val="auto"/>
              </w:rPr>
            </w:pPr>
          </w:p>
        </w:tc>
        <w:tc>
          <w:tcPr>
            <w:tcW w:w="2060" w:type="dxa"/>
            <w:vAlign w:val="bottom"/>
            <w:gridSpan w:val="4"/>
          </w:tcPr>
          <w:p>
            <w:pPr>
              <w:jc w:val="right"/>
              <w:ind w:right="940"/>
              <w:spacing w:after="0"/>
              <w:rPr>
                <w:sz w:val="20"/>
                <w:szCs w:val="20"/>
                <w:color w:val="auto"/>
              </w:rPr>
            </w:pPr>
            <w:r>
              <w:rPr>
                <w:rFonts w:ascii="Arial" w:cs="Arial" w:eastAsia="Arial" w:hAnsi="Arial"/>
                <w:sz w:val="18"/>
                <w:szCs w:val="18"/>
                <w:color w:val="auto"/>
              </w:rPr>
              <w:t>Due to Rate</w:t>
            </w:r>
          </w:p>
        </w:tc>
      </w:tr>
      <w:tr>
        <w:trPr>
          <w:trHeight w:val="223"/>
        </w:trPr>
        <w:tc>
          <w:tcPr>
            <w:tcW w:w="580" w:type="dxa"/>
            <w:vAlign w:val="bottom"/>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5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2,803</w:t>
            </w:r>
          </w:p>
        </w:tc>
        <w:tc>
          <w:tcPr>
            <w:tcW w:w="580" w:type="dxa"/>
            <w:vAlign w:val="bottom"/>
            <w:tcBorders>
              <w:top w:val="single" w:sz="8" w:color="auto"/>
            </w:tcBorders>
            <w:gridSpan w:val="3"/>
            <w:shd w:val="clear" w:color="auto" w:fill="CFF0FC"/>
          </w:tcPr>
          <w:p>
            <w:pPr>
              <w:jc w:val="right"/>
              <w:ind w:right="177"/>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1,483</w:t>
            </w:r>
          </w:p>
        </w:tc>
        <w:tc>
          <w:tcPr>
            <w:tcW w:w="580" w:type="dxa"/>
            <w:vAlign w:val="bottom"/>
            <w:tcBorders>
              <w:top w:val="single" w:sz="8" w:color="auto"/>
            </w:tcBorders>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1,320</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5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2,828</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1,407</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1,421</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Expense</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Interest expense was also higher for first half 2018 compared to first half 2017. At $3 million, first half 2018 was up $558 thousand as compared to same time period 2017 or 22.9%.</w:t>
      </w:r>
    </w:p>
    <w:p>
      <w:pPr>
        <w:spacing w:after="0" w:line="197"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The average balance of interest-bearing liabilities was higher by $36.6 million in 2018 than first half 2017. Interest bearing deposits increased $46.2 million while Fed Funds sold and securities sold under agreement to repurchase decreased by $4.7 million. The higher balance coupled with the slight variation of the balance sheet mix, resulted in a 12 basis points increase in the cost of funds at 0.78% for first half 2018 as compared to 2017’s 0.66%.</w:t>
      </w:r>
    </w:p>
    <w:p>
      <w:pPr>
        <w:spacing w:after="0" w:line="214" w:lineRule="exact"/>
        <w:rPr>
          <w:sz w:val="20"/>
          <w:szCs w:val="20"/>
          <w:color w:val="auto"/>
        </w:rPr>
      </w:pPr>
    </w:p>
    <w:p>
      <w:pPr>
        <w:jc w:val="both"/>
        <w:ind w:left="760" w:right="20"/>
        <w:spacing w:after="0" w:line="255" w:lineRule="auto"/>
        <w:rPr>
          <w:sz w:val="20"/>
          <w:szCs w:val="20"/>
          <w:color w:val="auto"/>
        </w:rPr>
      </w:pPr>
      <w:r>
        <w:rPr>
          <w:rFonts w:ascii="Arial" w:cs="Arial" w:eastAsia="Arial" w:hAnsi="Arial"/>
          <w:sz w:val="18"/>
          <w:szCs w:val="18"/>
          <w:color w:val="auto"/>
        </w:rPr>
        <w:t>The Federal Funds and prime rate increases of 25 basis points in December 2015, December 2016, March, June, and December of 2017 along with March and June of 2018, has only had a marginal effect on the Bank’s pricing methodologies. Loans with variable rates and floors have had the rates begin to increase over the floors with the 175 basis points increase in prime rate over the last 30 months. This should be evident in the second quarter chart relating to the change report due to volume and rate. On the liability side, the slow pace of the rate increases has placed more pressure on the short term funds. Competition for public funds had caused those short term deposits to price higher. This is evidenced in the change chart as the increase cost is driven more by rate than volume.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tcPr>
          <w:p>
            <w:pPr>
              <w:ind w:left="1020"/>
              <w:spacing w:after="0"/>
              <w:rPr>
                <w:sz w:val="20"/>
                <w:szCs w:val="20"/>
                <w:color w:val="auto"/>
              </w:rPr>
            </w:pPr>
            <w:r>
              <w:rPr>
                <w:rFonts w:ascii="Arial" w:cs="Arial" w:eastAsia="Arial" w:hAnsi="Arial"/>
                <w:sz w:val="18"/>
                <w:szCs w:val="18"/>
                <w:color w:val="auto"/>
              </w:rPr>
              <w:t>(In Thousands)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360" w:type="dxa"/>
            <w:vAlign w:val="bottom"/>
            <w:tcBorders>
              <w:top w:val="single" w:sz="8" w:color="auto"/>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w w:val="99"/>
              </w:rPr>
              <w:t>Year to Date Ended June 30, 2018</w:t>
            </w: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color w:val="auto"/>
              </w:rPr>
              <w:t>Yield/Rate</w:t>
            </w:r>
          </w:p>
        </w:tc>
        <w:tc>
          <w:tcPr>
            <w:tcW w:w="580" w:type="dxa"/>
            <w:vAlign w:val="bottom"/>
          </w:tcPr>
          <w:p>
            <w:pPr>
              <w:spacing w:after="0"/>
              <w:rPr>
                <w:sz w:val="19"/>
                <w:szCs w:val="19"/>
                <w:color w:val="auto"/>
              </w:rPr>
            </w:pPr>
          </w:p>
        </w:tc>
      </w:tr>
      <w:tr>
        <w:trPr>
          <w:trHeight w:val="223"/>
        </w:trPr>
        <w:tc>
          <w:tcPr>
            <w:tcW w:w="3920" w:type="dxa"/>
            <w:vAlign w:val="bottom"/>
            <w:gridSpan w:val="2"/>
          </w:tcPr>
          <w:p>
            <w:pPr>
              <w:ind w:left="580"/>
              <w:spacing w:after="0"/>
              <w:rPr>
                <w:sz w:val="20"/>
                <w:szCs w:val="20"/>
                <w:color w:val="auto"/>
              </w:rPr>
            </w:pPr>
            <w:r>
              <w:rPr>
                <w:rFonts w:ascii="Arial" w:cs="Arial" w:eastAsia="Arial" w:hAnsi="Arial"/>
                <w:sz w:val="18"/>
                <w:szCs w:val="18"/>
                <w:color w:val="auto"/>
              </w:rPr>
              <w:t>Interest Bearing Liabilities: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w w:val="91"/>
              </w:rPr>
              <w:t>Average Balance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Interest/Dividends</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June 30, 2018</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w w:val="94"/>
              </w:rPr>
              <w:t>June 30, 2017</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555,181</w:t>
            </w: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1,576</w:t>
            </w:r>
          </w:p>
        </w:tc>
        <w:tc>
          <w:tcPr>
            <w:tcW w:w="10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Time Deposits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183,729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26,689</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19"/>
                <w:szCs w:val="19"/>
                <w:color w:val="auto"/>
              </w:rPr>
            </w:pPr>
          </w:p>
        </w:tc>
      </w:tr>
      <w:tr>
        <w:trPr>
          <w:trHeight w:val="223"/>
        </w:trPr>
        <w:tc>
          <w:tcPr>
            <w:tcW w:w="3920" w:type="dxa"/>
            <w:vAlign w:val="bottom"/>
            <w:gridSpan w:val="2"/>
          </w:tcPr>
          <w:p>
            <w:pPr>
              <w:ind w:left="580"/>
              <w:spacing w:after="0"/>
              <w:rPr>
                <w:sz w:val="20"/>
                <w:szCs w:val="20"/>
                <w:color w:val="auto"/>
              </w:rPr>
            </w:pPr>
            <w:r>
              <w:rPr>
                <w:rFonts w:ascii="Arial" w:cs="Arial" w:eastAsia="Arial" w:hAnsi="Arial"/>
                <w:sz w:val="18"/>
                <w:szCs w:val="18"/>
                <w:color w:val="auto"/>
              </w:rPr>
              <w:t>Total Interest Bearing Liabilities</w:t>
            </w: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770,599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9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Change in Interest Expense Year to Date June 30, 2018 Compared to June 30, 2017</w:t>
      </w: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9"/>
              </w:rPr>
              <w:t>(In Thousands)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 to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Interest Bearing Liabilities:</w:t>
            </w:r>
          </w:p>
        </w:tc>
        <w:tc>
          <w:tcPr>
            <w:tcW w:w="24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Volume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Due to Rate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511</w:t>
            </w: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148</w:t>
            </w: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363</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Time Deposits</w:t>
            </w:r>
          </w:p>
        </w:tc>
        <w:tc>
          <w:tcPr>
            <w:tcW w:w="2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20"/>
                <w:szCs w:val="20"/>
                <w:color w:val="auto"/>
              </w:rPr>
            </w:pPr>
            <w:r>
              <w:rPr>
                <w:rFonts w:ascii="Arial" w:cs="Arial" w:eastAsia="Arial" w:hAnsi="Arial"/>
                <w:sz w:val="18"/>
                <w:szCs w:val="18"/>
                <w:color w:val="auto"/>
              </w:rPr>
              <w:t>7</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53</w:t>
            </w: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 Interest Bearing Liabilities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528</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Interest Income</w:t>
      </w:r>
    </w:p>
    <w:p>
      <w:pPr>
        <w:spacing w:after="0" w:line="185"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Overall, net interest spread figures for the first half 2018 are up from 2017 by 18 basis points and up 17 basis points from 2016. Net interest margin for the first half of 2018 is higher than the same period 2017 and 2016. As the chart below illustrates, both higher yields on interest and dividend income, were offset by higher interest expense resulting in total net interest margin up 22 basis points since the first half of 2017 and over first half 2016 by 23 basis points.</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June 30, 2018</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June 30, 2017</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June 30, 2016</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4.35%</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0.78%</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0.66%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vMerge w:val="continue"/>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3.57%</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3.39%</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vMerge w:val="continue"/>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Net interest income was up $2.3 million in the first half 2018 over the same time frame in 2017 due to the increase in loan income even with higher interest expense, as previously mentioned. New loans added in 2017 and 2018 will continue to generate more income, while deposit pressure is expected to increase on the expense side.</w:t>
      </w: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Comparison of Results of Noninterest Earnings and Expenses for six month periods ended June 30, 2018 and 2017</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Provision Expense</w:t>
      </w:r>
    </w:p>
    <w:p>
      <w:pPr>
        <w:spacing w:after="0" w:line="25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Total provision for loan losses was $74 thousand lower for six months 2018 than for the first six months 2017. While loan growth continued in the first half, strong asset quality continued also. The strong asset quality and lower net charge-offs offset any need for additional provision above the $172 thousand that was expensed.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7"/>
              </w:rPr>
              <w:t>(In Thousands)</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color w:val="auto"/>
                <w:w w:val="95"/>
              </w:rPr>
              <w:t>Six Months Ended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color w:val="auto"/>
                <w:w w:val="95"/>
              </w:rPr>
              <w:t>Six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June 30, 2018</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June 30, 2017</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June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Loans, net</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831,015</w:t>
            </w:r>
          </w:p>
        </w:tc>
        <w:tc>
          <w:tcPr>
            <w:tcW w:w="5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790,838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729,915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5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829,545</w:t>
            </w:r>
          </w:p>
        </w:tc>
        <w:tc>
          <w:tcPr>
            <w:tcW w:w="3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769,931</w:t>
            </w:r>
          </w:p>
        </w:tc>
        <w:tc>
          <w:tcPr>
            <w:tcW w:w="3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706,523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6,868</w:t>
            </w: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6,784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327</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97</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Allowance for Loan &amp; Lease Losses - June 30,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6,789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6,858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&amp; Letters of Credit - June 30,</w:t>
            </w:r>
          </w:p>
        </w:tc>
        <w:tc>
          <w:tcPr>
            <w:tcW w:w="4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63"/>
        </w:trPr>
        <w:tc>
          <w:tcPr>
            <w:tcW w:w="4520" w:type="dxa"/>
            <w:vAlign w:val="bottom"/>
            <w:gridSpan w:val="2"/>
          </w:tcPr>
          <w:p>
            <w:pPr>
              <w:spacing w:after="0"/>
              <w:rPr>
                <w:sz w:val="20"/>
                <w:szCs w:val="20"/>
                <w:color w:val="auto"/>
              </w:rPr>
            </w:pPr>
            <w:r>
              <w:rPr>
                <w:rFonts w:ascii="Arial" w:cs="Arial" w:eastAsia="Arial" w:hAnsi="Arial"/>
                <w:sz w:val="18"/>
                <w:szCs w:val="18"/>
                <w:color w:val="auto"/>
              </w:rPr>
              <w:t>Total Allowance for Credit Losses - June 30,</w:t>
            </w:r>
          </w:p>
        </w:tc>
        <w:tc>
          <w:tcPr>
            <w:tcW w:w="42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7,104</w:t>
            </w:r>
          </w:p>
        </w:tc>
        <w:tc>
          <w:tcPr>
            <w:tcW w:w="34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7,077</w:t>
            </w:r>
          </w:p>
        </w:tc>
        <w:tc>
          <w:tcPr>
            <w:tcW w:w="3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 Nonperforming</w:t>
            </w: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Loans*</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751.49%</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502.23%</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Noninterest Income</w:t>
      </w:r>
    </w:p>
    <w:p>
      <w:pPr>
        <w:spacing w:after="0" w:line="252"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comparing past due balances of loans 30+ days, June 30, 2018 balances were $226 thousand lower than June 30, 2017 balances. Net charge-offs were also higher at $251 thousand for first half 2018 compared to first half 2017’s $24 thousand.</w:t>
      </w:r>
    </w:p>
    <w:p>
      <w:pPr>
        <w:spacing w:after="0" w:line="197"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Noninterest income for the first six months 2018 increased over the first half of 2017 by $59 thousand. Combined service fees increased by $92 thousand and gain on sale of loans showed a $14 thousand improvement over first half 2017. Gain on sale of available-for-sale securities decreased by $47 thousand over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Expense</w:t>
      </w:r>
    </w:p>
    <w:p>
      <w:pPr>
        <w:spacing w:after="0" w:line="25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Through the first half 2018, noninterest expenses were $1.1 million higher than in first half 2017. The effect of an increase of $397 thousand in salaries and wages was combined with an increase of $279 thousand in employee benefits. One new office has been added in 2018, merit increases along with increased costs in medical benefits have impacted the 2018 salaries, wages, and benefits. Higher profit levels are also driving higher incentive accruals for 2018.</w:t>
      </w:r>
    </w:p>
    <w:p>
      <w:pPr>
        <w:spacing w:after="0" w:line="214" w:lineRule="exact"/>
        <w:rPr>
          <w:sz w:val="20"/>
          <w:szCs w:val="20"/>
          <w:color w:val="auto"/>
        </w:rPr>
      </w:pPr>
    </w:p>
    <w:p>
      <w:pPr>
        <w:jc w:val="both"/>
        <w:ind w:left="700"/>
        <w:spacing w:after="0" w:line="286" w:lineRule="auto"/>
        <w:rPr>
          <w:sz w:val="20"/>
          <w:szCs w:val="20"/>
          <w:color w:val="auto"/>
        </w:rPr>
      </w:pPr>
      <w:r>
        <w:rPr>
          <w:rFonts w:ascii="Arial" w:cs="Arial" w:eastAsia="Arial" w:hAnsi="Arial"/>
          <w:sz w:val="17"/>
          <w:szCs w:val="17"/>
          <w:color w:val="auto"/>
        </w:rPr>
        <w:t>Data processing fees were only $17 thousand higher than last year due to seven year contract extension signed in the third quarter of 2016. It has helped reduce the expense while adding new products and services to better align with our customers’ expectations in the coming years. We have already added additional products in 2018, mainly focused on mobile services and business deposit accounts.</w:t>
      </w:r>
    </w:p>
    <w:p>
      <w:pPr>
        <w:spacing w:after="0" w:line="193"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next largest increase for 2018 was in the furniture and equipment. This line item on the income statement was up by $109 thousand over first half 2017. Increased depreciation for new offices and office transformations, along with maintenance costs have led to this expense to increase over 2017.</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Overall, net income through the first half of 2018 was up $1.8 million as compared to the first half of 2017. The Company continues to grow loans while keeping past dues low. The growth in loans has spurred the increase in net interest income that has flowed through to the bottom line. The asset quality has kept loan provision down as the allowance for loan loss remains adequate for the level of credit risk. The opening of the new offices has hampered earnings in the short term; however, the Company remains focused on the long term.</w:t>
      </w:r>
    </w:p>
    <w:p>
      <w:pPr>
        <w:spacing w:after="0" w:line="198"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FORWARD LOOKING STATEMENTS</w:t>
      </w:r>
    </w:p>
    <w:p>
      <w:pPr>
        <w:spacing w:after="0" w:line="198" w:lineRule="exact"/>
        <w:rPr>
          <w:sz w:val="20"/>
          <w:szCs w:val="20"/>
          <w:color w:val="auto"/>
        </w:rPr>
      </w:pPr>
    </w:p>
    <w:p>
      <w:pPr>
        <w:jc w:val="both"/>
        <w:ind w:left="700"/>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1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shocks presented below assume an immediate change of rate in the percentages and directions shown covering a twelve month period: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Interest Rate Shock on Net Interest Margin</w:t>
            </w:r>
          </w:p>
        </w:tc>
        <w:tc>
          <w:tcPr>
            <w:tcW w:w="70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Interest Rate Shock on Net Interest Income</w:t>
            </w:r>
          </w:p>
        </w:tc>
        <w:tc>
          <w:tcPr>
            <w:tcW w:w="420" w:type="dxa"/>
            <w:vAlign w:val="bottom"/>
            <w:gridSpan w:val="2"/>
          </w:tcPr>
          <w:p>
            <w:pPr>
              <w:spacing w:after="0"/>
              <w:rPr>
                <w:sz w:val="17"/>
                <w:szCs w:val="17"/>
                <w:color w:val="auto"/>
              </w:rPr>
            </w:pPr>
          </w:p>
        </w:tc>
      </w:tr>
      <w:tr>
        <w:trPr>
          <w:trHeight w:val="249"/>
        </w:trPr>
        <w:tc>
          <w:tcPr>
            <w:tcW w:w="340" w:type="dxa"/>
            <w:vAlign w:val="bottom"/>
          </w:tcPr>
          <w:p>
            <w:pPr>
              <w:spacing w:after="0"/>
              <w:rPr>
                <w:sz w:val="21"/>
                <w:szCs w:val="21"/>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w w:val="98"/>
              </w:rPr>
              <w:t>Net Interest</w:t>
            </w:r>
          </w:p>
        </w:tc>
        <w:tc>
          <w:tcPr>
            <w:tcW w:w="206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 Change to</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Rate</w:t>
            </w: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Rate</w:t>
            </w:r>
          </w:p>
        </w:tc>
        <w:tc>
          <w:tcPr>
            <w:tcW w:w="300" w:type="dxa"/>
            <w:vAlign w:val="bottom"/>
          </w:tcPr>
          <w:p>
            <w:pPr>
              <w:spacing w:after="0"/>
              <w:rPr>
                <w:sz w:val="21"/>
                <w:szCs w:val="21"/>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Cumulative</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 Change to</w:t>
            </w:r>
          </w:p>
        </w:tc>
      </w:tr>
      <w:tr>
        <w:trPr>
          <w:trHeight w:val="230"/>
        </w:trPr>
        <w:tc>
          <w:tcPr>
            <w:tcW w:w="17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Margin (Ratio)</w:t>
            </w:r>
          </w:p>
        </w:tc>
        <w:tc>
          <w:tcPr>
            <w:tcW w:w="36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Flat Rate</w:t>
            </w:r>
          </w:p>
        </w:tc>
        <w:tc>
          <w:tcPr>
            <w:tcW w:w="36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Direction</w:t>
            </w:r>
          </w:p>
        </w:tc>
        <w:tc>
          <w:tcPr>
            <w:tcW w:w="16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Changes by</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 ($000)</w:t>
            </w:r>
          </w:p>
        </w:tc>
        <w:tc>
          <w:tcPr>
            <w:tcW w:w="280" w:type="dxa"/>
            <w:vAlign w:val="bottom"/>
            <w:tcBorders>
              <w:bottom w:val="single" w:sz="8" w:color="CFF0FC"/>
            </w:tcBorders>
          </w:tcPr>
          <w:p>
            <w:pPr>
              <w:spacing w:after="0"/>
              <w:rPr>
                <w:sz w:val="20"/>
                <w:szCs w:val="20"/>
                <w:color w:val="auto"/>
              </w:rPr>
            </w:pPr>
          </w:p>
        </w:tc>
        <w:tc>
          <w:tcPr>
            <w:tcW w:w="1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7"/>
              </w:rPr>
              <w:t>Flat Rate</w:t>
            </w:r>
          </w:p>
        </w:tc>
        <w:tc>
          <w:tcPr>
            <w:tcW w:w="100" w:type="dxa"/>
            <w:vAlign w:val="bottom"/>
            <w:tcBorders>
              <w:bottom w:val="single" w:sz="8" w:color="CFF0FC"/>
            </w:tcBorders>
          </w:tcPr>
          <w:p>
            <w:pPr>
              <w:spacing w:after="0"/>
              <w:rPr>
                <w:sz w:val="20"/>
                <w:szCs w:val="20"/>
                <w:color w:val="auto"/>
              </w:rPr>
            </w:pPr>
          </w:p>
        </w:tc>
      </w:tr>
      <w:tr>
        <w:trPr>
          <w:trHeight w:val="223"/>
        </w:trPr>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4.48%</w:t>
            </w:r>
          </w:p>
        </w:tc>
        <w:tc>
          <w:tcPr>
            <w:tcW w:w="2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18.52%</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3.00%</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49,434</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1"/>
              </w:rPr>
              <w:t>16.96%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80" w:type="dxa"/>
            <w:vAlign w:val="bottom"/>
            <w:gridSpan w:val="3"/>
          </w:tcPr>
          <w:p>
            <w:pPr>
              <w:jc w:val="right"/>
              <w:ind w:right="200"/>
              <w:spacing w:after="0"/>
              <w:rPr>
                <w:sz w:val="20"/>
                <w:szCs w:val="20"/>
                <w:color w:val="auto"/>
              </w:rPr>
            </w:pPr>
            <w:r>
              <w:rPr>
                <w:rFonts w:ascii="Arial" w:cs="Arial" w:eastAsia="Arial" w:hAnsi="Arial"/>
                <w:sz w:val="18"/>
                <w:szCs w:val="18"/>
                <w:color w:val="auto"/>
              </w:rPr>
              <w:t>4.21%</w:t>
            </w:r>
          </w:p>
        </w:tc>
        <w:tc>
          <w:tcPr>
            <w:tcW w:w="2060" w:type="dxa"/>
            <w:vAlign w:val="bottom"/>
            <w:gridSpan w:val="3"/>
          </w:tcPr>
          <w:p>
            <w:pPr>
              <w:jc w:val="right"/>
              <w:ind w:right="200"/>
              <w:spacing w:after="0"/>
              <w:rPr>
                <w:sz w:val="20"/>
                <w:szCs w:val="20"/>
                <w:color w:val="auto"/>
              </w:rPr>
            </w:pPr>
            <w:r>
              <w:rPr>
                <w:rFonts w:ascii="Arial" w:cs="Arial" w:eastAsia="Arial" w:hAnsi="Arial"/>
                <w:sz w:val="18"/>
                <w:szCs w:val="18"/>
                <w:color w:val="auto"/>
              </w:rPr>
              <w:t>11.19%</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Rising</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28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46,670</w:t>
            </w:r>
          </w:p>
        </w:tc>
        <w:tc>
          <w:tcPr>
            <w:tcW w:w="280" w:type="dxa"/>
            <w:vAlign w:val="bottom"/>
          </w:tcPr>
          <w:p>
            <w:pPr>
              <w:spacing w:after="0"/>
              <w:rPr>
                <w:sz w:val="19"/>
                <w:szCs w:val="19"/>
                <w:color w:val="auto"/>
              </w:rPr>
            </w:pPr>
          </w:p>
        </w:tc>
        <w:tc>
          <w:tcPr>
            <w:tcW w:w="1420" w:type="dxa"/>
            <w:vAlign w:val="bottom"/>
          </w:tcPr>
          <w:p>
            <w:pPr>
              <w:jc w:val="center"/>
              <w:ind w:left="210"/>
              <w:spacing w:after="0"/>
              <w:rPr>
                <w:sz w:val="20"/>
                <w:szCs w:val="20"/>
                <w:color w:val="auto"/>
              </w:rPr>
            </w:pPr>
            <w:r>
              <w:rPr>
                <w:rFonts w:ascii="Arial" w:cs="Arial" w:eastAsia="Arial" w:hAnsi="Arial"/>
                <w:sz w:val="18"/>
                <w:szCs w:val="18"/>
                <w:color w:val="auto"/>
                <w:w w:val="91"/>
              </w:rPr>
              <w:t>10.42%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3.93%</w:t>
            </w:r>
          </w:p>
        </w:tc>
        <w:tc>
          <w:tcPr>
            <w:tcW w:w="2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3.90%</w:t>
            </w:r>
          </w:p>
        </w:tc>
        <w:tc>
          <w:tcPr>
            <w:tcW w:w="17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Rising</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1.00%</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43,930</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3"/>
              </w:rPr>
              <w:t>3.94%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80" w:type="dxa"/>
            <w:vAlign w:val="bottom"/>
            <w:gridSpan w:val="3"/>
          </w:tcPr>
          <w:p>
            <w:pPr>
              <w:jc w:val="right"/>
              <w:ind w:right="200"/>
              <w:spacing w:after="0"/>
              <w:rPr>
                <w:sz w:val="20"/>
                <w:szCs w:val="20"/>
                <w:color w:val="auto"/>
              </w:rPr>
            </w:pPr>
            <w:r>
              <w:rPr>
                <w:rFonts w:ascii="Arial" w:cs="Arial" w:eastAsia="Arial" w:hAnsi="Arial"/>
                <w:sz w:val="18"/>
                <w:szCs w:val="18"/>
                <w:color w:val="auto"/>
              </w:rPr>
              <w:t>3.78%</w:t>
            </w:r>
          </w:p>
        </w:tc>
        <w:tc>
          <w:tcPr>
            <w:tcW w:w="2060" w:type="dxa"/>
            <w:vAlign w:val="bottom"/>
            <w:gridSpan w:val="3"/>
          </w:tcPr>
          <w:p>
            <w:pPr>
              <w:jc w:val="right"/>
              <w:ind w:right="200"/>
              <w:spacing w:after="0"/>
              <w:rPr>
                <w:sz w:val="20"/>
                <w:szCs w:val="20"/>
                <w:color w:val="auto"/>
              </w:rPr>
            </w:pPr>
            <w:r>
              <w:rPr>
                <w:rFonts w:ascii="Arial" w:cs="Arial" w:eastAsia="Arial" w:hAnsi="Arial"/>
                <w:sz w:val="18"/>
                <w:szCs w:val="18"/>
                <w:color w:val="auto"/>
              </w:rPr>
              <w:t>0.00%</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Flat</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28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42,265</w:t>
            </w:r>
          </w:p>
        </w:tc>
        <w:tc>
          <w:tcPr>
            <w:tcW w:w="280" w:type="dxa"/>
            <w:vAlign w:val="bottom"/>
          </w:tcPr>
          <w:p>
            <w:pPr>
              <w:spacing w:after="0"/>
              <w:rPr>
                <w:sz w:val="19"/>
                <w:szCs w:val="19"/>
                <w:color w:val="auto"/>
              </w:rPr>
            </w:pPr>
          </w:p>
        </w:tc>
        <w:tc>
          <w:tcPr>
            <w:tcW w:w="1420" w:type="dxa"/>
            <w:vAlign w:val="bottom"/>
          </w:tcPr>
          <w:p>
            <w:pPr>
              <w:jc w:val="center"/>
              <w:ind w:left="210"/>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3.53%</w:t>
            </w:r>
          </w:p>
        </w:tc>
        <w:tc>
          <w:tcPr>
            <w:tcW w:w="2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-6.80%</w:t>
            </w:r>
          </w:p>
        </w:tc>
        <w:tc>
          <w:tcPr>
            <w:tcW w:w="17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4"/>
              </w:rPr>
              <w:t>Falling</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39,718</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1"/>
              </w:rPr>
              <w:t>-6.03%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80" w:type="dxa"/>
            <w:vAlign w:val="bottom"/>
            <w:gridSpan w:val="3"/>
          </w:tcPr>
          <w:p>
            <w:pPr>
              <w:jc w:val="right"/>
              <w:ind w:right="200"/>
              <w:spacing w:after="0"/>
              <w:rPr>
                <w:sz w:val="20"/>
                <w:szCs w:val="20"/>
                <w:color w:val="auto"/>
              </w:rPr>
            </w:pPr>
            <w:r>
              <w:rPr>
                <w:rFonts w:ascii="Arial" w:cs="Arial" w:eastAsia="Arial" w:hAnsi="Arial"/>
                <w:sz w:val="18"/>
                <w:szCs w:val="18"/>
                <w:color w:val="auto"/>
              </w:rPr>
              <w:t>3.27%</w:t>
            </w:r>
          </w:p>
        </w:tc>
        <w:tc>
          <w:tcPr>
            <w:tcW w:w="2060" w:type="dxa"/>
            <w:vAlign w:val="bottom"/>
            <w:gridSpan w:val="3"/>
          </w:tcPr>
          <w:p>
            <w:pPr>
              <w:jc w:val="right"/>
              <w:ind w:right="200"/>
              <w:spacing w:after="0"/>
              <w:rPr>
                <w:sz w:val="20"/>
                <w:szCs w:val="20"/>
                <w:color w:val="auto"/>
              </w:rPr>
            </w:pPr>
            <w:r>
              <w:rPr>
                <w:rFonts w:ascii="Arial" w:cs="Arial" w:eastAsia="Arial" w:hAnsi="Arial"/>
                <w:sz w:val="18"/>
                <w:szCs w:val="18"/>
                <w:color w:val="auto"/>
              </w:rPr>
              <w:t>-13.57%</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Falling</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28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37,365</w:t>
            </w:r>
          </w:p>
        </w:tc>
        <w:tc>
          <w:tcPr>
            <w:tcW w:w="280" w:type="dxa"/>
            <w:vAlign w:val="bottom"/>
          </w:tcPr>
          <w:p>
            <w:pPr>
              <w:spacing w:after="0"/>
              <w:rPr>
                <w:sz w:val="19"/>
                <w:szCs w:val="19"/>
                <w:color w:val="auto"/>
              </w:rPr>
            </w:pPr>
          </w:p>
        </w:tc>
        <w:tc>
          <w:tcPr>
            <w:tcW w:w="1420" w:type="dxa"/>
            <w:vAlign w:val="bottom"/>
          </w:tcPr>
          <w:p>
            <w:pPr>
              <w:jc w:val="center"/>
              <w:ind w:left="210"/>
              <w:spacing w:after="0"/>
              <w:rPr>
                <w:sz w:val="20"/>
                <w:szCs w:val="20"/>
                <w:color w:val="auto"/>
              </w:rPr>
            </w:pPr>
            <w:r>
              <w:rPr>
                <w:rFonts w:ascii="Arial" w:cs="Arial" w:eastAsia="Arial" w:hAnsi="Arial"/>
                <w:sz w:val="18"/>
                <w:szCs w:val="18"/>
                <w:color w:val="auto"/>
                <w:w w:val="89"/>
              </w:rPr>
              <w:t>-11.59%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3.00%</w:t>
            </w:r>
          </w:p>
        </w:tc>
        <w:tc>
          <w:tcPr>
            <w:tcW w:w="2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-20.67%</w:t>
            </w:r>
          </w:p>
        </w:tc>
        <w:tc>
          <w:tcPr>
            <w:tcW w:w="17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4"/>
              </w:rPr>
              <w:t>Falling</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-3.00%</w:t>
            </w:r>
          </w:p>
        </w:tc>
        <w:tc>
          <w:tcPr>
            <w:tcW w:w="2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34,976</w:t>
            </w: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9"/>
              </w:rPr>
              <w:t>-17.25%</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five year period, the Bank has experienced a decrease in the time balances of our deposit portfolio, and therefore, a loss of term funding. Over the past two years, the Bank has also paid off term borrowings with the last $5 million maturing this year.</w:t>
      </w:r>
    </w:p>
    <w:p>
      <w:pPr>
        <w:spacing w:after="0" w:line="149"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The shock chart currently shows a widening net interest margin over the next twelve months in an increasing rate environment with a tightening in a falling rate environment. Cost of funds are below 0.80% so at even the lowest shock of 100 basis points, the Bank cannot take full advantage and reprice funds to match the level of shock. Since the average duration of the majority of the assets is outside the 12 month shock period, the rising rate environment only shows minor improvement.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As of June 30, 2018,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June 30, 2018 . There have been no changes in the Company's internal control over financial reporting that occurred during the quarter ended June 30, 2018 that have materially affected, or are reasonably likely to materially affect, the registrant's internal control over financial reporting.</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There have been no material changes in the risk factors disclosed by Registrant in its Report on Form 10-K for the fiscal year ended December 31, 2017.</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June 30, 2018.</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1"/>
              </w:rPr>
              <w:t>(c) Total Number</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8"/>
              </w:rPr>
              <w:t>of Shares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86"/>
              </w:rPr>
              <w:t>Purchased as Part</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that may yet be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7"/>
              </w:rPr>
              <w:t>of Publicly</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40" w:type="dxa"/>
            <w:vAlign w:val="bottom"/>
          </w:tcPr>
          <w:p>
            <w:pPr>
              <w:ind w:left="740"/>
              <w:spacing w:after="0"/>
              <w:rPr>
                <w:sz w:val="20"/>
                <w:szCs w:val="20"/>
                <w:color w:val="auto"/>
              </w:rPr>
            </w:pPr>
            <w:r>
              <w:rPr>
                <w:rFonts w:ascii="Arial" w:cs="Arial" w:eastAsia="Arial" w:hAnsi="Arial"/>
                <w:sz w:val="18"/>
                <w:szCs w:val="18"/>
                <w:color w:val="auto"/>
              </w:rPr>
              <w:t>(a) Total Number of</w:t>
            </w:r>
          </w:p>
        </w:tc>
        <w:tc>
          <w:tcPr>
            <w:tcW w:w="1840" w:type="dxa"/>
            <w:vAlign w:val="bottom"/>
          </w:tcPr>
          <w:p>
            <w:pPr>
              <w:ind w:left="220"/>
              <w:spacing w:after="0"/>
              <w:rPr>
                <w:sz w:val="20"/>
                <w:szCs w:val="20"/>
                <w:color w:val="auto"/>
              </w:rPr>
            </w:pPr>
            <w:r>
              <w:rPr>
                <w:rFonts w:ascii="Arial" w:cs="Arial" w:eastAsia="Arial" w:hAnsi="Arial"/>
                <w:sz w:val="18"/>
                <w:szCs w:val="18"/>
                <w:color w:val="auto"/>
              </w:rPr>
              <w:t>(b) Average Price</w:t>
            </w:r>
          </w:p>
        </w:tc>
        <w:tc>
          <w:tcPr>
            <w:tcW w:w="1820" w:type="dxa"/>
            <w:vAlign w:val="bottom"/>
          </w:tcPr>
          <w:p>
            <w:pPr>
              <w:jc w:val="center"/>
              <w:ind w:right="10"/>
              <w:spacing w:after="0"/>
              <w:rPr>
                <w:sz w:val="20"/>
                <w:szCs w:val="20"/>
                <w:color w:val="auto"/>
              </w:rPr>
            </w:pPr>
            <w:r>
              <w:rPr>
                <w:rFonts w:ascii="Arial" w:cs="Arial" w:eastAsia="Arial" w:hAnsi="Arial"/>
                <w:sz w:val="18"/>
                <w:szCs w:val="18"/>
                <w:color w:val="auto"/>
                <w:w w:val="90"/>
              </w:rPr>
              <w:t>Announced Plan</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the 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Period</w:t>
            </w:r>
          </w:p>
        </w:tc>
        <w:tc>
          <w:tcPr>
            <w:tcW w:w="24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Shares Purchased</w:t>
            </w:r>
          </w:p>
        </w:tc>
        <w:tc>
          <w:tcPr>
            <w:tcW w:w="18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Paid per Share</w:t>
            </w:r>
          </w:p>
        </w:tc>
        <w:tc>
          <w:tcPr>
            <w:tcW w:w="1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or Programs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Programs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4/1/2018 to 4/30/2018</w:t>
            </w:r>
          </w:p>
        </w:tc>
        <w:tc>
          <w:tcPr>
            <w:tcW w:w="2440" w:type="dxa"/>
            <w:vAlign w:val="bottom"/>
            <w:shd w:val="clear" w:color="auto" w:fill="CFF0FC"/>
          </w:tcPr>
          <w:p>
            <w:pPr>
              <w:ind w:left="20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5/1/2018 to 5/31/2018</w:t>
            </w:r>
          </w:p>
        </w:tc>
        <w:tc>
          <w:tcPr>
            <w:tcW w:w="2440" w:type="dxa"/>
            <w:vAlign w:val="bottom"/>
            <w:shd w:val="clear" w:color="auto" w:fill="CFF0FC"/>
          </w:tcPr>
          <w:p>
            <w:pPr>
              <w:ind w:left="20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6/1/2018 to 6/30/2018</w:t>
            </w:r>
          </w:p>
        </w:tc>
        <w:tc>
          <w:tcPr>
            <w:tcW w:w="2440" w:type="dxa"/>
            <w:vAlign w:val="bottom"/>
            <w:tcBorders>
              <w:bottom w:val="single" w:sz="8" w:color="auto"/>
            </w:tcBorders>
            <w:shd w:val="clear" w:color="auto" w:fill="CFF0FC"/>
          </w:tcPr>
          <w:p>
            <w:pPr>
              <w:ind w:left="20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140" w:hanging="376"/>
        <w:spacing w:after="0" w:line="264"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19, 2018. On that date, the Board of Directors authorized the repurchase of 400,000 common shares between January 19, 2018 and December 31, 2018.</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720" w:type="dxa"/>
            <w:vAlign w:val="bottom"/>
            <w:gridSpan w:val="9"/>
          </w:tcPr>
          <w:p>
            <w:pPr>
              <w:ind w:left="40"/>
              <w:spacing w:after="0"/>
              <w:rPr>
                <w:sz w:val="20"/>
                <w:szCs w:val="20"/>
                <w:color w:val="auto"/>
              </w:rPr>
            </w:pPr>
            <w:r>
              <w:rPr>
                <w:rFonts w:ascii="Arial" w:cs="Arial" w:eastAsia="Arial" w:hAnsi="Arial"/>
                <w:sz w:val="18"/>
                <w:szCs w:val="18"/>
                <w:color w:val="auto"/>
              </w:rPr>
              <w:t>ITEM 6 EXHIBITS</w:t>
            </w:r>
          </w:p>
        </w:tc>
      </w:tr>
      <w:tr>
        <w:trPr>
          <w:trHeight w:val="41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8"/>
                <w:szCs w:val="18"/>
                <w:color w:val="0000EE"/>
                <w:w w:val="93"/>
              </w:rPr>
            </w:pPr>
            <w:hyperlink r:id="rId87">
              <w:r>
                <w:rPr>
                  <w:rFonts w:ascii="Arial" w:cs="Arial" w:eastAsia="Arial" w:hAnsi="Arial"/>
                  <w:sz w:val="18"/>
                  <w:szCs w:val="18"/>
                  <w:color w:val="0000EE"/>
                  <w:w w:val="93"/>
                </w:rPr>
                <w:t>Amended Articles of Incorporation of the Registrant (incorporated by reference to Exhibit 3.1 to Registrant’s Report on Form 8-K filed with</w:t>
              </w:r>
            </w:hyperlink>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8"/>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the Commission on August 25, 2017).</w:t>
              </w:r>
            </w:hyperlink>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7"/>
                <w:szCs w:val="17"/>
                <w:color w:val="auto"/>
              </w:rPr>
            </w:pPr>
          </w:p>
        </w:tc>
        <w:tc>
          <w:tcPr>
            <w:tcW w:w="102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Amended and Restated Code of Regulations of the Registrant (incorporated by reference to Exhibit 3.2 to Registrant's Quarterly Report on</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Form 10-Q filed with the Commission on July 26, 2017).</w:t>
              </w:r>
            </w:hyperlink>
          </w:p>
        </w:tc>
        <w:tc>
          <w:tcPr>
            <w:tcW w:w="6160" w:type="dxa"/>
            <w:vAlign w:val="bottom"/>
            <w:gridSpan w:val="2"/>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Rule 13-a-14(a) Certification - CEO</w:t>
              </w:r>
            </w:hyperlink>
          </w:p>
        </w:tc>
        <w:tc>
          <w:tcPr>
            <w:tcW w:w="7660" w:type="dxa"/>
            <w:vAlign w:val="bottom"/>
            <w:gridSpan w:val="4"/>
          </w:tcPr>
          <w:p>
            <w:pPr>
              <w:spacing w:after="0"/>
              <w:rPr>
                <w:sz w:val="17"/>
                <w:szCs w:val="17"/>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Rule 13-a-14(a) Certification - CFO</w:t>
              </w:r>
            </w:hyperlink>
          </w:p>
        </w:tc>
        <w:tc>
          <w:tcPr>
            <w:tcW w:w="7680" w:type="dxa"/>
            <w:vAlign w:val="bottom"/>
            <w:gridSpan w:val="5"/>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9"/>
                <w:szCs w:val="19"/>
                <w:color w:val="auto"/>
              </w:rPr>
            </w:pPr>
          </w:p>
        </w:tc>
        <w:tc>
          <w:tcPr>
            <w:tcW w:w="24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Section 1350 Certification - CEO</w:t>
              </w:r>
            </w:hyperlink>
          </w:p>
        </w:tc>
        <w:tc>
          <w:tcPr>
            <w:tcW w:w="7860" w:type="dxa"/>
            <w:vAlign w:val="bottom"/>
            <w:gridSpan w:val="6"/>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2400" w:type="dxa"/>
            <w:vAlign w:val="bottom"/>
            <w:tcBorders>
              <w:bottom w:val="single" w:sz="8" w:color="0000EE"/>
            </w:tcBorders>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Section 1350 Certification - CFO</w:t>
              </w:r>
            </w:hyperlink>
          </w:p>
        </w:tc>
        <w:tc>
          <w:tcPr>
            <w:tcW w:w="7880" w:type="dxa"/>
            <w:vAlign w:val="bottom"/>
            <w:gridSpan w:val="7"/>
          </w:tcPr>
          <w:p>
            <w:pPr>
              <w:spacing w:after="0"/>
              <w:rPr>
                <w:sz w:val="19"/>
                <w:szCs w:val="19"/>
                <w:color w:val="auto"/>
              </w:rPr>
            </w:pPr>
          </w:p>
        </w:tc>
      </w:tr>
      <w:tr>
        <w:trPr>
          <w:trHeight w:val="507"/>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8"/>
                <w:szCs w:val="18"/>
                <w:color w:val="auto"/>
              </w:rPr>
              <w:t>XBRL Instance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440" w:type="dxa"/>
            <w:vAlign w:val="bottom"/>
          </w:tcPr>
          <w:p>
            <w:pPr>
              <w:spacing w:after="0"/>
              <w:rPr>
                <w:sz w:val="21"/>
                <w:szCs w:val="21"/>
                <w:color w:val="auto"/>
              </w:rPr>
            </w:pPr>
          </w:p>
        </w:tc>
        <w:tc>
          <w:tcPr>
            <w:tcW w:w="10280" w:type="dxa"/>
            <w:vAlign w:val="bottom"/>
            <w:gridSpan w:val="8"/>
          </w:tcPr>
          <w:p>
            <w:pPr>
              <w:spacing w:after="0"/>
              <w:rPr>
                <w:sz w:val="20"/>
                <w:szCs w:val="20"/>
                <w:color w:val="auto"/>
              </w:rPr>
            </w:pPr>
            <w:r>
              <w:rPr>
                <w:rFonts w:ascii="Arial" w:cs="Arial" w:eastAsia="Arial" w:hAnsi="Arial"/>
                <w:sz w:val="18"/>
                <w:szCs w:val="18"/>
                <w:color w:val="auto"/>
              </w:rPr>
              <w:t>XBRL Taxonomy Extension Schem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440" w:type="dxa"/>
            <w:vAlign w:val="bottom"/>
          </w:tcPr>
          <w:p>
            <w:pPr>
              <w:spacing w:after="0"/>
              <w:rPr>
                <w:sz w:val="21"/>
                <w:szCs w:val="21"/>
                <w:color w:val="auto"/>
              </w:rPr>
            </w:pPr>
          </w:p>
        </w:tc>
        <w:tc>
          <w:tcPr>
            <w:tcW w:w="102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440" w:type="dxa"/>
            <w:vAlign w:val="bottom"/>
          </w:tcPr>
          <w:p>
            <w:pPr>
              <w:spacing w:after="0"/>
              <w:rPr>
                <w:sz w:val="21"/>
                <w:szCs w:val="21"/>
                <w:color w:val="auto"/>
              </w:rPr>
            </w:pPr>
          </w:p>
        </w:tc>
        <w:tc>
          <w:tcPr>
            <w:tcW w:w="102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21"/>
                <w:szCs w:val="21"/>
                <w:color w:val="auto"/>
              </w:rPr>
            </w:pPr>
          </w:p>
        </w:tc>
        <w:tc>
          <w:tcPr>
            <w:tcW w:w="102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440" w:type="dxa"/>
            <w:vAlign w:val="bottom"/>
          </w:tcPr>
          <w:p>
            <w:pPr>
              <w:spacing w:after="0"/>
              <w:rPr>
                <w:sz w:val="21"/>
                <w:szCs w:val="21"/>
                <w:color w:val="auto"/>
              </w:rPr>
            </w:pPr>
          </w:p>
        </w:tc>
        <w:tc>
          <w:tcPr>
            <w:tcW w:w="102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945"/>
        </w:trPr>
        <w:tc>
          <w:tcPr>
            <w:tcW w:w="720" w:type="dxa"/>
            <w:vAlign w:val="bottom"/>
          </w:tcPr>
          <w:p>
            <w:pPr>
              <w:spacing w:after="0"/>
              <w:rPr>
                <w:sz w:val="24"/>
                <w:szCs w:val="24"/>
                <w:color w:val="auto"/>
              </w:rPr>
            </w:pPr>
          </w:p>
        </w:tc>
        <w:tc>
          <w:tcPr>
            <w:tcW w:w="10700" w:type="dxa"/>
            <w:vAlign w:val="bottom"/>
            <w:gridSpan w:val="8"/>
          </w:tcPr>
          <w:p>
            <w:pPr>
              <w:jc w:val="right"/>
              <w:ind w:right="56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4"/>
                <w:szCs w:val="24"/>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80" w:type="dxa"/>
            <w:vAlign w:val="bottom"/>
          </w:tcPr>
          <w:p>
            <w:pPr>
              <w:ind w:left="76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180"/>
              <w:spacing w:after="0"/>
              <w:rPr>
                <w:sz w:val="20"/>
                <w:szCs w:val="20"/>
                <w:color w:val="auto"/>
              </w:rPr>
            </w:pPr>
            <w:r>
              <w:rPr>
                <w:rFonts w:ascii="Arial" w:cs="Arial" w:eastAsia="Arial" w:hAnsi="Arial"/>
                <w:sz w:val="18"/>
                <w:szCs w:val="18"/>
                <w:color w:val="auto"/>
              </w:rPr>
              <w:t>July 25, 2018</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Paul S. Siebenmorgen</w:t>
            </w:r>
          </w:p>
        </w:tc>
      </w:tr>
      <w:tr>
        <w:trPr>
          <w:trHeight w:val="222"/>
        </w:trPr>
        <w:tc>
          <w:tcPr>
            <w:tcW w:w="5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080" w:type="dxa"/>
            <w:vAlign w:val="bottom"/>
          </w:tcPr>
          <w:p>
            <w:pPr>
              <w:ind w:left="760"/>
              <w:spacing w:after="0"/>
              <w:rPr>
                <w:sz w:val="20"/>
                <w:szCs w:val="20"/>
                <w:color w:val="auto"/>
              </w:rPr>
            </w:pPr>
            <w:r>
              <w:rPr>
                <w:rFonts w:ascii="Arial" w:cs="Arial" w:eastAsia="Arial" w:hAnsi="Arial"/>
                <w:sz w:val="18"/>
                <w:szCs w:val="18"/>
                <w:color w:val="auto"/>
              </w:rPr>
              <w:t>Paul S. Siebenmorgen</w:t>
            </w:r>
          </w:p>
        </w:tc>
      </w:tr>
      <w:tr>
        <w:trPr>
          <w:trHeight w:val="230"/>
        </w:trPr>
        <w:tc>
          <w:tcPr>
            <w:tcW w:w="5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80" w:type="dxa"/>
            <w:vAlign w:val="bottom"/>
          </w:tcPr>
          <w:p>
            <w:pPr>
              <w:ind w:left="760"/>
              <w:spacing w:after="0"/>
              <w:rPr>
                <w:sz w:val="20"/>
                <w:szCs w:val="20"/>
                <w:color w:val="auto"/>
              </w:rPr>
            </w:pPr>
            <w:r>
              <w:rPr>
                <w:rFonts w:ascii="Arial" w:cs="Arial" w:eastAsia="Arial" w:hAnsi="Arial"/>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180"/>
              <w:spacing w:after="0"/>
              <w:rPr>
                <w:sz w:val="20"/>
                <w:szCs w:val="20"/>
                <w:color w:val="auto"/>
              </w:rPr>
            </w:pPr>
            <w:r>
              <w:rPr>
                <w:rFonts w:ascii="Arial" w:cs="Arial" w:eastAsia="Arial" w:hAnsi="Arial"/>
                <w:sz w:val="18"/>
                <w:szCs w:val="18"/>
                <w:color w:val="auto"/>
              </w:rPr>
              <w:t>July 25, 2018</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Barbara J. Britenriker</w:t>
            </w:r>
          </w:p>
        </w:tc>
      </w:tr>
      <w:tr>
        <w:trPr>
          <w:trHeight w:val="222"/>
        </w:trPr>
        <w:tc>
          <w:tcPr>
            <w:tcW w:w="5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080" w:type="dxa"/>
            <w:vAlign w:val="bottom"/>
          </w:tcPr>
          <w:p>
            <w:pPr>
              <w:ind w:left="760"/>
              <w:spacing w:after="0"/>
              <w:rPr>
                <w:sz w:val="20"/>
                <w:szCs w:val="20"/>
                <w:color w:val="auto"/>
              </w:rPr>
            </w:pPr>
            <w:r>
              <w:rPr>
                <w:rFonts w:ascii="Arial" w:cs="Arial" w:eastAsia="Arial" w:hAnsi="Arial"/>
                <w:sz w:val="18"/>
                <w:szCs w:val="18"/>
                <w:color w:val="auto"/>
              </w:rPr>
              <w:t>Barbara J. Britenriker</w:t>
            </w:r>
          </w:p>
        </w:tc>
      </w:tr>
      <w:tr>
        <w:trPr>
          <w:trHeight w:val="230"/>
        </w:trPr>
        <w:tc>
          <w:tcPr>
            <w:tcW w:w="5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80" w:type="dxa"/>
            <w:vAlign w:val="bottom"/>
          </w:tcPr>
          <w:p>
            <w:pPr>
              <w:ind w:left="760"/>
              <w:spacing w:after="0"/>
              <w:rPr>
                <w:sz w:val="20"/>
                <w:szCs w:val="20"/>
                <w:color w:val="auto"/>
              </w:rPr>
            </w:pPr>
            <w:r>
              <w:rPr>
                <w:rFonts w:ascii="Arial" w:cs="Arial" w:eastAsia="Arial" w:hAnsi="Arial"/>
                <w:sz w:val="18"/>
                <w:szCs w:val="18"/>
                <w:color w:val="auto"/>
              </w:rPr>
              <w:t>Exec. Vice-President and 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tcPr>
          <w:p>
            <w:pPr>
              <w:ind w:left="660"/>
              <w:spacing w:after="0"/>
              <w:rPr>
                <w:sz w:val="20"/>
                <w:szCs w:val="20"/>
                <w:color w:val="auto"/>
              </w:rPr>
            </w:pPr>
            <w:r>
              <w:rPr>
                <w:rFonts w:ascii="Arial" w:cs="Arial" w:eastAsia="Arial" w:hAnsi="Arial"/>
                <w:sz w:val="18"/>
                <w:szCs w:val="18"/>
                <w:color w:val="auto"/>
              </w:rPr>
              <w:t>July 25, 2018</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 Siebenmorgen</w:t>
            </w:r>
          </w:p>
        </w:tc>
      </w:tr>
      <w:tr>
        <w:trPr>
          <w:trHeight w:val="195"/>
        </w:trPr>
        <w:tc>
          <w:tcPr>
            <w:tcW w:w="106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Paul S. Siebenmorgen</w:t>
            </w:r>
          </w:p>
        </w:tc>
      </w:tr>
      <w:tr>
        <w:trPr>
          <w:trHeight w:val="230"/>
        </w:trPr>
        <w:tc>
          <w:tcPr>
            <w:tcW w:w="10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40"/>
        <w:spacing w:after="0" w:line="342"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tcPr>
          <w:p>
            <w:pPr>
              <w:ind w:left="660"/>
              <w:spacing w:after="0"/>
              <w:rPr>
                <w:sz w:val="20"/>
                <w:szCs w:val="20"/>
                <w:color w:val="auto"/>
              </w:rPr>
            </w:pPr>
            <w:r>
              <w:rPr>
                <w:rFonts w:ascii="Arial" w:cs="Arial" w:eastAsia="Arial" w:hAnsi="Arial"/>
                <w:sz w:val="18"/>
                <w:szCs w:val="18"/>
                <w:color w:val="auto"/>
              </w:rPr>
              <w:t>July 25, 2018</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2018 as filed with the Securities and Exchange Commission ("the report"), I, Paul S. Siebenmorgen, President and Chief Executive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20"/>
                <w:szCs w:val="20"/>
                <w:color w:val="auto"/>
              </w:rPr>
            </w:pPr>
            <w:r>
              <w:rPr>
                <w:rFonts w:ascii="Arial" w:cs="Arial" w:eastAsia="Arial" w:hAnsi="Arial"/>
                <w:sz w:val="18"/>
                <w:szCs w:val="18"/>
                <w:color w:val="auto"/>
              </w:rPr>
              <w:t>Date:  July 25, 2018</w:t>
            </w:r>
          </w:p>
        </w:tc>
        <w:tc>
          <w:tcPr>
            <w:tcW w:w="2660" w:type="dxa"/>
            <w:vAlign w:val="bottom"/>
            <w:gridSpan w:val="2"/>
          </w:tcPr>
          <w:p>
            <w:pPr>
              <w:spacing w:after="0"/>
              <w:rPr>
                <w:sz w:val="20"/>
                <w:szCs w:val="20"/>
                <w:color w:val="auto"/>
              </w:rPr>
            </w:pPr>
            <w:r>
              <w:rPr>
                <w:rFonts w:ascii="Arial" w:cs="Arial" w:eastAsia="Arial" w:hAnsi="Arial"/>
                <w:sz w:val="18"/>
                <w:szCs w:val="18"/>
                <w:color w:val="auto"/>
              </w:rPr>
              <w:t>/s/ Paul S. Siebenmorgen</w:t>
            </w:r>
          </w:p>
        </w:tc>
      </w:tr>
      <w:tr>
        <w:trPr>
          <w:trHeight w:val="20"/>
        </w:trPr>
        <w:tc>
          <w:tcPr>
            <w:tcW w:w="74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2"/>
        </w:trPr>
        <w:tc>
          <w:tcPr>
            <w:tcW w:w="744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w w:val="87"/>
              </w:rPr>
              <w:t>Paul S. Siebenmorgen, President and</w:t>
            </w:r>
          </w:p>
        </w:tc>
      </w:tr>
      <w:tr>
        <w:trPr>
          <w:trHeight w:val="230"/>
        </w:trPr>
        <w:tc>
          <w:tcPr>
            <w:tcW w:w="744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June 30, 2018,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20"/>
                <w:szCs w:val="20"/>
                <w:color w:val="auto"/>
              </w:rPr>
            </w:pPr>
            <w:r>
              <w:rPr>
                <w:rFonts w:ascii="Arial" w:cs="Arial" w:eastAsia="Arial" w:hAnsi="Arial"/>
                <w:sz w:val="18"/>
                <w:szCs w:val="18"/>
                <w:color w:val="auto"/>
              </w:rPr>
              <w:t>Date:  July 25, 2018</w:t>
            </w:r>
          </w:p>
        </w:tc>
        <w:tc>
          <w:tcPr>
            <w:tcW w:w="3140" w:type="dxa"/>
            <w:vAlign w:val="bottom"/>
            <w:gridSpan w:val="2"/>
          </w:tcPr>
          <w:p>
            <w:pPr>
              <w:spacing w:after="0"/>
              <w:rPr>
                <w:sz w:val="20"/>
                <w:szCs w:val="20"/>
                <w:color w:val="auto"/>
              </w:rPr>
            </w:pPr>
            <w:r>
              <w:rPr>
                <w:rFonts w:ascii="Arial" w:cs="Arial" w:eastAsia="Arial" w:hAnsi="Arial"/>
                <w:sz w:val="18"/>
                <w:szCs w:val="18"/>
                <w:color w:val="auto"/>
              </w:rPr>
              <w:t>/s/ Barbara J. Britenriker</w:t>
            </w:r>
          </w:p>
        </w:tc>
      </w:tr>
      <w:tr>
        <w:trPr>
          <w:trHeight w:val="20"/>
        </w:trPr>
        <w:tc>
          <w:tcPr>
            <w:tcW w:w="75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2"/>
        </w:trPr>
        <w:tc>
          <w:tcPr>
            <w:tcW w:w="750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w w:val="90"/>
              </w:rPr>
              <w:t>Barbara J. Britenriker, Exec. Vice President</w:t>
            </w:r>
          </w:p>
        </w:tc>
      </w:tr>
      <w:tr>
        <w:trPr>
          <w:trHeight w:val="230"/>
        </w:trPr>
        <w:tc>
          <w:tcPr>
            <w:tcW w:w="750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and Chief Financial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3"/>
    </w:lvl>
    <w:lvl w:ilvl="1">
      <w:lvlJc w:val="left"/>
      <w:lvlText w:val="%2."/>
      <w:numFmt w:val="lowerLetter"/>
      <w:start w:val="1"/>
    </w:lvl>
  </w:abstractNum>
  <w:abstractNum w:abstractNumId="9">
    <w:nsid w:val="3F2DBA31"/>
    <w:multiLevelType w:val="hybridMultilevel"/>
    <w:lvl w:ilvl="0">
      <w:lvlJc w:val="left"/>
      <w:lvlText w:val="%1."/>
      <w:numFmt w:val="decimal"/>
      <w:start w:val="8"/>
    </w:lvl>
    <w:lvl w:ilvl="1">
      <w:lvlJc w:val="left"/>
      <w:lvlText w:val="%2."/>
      <w:numFmt w:val="lowerLetter"/>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endash "/>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o"/>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87" Type="http://schemas.openxmlformats.org/officeDocument/2006/relationships/hyperlink" Target="http://www.sec.gov/Archives/edgar/data/792966/000119312517267640/d427465dex31.htm" TargetMode="External"/><Relationship Id="rId88" Type="http://schemas.openxmlformats.org/officeDocument/2006/relationships/hyperlink" Target="http://www.sec.gov/Archives/edgar/data/792966/000119312517235925/d42299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2020-01-13T19:42:28Z</dcterms:created>
  <dcterms:modified xsi:type="dcterms:W3CDTF">2020-01-13T19:42:28Z</dcterms:modified>
</cp:coreProperties>
</file>