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81280</wp:posOffset>
            </wp:positionV>
            <wp:extent cx="1903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121285</wp:posOffset>
            </wp:positionV>
            <wp:extent cx="1903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4"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September 30, 2024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4160"/>
        <w:spacing w:after="0"/>
        <w:tabs>
          <w:tab w:leader="none" w:pos="69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4147820</wp:posOffset>
            </wp:positionH>
            <wp:positionV relativeFrom="paragraph">
              <wp:posOffset>-5080</wp:posOffset>
            </wp:positionV>
            <wp:extent cx="228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91440</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FARMERS &amp; MERCHANTS BANCORP, INC.</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90170</wp:posOffset>
            </wp:positionV>
            <wp:extent cx="1903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35" w:lineRule="exact"/>
        <w:rPr>
          <w:sz w:val="24"/>
          <w:szCs w:val="24"/>
          <w:color w:val="auto"/>
        </w:rPr>
      </w:pPr>
    </w:p>
    <w:tbl>
      <w:tblPr>
        <w:tblLayout w:type="fixed"/>
        <w:tblInd w:w="1180" w:type="dxa"/>
        <w:tblCellMar>
          <w:top w:w="0" w:type="dxa"/>
          <w:left w:w="0" w:type="dxa"/>
          <w:bottom w:w="0" w:type="dxa"/>
          <w:right w:w="0" w:type="dxa"/>
        </w:tblCellMar>
      </w:tblPr>
      <w:tr>
        <w:trPr>
          <w:trHeight w:val="227"/>
        </w:trPr>
        <w:tc>
          <w:tcPr>
            <w:tcW w:w="3580" w:type="dxa"/>
            <w:vAlign w:val="bottom"/>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OHIO</w:t>
            </w:r>
          </w:p>
        </w:tc>
        <w:tc>
          <w:tcPr>
            <w:tcW w:w="4240" w:type="dxa"/>
            <w:vAlign w:val="bottom"/>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34-1469491</w:t>
            </w:r>
          </w:p>
        </w:tc>
      </w:tr>
      <w:tr>
        <w:trPr>
          <w:trHeight w:val="148"/>
        </w:trPr>
        <w:tc>
          <w:tcPr>
            <w:tcW w:w="3580" w:type="dxa"/>
            <w:vAlign w:val="bottom"/>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240" w:type="dxa"/>
            <w:vAlign w:val="bottom"/>
          </w:tcPr>
          <w:p>
            <w:pPr>
              <w:jc w:val="center"/>
              <w:ind w:left="301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240" w:type="dxa"/>
            <w:vAlign w:val="bottom"/>
          </w:tcPr>
          <w:p>
            <w:pPr>
              <w:jc w:val="center"/>
              <w:ind w:left="301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3"/>
        </w:trPr>
        <w:tc>
          <w:tcPr>
            <w:tcW w:w="3580" w:type="dxa"/>
            <w:vAlign w:val="bottom"/>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307 North Defiance Street, Archbold, Ohio</w:t>
            </w:r>
          </w:p>
        </w:tc>
        <w:tc>
          <w:tcPr>
            <w:tcW w:w="424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43502</w:t>
            </w:r>
          </w:p>
        </w:tc>
      </w:tr>
      <w:tr>
        <w:trPr>
          <w:trHeight w:val="190"/>
        </w:trPr>
        <w:tc>
          <w:tcPr>
            <w:tcW w:w="358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240" w:type="dxa"/>
            <w:vAlign w:val="bottom"/>
          </w:tcPr>
          <w:p>
            <w:pPr>
              <w:jc w:val="center"/>
              <w:ind w:left="301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7"/>
        </w:trPr>
        <w:tc>
          <w:tcPr>
            <w:tcW w:w="3580" w:type="dxa"/>
            <w:vAlign w:val="bottom"/>
          </w:tcPr>
          <w:p>
            <w:pPr>
              <w:spacing w:after="0"/>
              <w:rPr>
                <w:sz w:val="24"/>
                <w:szCs w:val="24"/>
                <w:color w:val="auto"/>
              </w:rPr>
            </w:pPr>
          </w:p>
        </w:tc>
        <w:tc>
          <w:tcPr>
            <w:tcW w:w="4240" w:type="dxa"/>
            <w:vAlign w:val="bottom"/>
          </w:tcPr>
          <w:p>
            <w:pPr>
              <w:jc w:val="right"/>
              <w:ind w:right="2739"/>
              <w:spacing w:after="0"/>
              <w:rPr>
                <w:sz w:val="20"/>
                <w:szCs w:val="20"/>
                <w:color w:val="auto"/>
              </w:rPr>
            </w:pPr>
            <w:r>
              <w:rPr>
                <w:rFonts w:ascii="Times New Roman" w:cs="Times New Roman" w:eastAsia="Times New Roman" w:hAnsi="Times New Roman"/>
                <w:sz w:val="18"/>
                <w:szCs w:val="18"/>
                <w:b w:val="1"/>
                <w:bCs w:val="1"/>
                <w:color w:val="auto"/>
              </w:rPr>
              <w:t>(419) 446-2501</w:t>
            </w:r>
          </w:p>
        </w:tc>
      </w:tr>
    </w:tbl>
    <w:p>
      <w:pPr>
        <w:jc w:val="center"/>
        <w:ind w:right="-19"/>
        <w:spacing w:after="0" w:line="221" w:lineRule="auto"/>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107950</wp:posOffset>
            </wp:positionV>
            <wp:extent cx="1903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930" w:type="dxa"/>
        <w:tblCellMar>
          <w:top w:w="0" w:type="dxa"/>
          <w:left w:w="0" w:type="dxa"/>
          <w:bottom w:w="0" w:type="dxa"/>
          <w:right w:w="0" w:type="dxa"/>
        </w:tblCellMar>
      </w:tblPr>
      <w:tr>
        <w:trPr>
          <w:trHeight w:val="243"/>
        </w:trPr>
        <w:tc>
          <w:tcPr>
            <w:tcW w:w="2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246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Name of Each Exchange</w:t>
            </w:r>
          </w:p>
        </w:tc>
      </w:tr>
      <w:tr>
        <w:trPr>
          <w:trHeight w:val="203"/>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No Par Value</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FMAO</w:t>
            </w:r>
          </w:p>
        </w:tc>
        <w:tc>
          <w:tcPr>
            <w:tcW w:w="24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NASDAQ Capital Market</w:t>
            </w:r>
          </w:p>
        </w:tc>
      </w:tr>
    </w:tbl>
    <w:p>
      <w:pPr>
        <w:spacing w:after="0" w:line="189"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60" w:type="dxa"/>
            <w:vAlign w:val="bottom"/>
          </w:tcPr>
          <w:p>
            <w:pPr>
              <w:spacing w:after="0"/>
              <w:rPr>
                <w:sz w:val="18"/>
                <w:szCs w:val="18"/>
                <w:color w:val="auto"/>
              </w:rPr>
            </w:pPr>
          </w:p>
        </w:tc>
        <w:tc>
          <w:tcPr>
            <w:tcW w:w="5320" w:type="dxa"/>
            <w:vAlign w:val="bottom"/>
            <w:gridSpan w:val="2"/>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900" w:type="dxa"/>
            <w:vAlign w:val="bottom"/>
          </w:tcPr>
          <w:p>
            <w:pPr>
              <w:spacing w:after="0"/>
              <w:rPr>
                <w:sz w:val="18"/>
                <w:szCs w:val="18"/>
                <w:color w:val="auto"/>
              </w:rPr>
            </w:pPr>
          </w:p>
        </w:tc>
        <w:tc>
          <w:tcPr>
            <w:tcW w:w="270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60" w:type="dxa"/>
            <w:vAlign w:val="bottom"/>
          </w:tcPr>
          <w:p>
            <w:pPr>
              <w:spacing w:after="0"/>
              <w:rPr>
                <w:sz w:val="18"/>
                <w:szCs w:val="18"/>
                <w:color w:val="auto"/>
              </w:rPr>
            </w:pPr>
          </w:p>
        </w:tc>
        <w:tc>
          <w:tcPr>
            <w:tcW w:w="5320" w:type="dxa"/>
            <w:vAlign w:val="bottom"/>
            <w:gridSpan w:val="2"/>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900" w:type="dxa"/>
            <w:vAlign w:val="bottom"/>
          </w:tcPr>
          <w:p>
            <w:pPr>
              <w:spacing w:after="0"/>
              <w:rPr>
                <w:sz w:val="18"/>
                <w:szCs w:val="18"/>
                <w:color w:val="auto"/>
              </w:rPr>
            </w:pPr>
          </w:p>
        </w:tc>
        <w:tc>
          <w:tcPr>
            <w:tcW w:w="270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60" w:type="dxa"/>
            <w:vAlign w:val="bottom"/>
          </w:tcPr>
          <w:p>
            <w:pPr>
              <w:spacing w:after="0"/>
              <w:rPr>
                <w:sz w:val="23"/>
                <w:szCs w:val="23"/>
                <w:color w:val="auto"/>
              </w:rPr>
            </w:pPr>
          </w:p>
        </w:tc>
        <w:tc>
          <w:tcPr>
            <w:tcW w:w="5320" w:type="dxa"/>
            <w:vAlign w:val="bottom"/>
            <w:gridSpan w:val="2"/>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27"/>
        </w:trPr>
        <w:tc>
          <w:tcPr>
            <w:tcW w:w="108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340" w:type="dxa"/>
            <w:vAlign w:val="bottom"/>
          </w:tcPr>
          <w:p>
            <w:pPr>
              <w:spacing w:after="0"/>
              <w:rPr>
                <w:sz w:val="19"/>
                <w:szCs w:val="19"/>
                <w:color w:val="auto"/>
              </w:rPr>
            </w:pPr>
          </w:p>
        </w:tc>
      </w:tr>
      <w:tr>
        <w:trPr>
          <w:trHeight w:val="272"/>
        </w:trPr>
        <w:tc>
          <w:tcPr>
            <w:tcW w:w="7240" w:type="dxa"/>
            <w:vAlign w:val="bottom"/>
            <w:gridSpan w:val="4"/>
          </w:tcPr>
          <w:p>
            <w:pPr>
              <w:spacing w:after="0" w:line="184" w:lineRule="exact"/>
              <w:rPr>
                <w:sz w:val="20"/>
                <w:szCs w:val="20"/>
                <w:color w:val="auto"/>
              </w:rPr>
            </w:pPr>
            <w:r>
              <w:rPr>
                <w:rFonts w:ascii="Times New Roman" w:cs="Times New Roman" w:eastAsia="Times New Roman" w:hAnsi="Times New Roman"/>
                <w:sz w:val="16"/>
                <w:szCs w:val="16"/>
                <w:color w:val="auto"/>
              </w:rPr>
              <w:t xml:space="preserve">financial accounting standards provided pursuant to Section 13(a) of the Exchange Act. </w:t>
            </w:r>
            <w:r>
              <w:rPr>
                <w:rFonts w:ascii="MS PGothic" w:cs="MS PGothic" w:eastAsia="MS PGothic" w:hAnsi="MS PGothic"/>
                <w:sz w:val="16"/>
                <w:szCs w:val="16"/>
                <w:color w:val="auto"/>
              </w:rPr>
              <w:t>☐</w:t>
            </w:r>
          </w:p>
        </w:tc>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58"/>
        </w:trPr>
        <w:tc>
          <w:tcPr>
            <w:tcW w:w="108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340" w:type="dxa"/>
            <w:vAlign w:val="bottom"/>
          </w:tcPr>
          <w:p>
            <w:pPr>
              <w:spacing w:after="0"/>
              <w:rPr>
                <w:sz w:val="22"/>
                <w:szCs w:val="22"/>
                <w:color w:val="auto"/>
              </w:rPr>
            </w:pPr>
          </w:p>
        </w:tc>
      </w:tr>
      <w:tr>
        <w:trPr>
          <w:trHeight w:val="296"/>
        </w:trPr>
        <w:tc>
          <w:tcPr>
            <w:tcW w:w="186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4"/>
        </w:trPr>
        <w:tc>
          <w:tcPr>
            <w:tcW w:w="72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the number of shares of each of the issuers’ classes of common stock, as of the latest practicable date:</w:t>
            </w: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63"/>
        </w:trPr>
        <w:tc>
          <w:tcPr>
            <w:tcW w:w="1860" w:type="dxa"/>
            <w:vAlign w:val="bottom"/>
          </w:tcPr>
          <w:p>
            <w:pPr>
              <w:spacing w:after="0"/>
              <w:rPr>
                <w:sz w:val="22"/>
                <w:szCs w:val="22"/>
                <w:color w:val="auto"/>
              </w:rPr>
            </w:pPr>
          </w:p>
        </w:tc>
        <w:tc>
          <w:tcPr>
            <w:tcW w:w="5380" w:type="dxa"/>
            <w:vAlign w:val="bottom"/>
            <w:gridSpan w:val="3"/>
          </w:tcPr>
          <w:p>
            <w:pPr>
              <w:jc w:val="center"/>
              <w:ind w:right="3320"/>
              <w:spacing w:after="0"/>
              <w:rPr>
                <w:sz w:val="20"/>
                <w:szCs w:val="20"/>
                <w:color w:val="auto"/>
              </w:rPr>
            </w:pPr>
            <w:r>
              <w:rPr>
                <w:rFonts w:ascii="Times New Roman" w:cs="Times New Roman" w:eastAsia="Times New Roman" w:hAnsi="Times New Roman"/>
                <w:sz w:val="16"/>
                <w:szCs w:val="16"/>
                <w:color w:val="auto"/>
                <w:w w:val="99"/>
              </w:rPr>
              <w:t>Common Stock, No Par Value</w:t>
            </w:r>
          </w:p>
        </w:tc>
        <w:tc>
          <w:tcPr>
            <w:tcW w:w="3600" w:type="dxa"/>
            <w:vAlign w:val="bottom"/>
            <w:gridSpan w:val="3"/>
          </w:tcPr>
          <w:p>
            <w:pPr>
              <w:jc w:val="right"/>
              <w:ind w:right="1960"/>
              <w:spacing w:after="0"/>
              <w:rPr>
                <w:sz w:val="20"/>
                <w:szCs w:val="20"/>
                <w:color w:val="auto"/>
              </w:rPr>
            </w:pPr>
            <w:r>
              <w:rPr>
                <w:rFonts w:ascii="Times New Roman" w:cs="Times New Roman" w:eastAsia="Times New Roman" w:hAnsi="Times New Roman"/>
                <w:sz w:val="16"/>
                <w:szCs w:val="16"/>
                <w:color w:val="auto"/>
              </w:rPr>
              <w:t>13,699,482</w:t>
            </w:r>
          </w:p>
        </w:tc>
        <w:tc>
          <w:tcPr>
            <w:tcW w:w="340" w:type="dxa"/>
            <w:vAlign w:val="bottom"/>
          </w:tcPr>
          <w:p>
            <w:pPr>
              <w:spacing w:after="0"/>
              <w:rPr>
                <w:sz w:val="22"/>
                <w:szCs w:val="22"/>
                <w:color w:val="auto"/>
              </w:rPr>
            </w:pPr>
          </w:p>
        </w:tc>
      </w:tr>
      <w:tr>
        <w:trPr>
          <w:trHeight w:val="20"/>
        </w:trPr>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4"/>
        </w:trPr>
        <w:tc>
          <w:tcPr>
            <w:tcW w:w="1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Class</w:t>
            </w:r>
          </w:p>
        </w:tc>
        <w:tc>
          <w:tcPr>
            <w:tcW w:w="3380" w:type="dxa"/>
            <w:vAlign w:val="bottom"/>
          </w:tcPr>
          <w:p>
            <w:pPr>
              <w:spacing w:after="0"/>
              <w:rPr>
                <w:sz w:val="21"/>
                <w:szCs w:val="21"/>
                <w:color w:val="auto"/>
              </w:rPr>
            </w:pPr>
          </w:p>
        </w:tc>
        <w:tc>
          <w:tcPr>
            <w:tcW w:w="3600" w:type="dxa"/>
            <w:vAlign w:val="bottom"/>
            <w:gridSpan w:val="3"/>
          </w:tcPr>
          <w:p>
            <w:pPr>
              <w:jc w:val="center"/>
              <w:ind w:right="1080"/>
              <w:spacing w:after="0"/>
              <w:rPr>
                <w:sz w:val="20"/>
                <w:szCs w:val="20"/>
                <w:color w:val="auto"/>
              </w:rPr>
            </w:pPr>
            <w:r>
              <w:rPr>
                <w:rFonts w:ascii="Times New Roman" w:cs="Times New Roman" w:eastAsia="Times New Roman" w:hAnsi="Times New Roman"/>
                <w:sz w:val="16"/>
                <w:szCs w:val="16"/>
                <w:color w:val="auto"/>
              </w:rPr>
              <w:t>Outstanding as of November 1, 2024</w:t>
            </w:r>
          </w:p>
        </w:tc>
        <w:tc>
          <w:tcPr>
            <w:tcW w:w="34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10Q</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FARMERS &amp; MERCHANTS BANCORP, INC.</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INDEX</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94"/>
        </w:trPr>
        <w:tc>
          <w:tcPr>
            <w:tcW w:w="680" w:type="dxa"/>
            <w:vAlign w:val="bottom"/>
          </w:tcPr>
          <w:p>
            <w:pPr>
              <w:spacing w:after="0"/>
              <w:rPr>
                <w:sz w:val="16"/>
                <w:szCs w:val="16"/>
                <w:color w:val="auto"/>
              </w:rPr>
            </w:pPr>
          </w:p>
        </w:tc>
        <w:tc>
          <w:tcPr>
            <w:tcW w:w="124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w w:val="97"/>
              </w:rPr>
              <w:t>Form 10-Q Items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color w:val="auto"/>
                <w:w w:val="91"/>
              </w:rPr>
              <w:t>Page</w:t>
            </w:r>
          </w:p>
        </w:tc>
      </w:tr>
      <w:tr>
        <w:trPr>
          <w:trHeight w:val="209"/>
        </w:trPr>
        <w:tc>
          <w:tcPr>
            <w:tcW w:w="6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w:t>
            </w:r>
          </w:p>
        </w:tc>
        <w:tc>
          <w:tcPr>
            <w:tcW w:w="340" w:type="dxa"/>
            <w:vAlign w:val="bottom"/>
          </w:tcPr>
          <w:p>
            <w:pPr>
              <w:spacing w:after="0"/>
              <w:rPr>
                <w:sz w:val="18"/>
                <w:szCs w:val="18"/>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820" w:type="dxa"/>
            <w:vAlign w:val="bottom"/>
            <w:gridSpan w:val="4"/>
          </w:tcPr>
          <w:p>
            <w:pPr>
              <w:jc w:val="center"/>
              <w:ind w:left="139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820" w:type="dxa"/>
            <w:vAlign w:val="bottom"/>
            <w:gridSpan w:val="4"/>
          </w:tcPr>
          <w:p>
            <w:pPr>
              <w:jc w:val="center"/>
              <w:ind w:left="139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 - September 30, 2024 and December 31, 2023</w:t>
            </w:r>
          </w:p>
        </w:tc>
        <w:tc>
          <w:tcPr>
            <w:tcW w:w="1820" w:type="dxa"/>
            <w:vAlign w:val="bottom"/>
            <w:gridSpan w:val="4"/>
          </w:tcPr>
          <w:p>
            <w:pPr>
              <w:jc w:val="center"/>
              <w:ind w:left="139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 Three and Nine Months Ended September 30, 2024 and</w:t>
            </w:r>
          </w:p>
        </w:tc>
      </w:tr>
      <w:tr>
        <w:trPr>
          <w:trHeight w:val="196"/>
        </w:trPr>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62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September 30, 2023</w:t>
            </w:r>
          </w:p>
        </w:tc>
        <w:tc>
          <w:tcPr>
            <w:tcW w:w="1200" w:type="dxa"/>
            <w:vAlign w:val="bottom"/>
            <w:tcBorders>
              <w:top w:val="single" w:sz="8" w:color="0000FF"/>
            </w:tcBorders>
            <w:gridSpan w:val="3"/>
          </w:tcPr>
          <w:p>
            <w:pPr>
              <w:spacing w:after="0"/>
              <w:rPr>
                <w:sz w:val="17"/>
                <w:szCs w:val="17"/>
                <w:color w:val="auto"/>
              </w:rPr>
            </w:pPr>
          </w:p>
        </w:tc>
        <w:tc>
          <w:tcPr>
            <w:tcW w:w="620" w:type="dxa"/>
            <w:vAlign w:val="bottom"/>
          </w:tcPr>
          <w:p>
            <w:pPr>
              <w:jc w:val="center"/>
              <w:ind w:left="19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 Three and Nine Months Ended</w:t>
            </w:r>
          </w:p>
        </w:tc>
      </w:tr>
      <w:tr>
        <w:trPr>
          <w:trHeight w:val="196"/>
        </w:trPr>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62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September 30, 2024 and September 30, 2023</w:t>
            </w:r>
          </w:p>
        </w:tc>
        <w:tc>
          <w:tcPr>
            <w:tcW w:w="1180" w:type="dxa"/>
            <w:vAlign w:val="bottom"/>
            <w:tcBorders>
              <w:top w:val="single" w:sz="8" w:color="0000FF"/>
            </w:tcBorders>
            <w:gridSpan w:val="2"/>
          </w:tcPr>
          <w:p>
            <w:pPr>
              <w:spacing w:after="0"/>
              <w:rPr>
                <w:sz w:val="17"/>
                <w:szCs w:val="17"/>
                <w:color w:val="auto"/>
              </w:rPr>
            </w:pPr>
          </w:p>
        </w:tc>
        <w:tc>
          <w:tcPr>
            <w:tcW w:w="640" w:type="dxa"/>
            <w:vAlign w:val="bottom"/>
            <w:gridSpan w:val="2"/>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to Stockholders’ Equity - Three and Nine</w:t>
            </w:r>
          </w:p>
        </w:tc>
        <w:tc>
          <w:tcPr>
            <w:tcW w:w="18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0000FF"/>
              </w:rPr>
              <w:t>Months Ended</w:t>
            </w:r>
          </w:p>
        </w:tc>
      </w:tr>
      <w:tr>
        <w:trPr>
          <w:trHeight w:val="196"/>
        </w:trPr>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62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September 30, 2024 and September 30, 2023</w:t>
            </w:r>
          </w:p>
        </w:tc>
        <w:tc>
          <w:tcPr>
            <w:tcW w:w="1160" w:type="dxa"/>
            <w:vAlign w:val="bottom"/>
            <w:tcBorders>
              <w:top w:val="single" w:sz="8" w:color="0000FF"/>
            </w:tcBorders>
          </w:tcPr>
          <w:p>
            <w:pPr>
              <w:spacing w:after="0"/>
              <w:rPr>
                <w:sz w:val="17"/>
                <w:szCs w:val="17"/>
                <w:color w:val="auto"/>
              </w:rPr>
            </w:pPr>
          </w:p>
        </w:tc>
        <w:tc>
          <w:tcPr>
            <w:tcW w:w="660" w:type="dxa"/>
            <w:vAlign w:val="bottom"/>
            <w:gridSpan w:val="3"/>
          </w:tcPr>
          <w:p>
            <w:pPr>
              <w:jc w:val="center"/>
              <w:ind w:left="230"/>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8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439"/>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Nine Months Ended September 30, 2024 and September</w:t>
            </w:r>
          </w:p>
        </w:tc>
      </w:tr>
      <w:tr>
        <w:trPr>
          <w:trHeight w:val="196"/>
        </w:trPr>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5"/>
              </w:rPr>
              <w:t>30, 2023</w:t>
            </w:r>
          </w:p>
        </w:tc>
        <w:tc>
          <w:tcPr>
            <w:tcW w:w="4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9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gridSpan w:val="2"/>
          </w:tcPr>
          <w:p>
            <w:pPr>
              <w:spacing w:after="0"/>
              <w:rPr>
                <w:sz w:val="17"/>
                <w:szCs w:val="17"/>
                <w:color w:val="auto"/>
              </w:rPr>
            </w:pPr>
          </w:p>
        </w:tc>
        <w:tc>
          <w:tcPr>
            <w:tcW w:w="640" w:type="dxa"/>
            <w:vAlign w:val="bottom"/>
            <w:gridSpan w:val="2"/>
          </w:tcPr>
          <w:p>
            <w:pPr>
              <w:jc w:val="center"/>
              <w:ind w:left="21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820" w:type="dxa"/>
            <w:vAlign w:val="bottom"/>
            <w:gridSpan w:val="4"/>
          </w:tcPr>
          <w:p>
            <w:pPr>
              <w:jc w:val="center"/>
              <w:ind w:left="1390"/>
              <w:spacing w:after="0"/>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EE"/>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20" w:type="dxa"/>
            <w:vAlign w:val="bottom"/>
            <w:gridSpan w:val="4"/>
          </w:tcPr>
          <w:p>
            <w:pPr>
              <w:jc w:val="center"/>
              <w:ind w:left="1390"/>
              <w:spacing w:after="0"/>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Qualitative and Quantitative Disclosures About Market Risk</w:t>
            </w:r>
          </w:p>
        </w:tc>
        <w:tc>
          <w:tcPr>
            <w:tcW w:w="1820" w:type="dxa"/>
            <w:vAlign w:val="bottom"/>
            <w:gridSpan w:val="4"/>
          </w:tcPr>
          <w:p>
            <w:pPr>
              <w:jc w:val="center"/>
              <w:ind w:left="1390"/>
              <w:spacing w:after="0"/>
              <w:rPr>
                <w:sz w:val="20"/>
                <w:szCs w:val="20"/>
                <w:color w:val="auto"/>
              </w:rPr>
            </w:pPr>
            <w:r>
              <w:rPr>
                <w:rFonts w:ascii="Times New Roman" w:cs="Times New Roman" w:eastAsia="Times New Roman" w:hAnsi="Times New Roman"/>
                <w:sz w:val="18"/>
                <w:szCs w:val="18"/>
                <w:color w:val="auto"/>
                <w:w w:val="99"/>
              </w:rPr>
              <w:t>76</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540" w:type="dxa"/>
            <w:vAlign w:val="bottom"/>
            <w:tcBorders>
              <w:left w:val="single" w:sz="8" w:color="0000FF"/>
            </w:tcBorders>
            <w:gridSpan w:val="3"/>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20" w:type="dxa"/>
            <w:vAlign w:val="bottom"/>
            <w:gridSpan w:val="4"/>
          </w:tcPr>
          <w:p>
            <w:pPr>
              <w:jc w:val="center"/>
              <w:ind w:left="1390"/>
              <w:spacing w:after="0"/>
              <w:rPr>
                <w:sz w:val="20"/>
                <w:szCs w:val="20"/>
                <w:color w:val="auto"/>
              </w:rPr>
            </w:pPr>
            <w:r>
              <w:rPr>
                <w:rFonts w:ascii="Times New Roman" w:cs="Times New Roman" w:eastAsia="Times New Roman" w:hAnsi="Times New Roman"/>
                <w:sz w:val="18"/>
                <w:szCs w:val="18"/>
                <w:color w:val="auto"/>
                <w:w w:val="99"/>
              </w:rPr>
              <w:t>77</w:t>
            </w:r>
          </w:p>
        </w:tc>
      </w:tr>
      <w:tr>
        <w:trPr>
          <w:trHeight w:val="20"/>
        </w:trPr>
        <w:tc>
          <w:tcPr>
            <w:tcW w:w="6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II.</w:t>
            </w:r>
          </w:p>
        </w:tc>
        <w:tc>
          <w:tcPr>
            <w:tcW w:w="34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20" w:type="dxa"/>
            <w:vAlign w:val="bottom"/>
            <w:gridSpan w:val="4"/>
          </w:tcPr>
          <w:p>
            <w:pPr>
              <w:jc w:val="center"/>
              <w:ind w:left="1390"/>
              <w:spacing w:after="0"/>
              <w:rPr>
                <w:sz w:val="20"/>
                <w:szCs w:val="20"/>
                <w:color w:val="auto"/>
              </w:rPr>
            </w:pPr>
            <w:r>
              <w:rPr>
                <w:rFonts w:ascii="Times New Roman" w:cs="Times New Roman" w:eastAsia="Times New Roman" w:hAnsi="Times New Roman"/>
                <w:sz w:val="18"/>
                <w:szCs w:val="18"/>
                <w:color w:val="auto"/>
                <w:w w:val="99"/>
              </w:rPr>
              <w:t>77</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820" w:type="dxa"/>
            <w:vAlign w:val="bottom"/>
            <w:gridSpan w:val="4"/>
          </w:tcPr>
          <w:p>
            <w:pPr>
              <w:jc w:val="center"/>
              <w:ind w:left="1390"/>
              <w:spacing w:after="0"/>
              <w:rPr>
                <w:sz w:val="20"/>
                <w:szCs w:val="20"/>
                <w:color w:val="auto"/>
              </w:rPr>
            </w:pPr>
            <w:r>
              <w:rPr>
                <w:rFonts w:ascii="Times New Roman" w:cs="Times New Roman" w:eastAsia="Times New Roman" w:hAnsi="Times New Roman"/>
                <w:sz w:val="18"/>
                <w:szCs w:val="18"/>
                <w:color w:val="auto"/>
                <w:w w:val="99"/>
              </w:rPr>
              <w:t>77</w:t>
            </w:r>
          </w:p>
        </w:tc>
      </w:tr>
      <w:tr>
        <w:trPr>
          <w:trHeight w:val="20"/>
        </w:trPr>
        <w:tc>
          <w:tcPr>
            <w:tcW w:w="6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34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20" w:type="dxa"/>
            <w:vAlign w:val="bottom"/>
            <w:gridSpan w:val="4"/>
          </w:tcPr>
          <w:p>
            <w:pPr>
              <w:jc w:val="center"/>
              <w:ind w:left="1390"/>
              <w:spacing w:after="0"/>
              <w:rPr>
                <w:sz w:val="20"/>
                <w:szCs w:val="20"/>
                <w:color w:val="auto"/>
              </w:rPr>
            </w:pPr>
            <w:r>
              <w:rPr>
                <w:rFonts w:ascii="Times New Roman" w:cs="Times New Roman" w:eastAsia="Times New Roman" w:hAnsi="Times New Roman"/>
                <w:sz w:val="18"/>
                <w:szCs w:val="18"/>
                <w:color w:val="auto"/>
                <w:w w:val="99"/>
              </w:rPr>
              <w:t>77</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20" w:type="dxa"/>
            <w:vAlign w:val="bottom"/>
            <w:gridSpan w:val="4"/>
          </w:tcPr>
          <w:p>
            <w:pPr>
              <w:jc w:val="center"/>
              <w:ind w:left="1390"/>
              <w:spacing w:after="0"/>
              <w:rPr>
                <w:sz w:val="20"/>
                <w:szCs w:val="20"/>
                <w:color w:val="auto"/>
              </w:rPr>
            </w:pPr>
            <w:r>
              <w:rPr>
                <w:rFonts w:ascii="Times New Roman" w:cs="Times New Roman" w:eastAsia="Times New Roman" w:hAnsi="Times New Roman"/>
                <w:sz w:val="18"/>
                <w:szCs w:val="18"/>
                <w:color w:val="auto"/>
                <w:w w:val="99"/>
              </w:rPr>
              <w:t>80</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20" w:type="dxa"/>
            <w:vAlign w:val="bottom"/>
            <w:gridSpan w:val="4"/>
          </w:tcPr>
          <w:p>
            <w:pPr>
              <w:jc w:val="center"/>
              <w:ind w:left="1390"/>
              <w:spacing w:after="0"/>
              <w:rPr>
                <w:sz w:val="20"/>
                <w:szCs w:val="20"/>
                <w:color w:val="auto"/>
              </w:rPr>
            </w:pPr>
            <w:r>
              <w:rPr>
                <w:rFonts w:ascii="Times New Roman" w:cs="Times New Roman" w:eastAsia="Times New Roman" w:hAnsi="Times New Roman"/>
                <w:sz w:val="18"/>
                <w:szCs w:val="18"/>
                <w:color w:val="auto"/>
                <w:w w:val="99"/>
              </w:rPr>
              <w:t>80</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20" w:type="dxa"/>
            <w:vAlign w:val="bottom"/>
            <w:gridSpan w:val="4"/>
          </w:tcPr>
          <w:p>
            <w:pPr>
              <w:jc w:val="center"/>
              <w:ind w:left="1390"/>
              <w:spacing w:after="0"/>
              <w:rPr>
                <w:sz w:val="20"/>
                <w:szCs w:val="20"/>
                <w:color w:val="auto"/>
              </w:rPr>
            </w:pPr>
            <w:r>
              <w:rPr>
                <w:rFonts w:ascii="Times New Roman" w:cs="Times New Roman" w:eastAsia="Times New Roman" w:hAnsi="Times New Roman"/>
                <w:sz w:val="18"/>
                <w:szCs w:val="18"/>
                <w:color w:val="auto"/>
                <w:w w:val="99"/>
              </w:rPr>
              <w:t>80</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120" w:type="dxa"/>
            <w:vAlign w:val="bottom"/>
            <w:gridSpan w:val="10"/>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r>
      <w:tr>
        <w:trPr>
          <w:trHeight w:val="344"/>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20" w:type="dxa"/>
            <w:vAlign w:val="bottom"/>
            <w:gridSpan w:val="4"/>
          </w:tcPr>
          <w:p>
            <w:pPr>
              <w:jc w:val="center"/>
              <w:ind w:left="1390"/>
              <w:spacing w:after="0"/>
              <w:rPr>
                <w:sz w:val="20"/>
                <w:szCs w:val="20"/>
                <w:color w:val="auto"/>
              </w:rPr>
            </w:pPr>
            <w:r>
              <w:rPr>
                <w:rFonts w:ascii="Times New Roman" w:cs="Times New Roman" w:eastAsia="Times New Roman" w:hAnsi="Times New Roman"/>
                <w:sz w:val="18"/>
                <w:szCs w:val="18"/>
                <w:color w:val="auto"/>
                <w:w w:val="99"/>
              </w:rPr>
              <w:t>80</w:t>
            </w:r>
          </w:p>
        </w:tc>
      </w:tr>
      <w:tr>
        <w:trPr>
          <w:trHeight w:val="20"/>
        </w:trPr>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580" w:type="dxa"/>
            <w:vAlign w:val="bottom"/>
            <w:gridSpan w:val="12"/>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r>
      <w:tr>
        <w:trPr>
          <w:trHeight w:val="345"/>
        </w:trPr>
        <w:tc>
          <w:tcPr>
            <w:tcW w:w="6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1820" w:type="dxa"/>
            <w:vAlign w:val="bottom"/>
            <w:gridSpan w:val="4"/>
          </w:tcPr>
          <w:p>
            <w:pPr>
              <w:jc w:val="center"/>
              <w:ind w:left="1390"/>
              <w:spacing w:after="0"/>
              <w:rPr>
                <w:sz w:val="20"/>
                <w:szCs w:val="20"/>
                <w:color w:val="auto"/>
              </w:rPr>
            </w:pPr>
            <w:r>
              <w:rPr>
                <w:rFonts w:ascii="Times New Roman" w:cs="Times New Roman" w:eastAsia="Times New Roman" w:hAnsi="Times New Roman"/>
                <w:sz w:val="18"/>
                <w:szCs w:val="18"/>
                <w:color w:val="auto"/>
                <w:w w:val="99"/>
              </w:rPr>
              <w:t>81</w:t>
            </w:r>
          </w:p>
        </w:tc>
      </w:tr>
      <w:tr>
        <w:trPr>
          <w:trHeight w:val="345"/>
        </w:trPr>
        <w:tc>
          <w:tcPr>
            <w:tcW w:w="6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4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gridSpan w:val="4"/>
          </w:tcPr>
          <w:p>
            <w:pPr>
              <w:jc w:val="center"/>
              <w:ind w:left="1390"/>
              <w:spacing w:after="0"/>
              <w:rPr>
                <w:sz w:val="20"/>
                <w:szCs w:val="20"/>
                <w:color w:val="auto"/>
              </w:rPr>
            </w:pPr>
            <w:r>
              <w:rPr>
                <w:rFonts w:ascii="Times New Roman" w:cs="Times New Roman" w:eastAsia="Times New Roman" w:hAnsi="Times New Roman"/>
                <w:sz w:val="18"/>
                <w:szCs w:val="18"/>
                <w:color w:val="auto"/>
                <w:w w:val="99"/>
              </w:rPr>
              <w:t>82</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80" w:type="dxa"/>
            <w:vAlign w:val="bottom"/>
            <w:gridSpan w:val="20"/>
          </w:tcPr>
          <w:p>
            <w:pPr>
              <w:spacing w:after="0" w:line="20" w:lineRule="exact"/>
              <w:rPr>
                <w:sz w:val="1"/>
                <w:szCs w:val="1"/>
                <w:color w:val="auto"/>
              </w:rPr>
            </w:pPr>
          </w:p>
        </w:tc>
      </w:tr>
      <w:tr>
        <w:trPr>
          <w:trHeight w:val="347"/>
        </w:trPr>
        <w:tc>
          <w:tcPr>
            <w:tcW w:w="6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340" w:type="dxa"/>
            <w:vAlign w:val="bottom"/>
          </w:tcPr>
          <w:p>
            <w:pPr>
              <w:spacing w:after="0"/>
              <w:rPr>
                <w:sz w:val="24"/>
                <w:szCs w:val="24"/>
                <w:color w:val="auto"/>
              </w:rPr>
            </w:pPr>
          </w:p>
        </w:tc>
        <w:tc>
          <w:tcPr>
            <w:tcW w:w="86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w:t>
            </w:r>
          </w:p>
        </w:tc>
      </w:tr>
      <w:tr>
        <w:trPr>
          <w:trHeight w:val="230"/>
        </w:trPr>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60" w:type="dxa"/>
            <w:vAlign w:val="bottom"/>
            <w:gridSpan w:val="16"/>
          </w:tcPr>
          <w:p>
            <w:pPr>
              <w:spacing w:after="0" w:line="229" w:lineRule="exact"/>
              <w:rPr>
                <w:sz w:val="20"/>
                <w:szCs w:val="20"/>
                <w:color w:val="auto"/>
              </w:rPr>
            </w:pPr>
            <w:r>
              <w:rPr>
                <w:rFonts w:ascii="Times New Roman" w:cs="Times New Roman" w:eastAsia="Times New Roman" w:hAnsi="Times New Roman"/>
                <w:sz w:val="18"/>
                <w:szCs w:val="18"/>
                <w:color w:val="auto"/>
              </w:rPr>
              <w:t xml:space="preserve">its XBRL tags are embedded within the Inline XBRL document. </w:t>
            </w:r>
            <w:r>
              <w:rPr>
                <w:rFonts w:ascii="Times New Roman" w:cs="Times New Roman" w:eastAsia="Times New Roman" w:hAnsi="Times New Roman"/>
                <w:sz w:val="24"/>
                <w:szCs w:val="24"/>
                <w:color w:val="auto"/>
                <w:vertAlign w:val="superscript"/>
              </w:rPr>
              <w:t>(1)</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17"/>
        </w:trPr>
        <w:tc>
          <w:tcPr>
            <w:tcW w:w="6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340" w:type="dxa"/>
            <w:vAlign w:val="bottom"/>
          </w:tcPr>
          <w:p>
            <w:pPr>
              <w:spacing w:after="0"/>
              <w:rPr>
                <w:sz w:val="24"/>
                <w:szCs w:val="24"/>
                <w:color w:val="auto"/>
              </w:rPr>
            </w:pPr>
          </w:p>
        </w:tc>
        <w:tc>
          <w:tcPr>
            <w:tcW w:w="6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Schema with Embedded Linkbase Documents. </w:t>
            </w:r>
            <w:r>
              <w:rPr>
                <w:rFonts w:ascii="Times New Roman" w:cs="Times New Roman" w:eastAsia="Times New Roman" w:hAnsi="Times New Roman"/>
                <w:sz w:val="24"/>
                <w:szCs w:val="24"/>
                <w:color w:val="auto"/>
                <w:vertAlign w:val="superscript"/>
              </w:rPr>
              <w:t>(1)</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49" w:lineRule="exact"/>
        <w:rPr>
          <w:sz w:val="20"/>
          <w:szCs w:val="20"/>
          <w:color w:val="auto"/>
        </w:rPr>
      </w:pPr>
    </w:p>
    <w:p>
      <w:pPr>
        <w:jc w:val="both"/>
        <w:ind w:left="380" w:hanging="372"/>
        <w:spacing w:after="0" w:line="231" w:lineRule="auto"/>
        <w:tabs>
          <w:tab w:leader="none" w:pos="38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PART 1 - FINANCIAL INFORMATION</w:t>
            </w: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60" w:type="dxa"/>
            <w:vAlign w:val="bottom"/>
          </w:tcPr>
          <w:p>
            <w:pPr>
              <w:spacing w:after="0"/>
              <w:rPr>
                <w:sz w:val="20"/>
                <w:szCs w:val="20"/>
                <w:color w:val="auto"/>
              </w:rPr>
            </w:pPr>
          </w:p>
        </w:tc>
        <w:tc>
          <w:tcPr>
            <w:tcW w:w="4020" w:type="dxa"/>
            <w:vAlign w:val="bottom"/>
            <w:gridSpan w:val="4"/>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37"/>
        </w:trPr>
        <w:tc>
          <w:tcPr>
            <w:tcW w:w="7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September 30, 2024</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36"/>
        </w:trPr>
        <w:tc>
          <w:tcPr>
            <w:tcW w:w="7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244,572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140,917</w:t>
            </w:r>
          </w:p>
        </w:tc>
        <w:tc>
          <w:tcPr>
            <w:tcW w:w="0" w:type="dxa"/>
            <w:vAlign w:val="bottom"/>
          </w:tcPr>
          <w:p>
            <w:pPr>
              <w:spacing w:after="0"/>
              <w:rPr>
                <w:sz w:val="1"/>
                <w:szCs w:val="1"/>
                <w:color w:val="auto"/>
              </w:rPr>
            </w:pPr>
          </w:p>
        </w:tc>
      </w:tr>
      <w:tr>
        <w:trPr>
          <w:trHeight w:val="243"/>
        </w:trPr>
        <w:tc>
          <w:tcPr>
            <w:tcW w:w="70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Federal funds sold</w:t>
            </w:r>
          </w:p>
        </w:tc>
        <w:tc>
          <w:tcPr>
            <w:tcW w:w="16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932</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37"/>
        </w:trPr>
        <w:tc>
          <w:tcPr>
            <w:tcW w:w="70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245,504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142,201</w:t>
            </w: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2,727</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2,740</w:t>
            </w:r>
          </w:p>
        </w:tc>
        <w:tc>
          <w:tcPr>
            <w:tcW w:w="0" w:type="dxa"/>
            <w:vAlign w:val="bottom"/>
          </w:tcPr>
          <w:p>
            <w:pPr>
              <w:spacing w:after="0"/>
              <w:rPr>
                <w:sz w:val="1"/>
                <w:szCs w:val="1"/>
                <w:color w:val="auto"/>
              </w:rPr>
            </w:pP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16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404,881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358,478</w:t>
            </w: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securities, at cost</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15,028</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17,138</w:t>
            </w:r>
          </w:p>
        </w:tc>
        <w:tc>
          <w:tcPr>
            <w:tcW w:w="0" w:type="dxa"/>
            <w:vAlign w:val="bottom"/>
          </w:tcPr>
          <w:p>
            <w:pPr>
              <w:spacing w:after="0"/>
              <w:rPr>
                <w:sz w:val="1"/>
                <w:szCs w:val="1"/>
                <w:color w:val="auto"/>
              </w:rPr>
            </w:pP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Loans held for sale</w:t>
            </w:r>
          </w:p>
        </w:tc>
        <w:tc>
          <w:tcPr>
            <w:tcW w:w="16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Loans, net of allowance for credit losses of $25,484 and $25,024</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2,512,852</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2,556,167</w:t>
            </w:r>
          </w:p>
        </w:tc>
        <w:tc>
          <w:tcPr>
            <w:tcW w:w="0" w:type="dxa"/>
            <w:vAlign w:val="bottom"/>
          </w:tcPr>
          <w:p>
            <w:pPr>
              <w:spacing w:after="0"/>
              <w:rPr>
                <w:sz w:val="1"/>
                <w:szCs w:val="1"/>
                <w:color w:val="auto"/>
              </w:rPr>
            </w:pP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Premises and equipment</w:t>
            </w:r>
          </w:p>
        </w:tc>
        <w:tc>
          <w:tcPr>
            <w:tcW w:w="16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33,779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35,790</w:t>
            </w: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86,358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86,358</w:t>
            </w: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Loan servicing rights</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5,644</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5,648</w:t>
            </w:r>
          </w:p>
        </w:tc>
        <w:tc>
          <w:tcPr>
            <w:tcW w:w="0" w:type="dxa"/>
            <w:vAlign w:val="bottom"/>
          </w:tcPr>
          <w:p>
            <w:pPr>
              <w:spacing w:after="0"/>
              <w:rPr>
                <w:sz w:val="1"/>
                <w:szCs w:val="1"/>
                <w:color w:val="auto"/>
              </w:rPr>
            </w:pP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16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34,624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33,907</w:t>
            </w:r>
          </w:p>
        </w:tc>
        <w:tc>
          <w:tcPr>
            <w:tcW w:w="0" w:type="dxa"/>
            <w:vAlign w:val="bottom"/>
          </w:tcPr>
          <w:p>
            <w:pPr>
              <w:spacing w:after="0"/>
              <w:rPr>
                <w:sz w:val="1"/>
                <w:szCs w:val="1"/>
                <w:color w:val="auto"/>
              </w:rPr>
            </w:pPr>
          </w:p>
        </w:tc>
      </w:tr>
      <w:tr>
        <w:trPr>
          <w:trHeight w:val="243"/>
        </w:trPr>
        <w:tc>
          <w:tcPr>
            <w:tcW w:w="70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46,047</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43,218</w:t>
            </w:r>
          </w:p>
        </w:tc>
        <w:tc>
          <w:tcPr>
            <w:tcW w:w="0" w:type="dxa"/>
            <w:vAlign w:val="bottom"/>
          </w:tcPr>
          <w:p>
            <w:pPr>
              <w:spacing w:after="0"/>
              <w:rPr>
                <w:sz w:val="1"/>
                <w:szCs w:val="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3,389,185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3,283,229</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7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Noninterest-bearing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481,444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528,465</w:t>
            </w: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Interest-bearing</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NOW accounts</w:t>
            </w:r>
          </w:p>
        </w:tc>
        <w:tc>
          <w:tcPr>
            <w:tcW w:w="16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865,617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816,790</w:t>
            </w: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Savings</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661,565</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599,191</w:t>
            </w:r>
          </w:p>
        </w:tc>
        <w:tc>
          <w:tcPr>
            <w:tcW w:w="0" w:type="dxa"/>
            <w:vAlign w:val="bottom"/>
          </w:tcPr>
          <w:p>
            <w:pPr>
              <w:spacing w:after="0"/>
              <w:rPr>
                <w:sz w:val="1"/>
                <w:szCs w:val="1"/>
                <w:color w:val="auto"/>
              </w:rPr>
            </w:pPr>
          </w:p>
        </w:tc>
      </w:tr>
      <w:tr>
        <w:trPr>
          <w:trHeight w:val="239"/>
        </w:trPr>
        <w:tc>
          <w:tcPr>
            <w:tcW w:w="7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Time</w:t>
            </w: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676,187</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663,017</w:t>
            </w:r>
          </w:p>
        </w:tc>
        <w:tc>
          <w:tcPr>
            <w:tcW w:w="0" w:type="dxa"/>
            <w:vAlign w:val="bottom"/>
          </w:tcPr>
          <w:p>
            <w:pPr>
              <w:spacing w:after="0"/>
              <w:rPr>
                <w:sz w:val="1"/>
                <w:szCs w:val="1"/>
                <w:color w:val="auto"/>
              </w:rPr>
            </w:pPr>
          </w:p>
        </w:tc>
      </w:tr>
      <w:tr>
        <w:trPr>
          <w:trHeight w:val="241"/>
        </w:trPr>
        <w:tc>
          <w:tcPr>
            <w:tcW w:w="706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Total deposits</w:t>
            </w:r>
          </w:p>
        </w:tc>
        <w:tc>
          <w:tcPr>
            <w:tcW w:w="160" w:type="dxa"/>
            <w:vAlign w:val="bottom"/>
            <w:shd w:val="clear" w:color="auto" w:fill="CFF0FC"/>
          </w:tcPr>
          <w:p>
            <w:pPr>
              <w:spacing w:after="0"/>
              <w:rPr>
                <w:sz w:val="20"/>
                <w:szCs w:val="20"/>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2,684,813</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2,607,463</w:t>
            </w:r>
          </w:p>
        </w:tc>
        <w:tc>
          <w:tcPr>
            <w:tcW w:w="0" w:type="dxa"/>
            <w:vAlign w:val="bottom"/>
          </w:tcPr>
          <w:p>
            <w:pPr>
              <w:spacing w:after="0"/>
              <w:rPr>
                <w:sz w:val="1"/>
                <w:szCs w:val="1"/>
                <w:color w:val="auto"/>
              </w:rPr>
            </w:pP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16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27,292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28,218</w:t>
            </w: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Federal Home Loan Bank (FHLB) advances</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263,081</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265,750</w:t>
            </w:r>
          </w:p>
        </w:tc>
        <w:tc>
          <w:tcPr>
            <w:tcW w:w="0" w:type="dxa"/>
            <w:vAlign w:val="bottom"/>
          </w:tcPr>
          <w:p>
            <w:pPr>
              <w:spacing w:after="0"/>
              <w:rPr>
                <w:sz w:val="1"/>
                <w:szCs w:val="1"/>
                <w:color w:val="auto"/>
              </w:rPr>
            </w:pP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16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34,789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34,702</w:t>
            </w:r>
          </w:p>
        </w:tc>
        <w:tc>
          <w:tcPr>
            <w:tcW w:w="0" w:type="dxa"/>
            <w:vAlign w:val="bottom"/>
          </w:tcPr>
          <w:p>
            <w:pPr>
              <w:spacing w:after="0"/>
              <w:rPr>
                <w:sz w:val="1"/>
                <w:szCs w:val="1"/>
                <w:color w:val="auto"/>
              </w:rPr>
            </w:pPr>
          </w:p>
        </w:tc>
      </w:tr>
      <w:tr>
        <w:trPr>
          <w:trHeight w:val="247"/>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Dividend payable</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2,998</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2,974</w:t>
            </w:r>
          </w:p>
        </w:tc>
        <w:tc>
          <w:tcPr>
            <w:tcW w:w="0" w:type="dxa"/>
            <w:vAlign w:val="bottom"/>
          </w:tcPr>
          <w:p>
            <w:pPr>
              <w:spacing w:after="0"/>
              <w:rPr>
                <w:sz w:val="1"/>
                <w:szCs w:val="1"/>
                <w:color w:val="auto"/>
              </w:rPr>
            </w:pP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40,832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27,579</w:t>
            </w:r>
          </w:p>
        </w:tc>
        <w:tc>
          <w:tcPr>
            <w:tcW w:w="0" w:type="dxa"/>
            <w:vAlign w:val="bottom"/>
          </w:tcPr>
          <w:p>
            <w:pPr>
              <w:spacing w:after="0"/>
              <w:rPr>
                <w:sz w:val="1"/>
                <w:szCs w:val="1"/>
                <w:color w:val="auto"/>
              </w:rPr>
            </w:pPr>
          </w:p>
        </w:tc>
      </w:tr>
      <w:tr>
        <w:trPr>
          <w:trHeight w:val="237"/>
        </w:trPr>
        <w:tc>
          <w:tcPr>
            <w:tcW w:w="7060" w:type="dxa"/>
            <w:vAlign w:val="bottom"/>
            <w:tcBorders>
              <w:bottom w:val="single" w:sz="8" w:color="CFF0FC"/>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FF0FC"/>
          </w:tcPr>
          <w:p>
            <w:pPr>
              <w:spacing w:after="0"/>
              <w:rPr>
                <w:sz w:val="20"/>
                <w:szCs w:val="20"/>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3,053,805</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2,966,686</w:t>
            </w:r>
          </w:p>
        </w:tc>
        <w:tc>
          <w:tcPr>
            <w:tcW w:w="0" w:type="dxa"/>
            <w:vAlign w:val="bottom"/>
          </w:tcPr>
          <w:p>
            <w:pPr>
              <w:spacing w:after="0"/>
              <w:rPr>
                <w:sz w:val="1"/>
                <w:szCs w:val="1"/>
                <w:color w:val="auto"/>
              </w:rPr>
            </w:pPr>
          </w:p>
        </w:tc>
      </w:tr>
      <w:tr>
        <w:trPr>
          <w:trHeight w:val="4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 No par value 20,000,000 shares authorized; issued</w:t>
            </w: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14,564,425 shares 9/30/24 and 12/31/23; outstanding 13,702,593</w:t>
            </w: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shares 9/30/24 and 13,664,641 shares 12/31/23</w:t>
            </w:r>
          </w:p>
        </w:tc>
        <w:tc>
          <w:tcPr>
            <w:tcW w:w="16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135,193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135,515</w:t>
            </w:r>
          </w:p>
        </w:tc>
        <w:tc>
          <w:tcPr>
            <w:tcW w:w="0" w:type="dxa"/>
            <w:vAlign w:val="bottom"/>
          </w:tcPr>
          <w:p>
            <w:pPr>
              <w:spacing w:after="0"/>
              <w:rPr>
                <w:sz w:val="1"/>
                <w:szCs w:val="1"/>
                <w:color w:val="auto"/>
              </w:rPr>
            </w:pPr>
          </w:p>
        </w:tc>
      </w:tr>
      <w:tr>
        <w:trPr>
          <w:trHeight w:val="250"/>
        </w:trPr>
        <w:tc>
          <w:tcPr>
            <w:tcW w:w="7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Treasury stock - 861,832 shares 9/30/24 and 899,784 shares 12/31/23</w:t>
            </w: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(10,904 )</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(11,040 )</w:t>
            </w:r>
          </w:p>
        </w:tc>
        <w:tc>
          <w:tcPr>
            <w:tcW w:w="0" w:type="dxa"/>
            <w:vAlign w:val="bottom"/>
          </w:tcPr>
          <w:p>
            <w:pPr>
              <w:spacing w:after="0"/>
              <w:rPr>
                <w:sz w:val="1"/>
                <w:szCs w:val="1"/>
                <w:color w:val="auto"/>
              </w:rPr>
            </w:pPr>
          </w:p>
        </w:tc>
      </w:tr>
      <w:tr>
        <w:trPr>
          <w:trHeight w:val="239"/>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20"/>
                <w:szCs w:val="20"/>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230,465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221,080</w:t>
            </w:r>
          </w:p>
        </w:tc>
        <w:tc>
          <w:tcPr>
            <w:tcW w:w="0" w:type="dxa"/>
            <w:vAlign w:val="bottom"/>
          </w:tcPr>
          <w:p>
            <w:pPr>
              <w:spacing w:after="0"/>
              <w:rPr>
                <w:sz w:val="1"/>
                <w:szCs w:val="1"/>
                <w:color w:val="auto"/>
              </w:rPr>
            </w:pPr>
          </w:p>
        </w:tc>
      </w:tr>
      <w:tr>
        <w:trPr>
          <w:trHeight w:val="243"/>
        </w:trPr>
        <w:tc>
          <w:tcPr>
            <w:tcW w:w="70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(19,374 )</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(29,012 )</w:t>
            </w:r>
          </w:p>
        </w:tc>
        <w:tc>
          <w:tcPr>
            <w:tcW w:w="0" w:type="dxa"/>
            <w:vAlign w:val="bottom"/>
          </w:tcPr>
          <w:p>
            <w:pPr>
              <w:spacing w:after="0"/>
              <w:rPr>
                <w:sz w:val="1"/>
                <w:szCs w:val="1"/>
                <w:color w:val="auto"/>
              </w:rPr>
            </w:pPr>
          </w:p>
        </w:tc>
      </w:tr>
      <w:tr>
        <w:trPr>
          <w:trHeight w:val="236"/>
        </w:trPr>
        <w:tc>
          <w:tcPr>
            <w:tcW w:w="70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335,380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316,543</w:t>
            </w:r>
          </w:p>
        </w:tc>
        <w:tc>
          <w:tcPr>
            <w:tcW w:w="0" w:type="dxa"/>
            <w:vAlign w:val="bottom"/>
          </w:tcPr>
          <w:p>
            <w:pPr>
              <w:spacing w:after="0"/>
              <w:rPr>
                <w:sz w:val="1"/>
                <w:szCs w:val="1"/>
                <w:color w:val="auto"/>
              </w:rPr>
            </w:pPr>
          </w:p>
        </w:tc>
      </w:tr>
      <w:tr>
        <w:trPr>
          <w:trHeight w:val="279"/>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3,389,185</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3,283,229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-6557010</wp:posOffset>
            </wp:positionV>
            <wp:extent cx="111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-4697095</wp:posOffset>
            </wp:positionV>
            <wp:extent cx="111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-1868170</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-351155</wp:posOffset>
            </wp:positionV>
            <wp:extent cx="111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-25400</wp:posOffset>
            </wp:positionV>
            <wp:extent cx="111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Note: The December 31, 2023, Condensed Consolidated Balance Sheet has been derived from the audited Condensed Consolidated Balance Sheet as of that date.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785"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color w:val="auto"/>
        </w:rPr>
        <w:t>FARMERS &amp; MERCHANTS BANCORP, INC. AND SUBSIDIARIES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40"/>
          </w:cols>
          <w:pgMar w:left="320" w:top="985" w:right="339" w:bottom="676" w:gutter="0" w:footer="0" w:header="0"/>
        </w:sectPr>
      </w:pPr>
    </w:p>
    <w:p>
      <w:pPr>
        <w:spacing w:after="0" w:line="220"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7"/>
          <w:szCs w:val="17"/>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33020</wp:posOffset>
            </wp:positionV>
            <wp:extent cx="18256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4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26035</wp:posOffset>
            </wp:positionV>
            <wp:extent cx="18256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0" w:lineRule="exact"/>
        <w:rPr>
          <w:sz w:val="20"/>
          <w:szCs w:val="20"/>
          <w:color w:val="auto"/>
        </w:rPr>
      </w:pPr>
    </w:p>
    <w:p>
      <w:pPr>
        <w:ind w:left="5260"/>
        <w:spacing w:after="0"/>
        <w:tabs>
          <w:tab w:leader="none" w:pos="6800" w:val="left"/>
        </w:tabs>
        <w:rPr>
          <w:sz w:val="20"/>
          <w:szCs w:val="20"/>
          <w:color w:val="auto"/>
        </w:rPr>
      </w:pPr>
      <w:r>
        <w:rPr>
          <w:rFonts w:ascii="Times New Roman" w:cs="Times New Roman" w:eastAsia="Times New Roman" w:hAnsi="Times New Roman"/>
          <w:sz w:val="18"/>
          <w:szCs w:val="18"/>
          <w:color w:val="auto"/>
        </w:rPr>
        <w:t>September 30,</w:t>
      </w:r>
      <w:r>
        <w:rPr>
          <w:sz w:val="20"/>
          <w:szCs w:val="20"/>
          <w:color w:val="auto"/>
        </w:rPr>
        <w:tab/>
      </w:r>
      <w:r>
        <w:rPr>
          <w:rFonts w:ascii="Times New Roman" w:cs="Times New Roman" w:eastAsia="Times New Roman" w:hAnsi="Times New Roman"/>
          <w:sz w:val="17"/>
          <w:szCs w:val="17"/>
          <w:color w:val="auto"/>
        </w:rPr>
        <w:t>September 30,</w:t>
      </w:r>
    </w:p>
    <w:p>
      <w:pPr>
        <w:spacing w:after="0" w:line="27" w:lineRule="exact"/>
        <w:rPr>
          <w:sz w:val="20"/>
          <w:szCs w:val="20"/>
          <w:color w:val="auto"/>
        </w:rPr>
      </w:pPr>
    </w:p>
    <w:p>
      <w:pPr>
        <w:ind w:left="5620"/>
        <w:spacing w:after="0"/>
        <w:tabs>
          <w:tab w:leader="none" w:pos="7160" w:val="left"/>
        </w:tabs>
        <w:rPr>
          <w:sz w:val="20"/>
          <w:szCs w:val="20"/>
          <w:color w:val="auto"/>
        </w:rPr>
      </w:pP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Times New Roman" w:cs="Times New Roman" w:eastAsia="Times New Roman" w:hAnsi="Times New Roman"/>
          <w:sz w:val="18"/>
          <w:szCs w:val="18"/>
          <w:color w:val="auto"/>
        </w:rPr>
        <w:t>(In Thousands, Except Per Share</w:t>
      </w:r>
    </w:p>
    <w:p>
      <w:pPr>
        <w:spacing w:after="0" w:line="2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17741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1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26035</wp:posOffset>
            </wp:positionV>
            <wp:extent cx="17741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0"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September 30,</w:t>
      </w:r>
      <w:r>
        <w:rPr>
          <w:sz w:val="20"/>
          <w:szCs w:val="20"/>
          <w:color w:val="auto"/>
        </w:rPr>
        <w:tab/>
      </w:r>
      <w:r>
        <w:rPr>
          <w:rFonts w:ascii="Times New Roman" w:cs="Times New Roman" w:eastAsia="Times New Roman" w:hAnsi="Times New Roman"/>
          <w:sz w:val="17"/>
          <w:szCs w:val="17"/>
          <w:color w:val="auto"/>
        </w:rPr>
        <w:t>September 30,</w:t>
      </w:r>
    </w:p>
    <w:p>
      <w:pPr>
        <w:spacing w:after="0" w:line="27" w:lineRule="exact"/>
        <w:rPr>
          <w:sz w:val="20"/>
          <w:szCs w:val="20"/>
          <w:color w:val="auto"/>
        </w:rPr>
      </w:pPr>
    </w:p>
    <w:p>
      <w:pPr>
        <w:ind w:left="360"/>
        <w:spacing w:after="0"/>
        <w:tabs>
          <w:tab w:leader="none" w:pos="1860" w:val="left"/>
        </w:tabs>
        <w:rPr>
          <w:sz w:val="20"/>
          <w:szCs w:val="20"/>
          <w:color w:val="auto"/>
        </w:rPr>
      </w:pP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color w:val="auto"/>
        </w:rPr>
        <w:t>2023</w:t>
      </w:r>
    </w:p>
    <w:p>
      <w:pPr>
        <w:spacing w:after="0" w:line="9" w:lineRule="exact"/>
        <w:rPr>
          <w:sz w:val="20"/>
          <w:szCs w:val="20"/>
          <w:color w:val="auto"/>
        </w:rPr>
      </w:pPr>
    </w:p>
    <w:p>
      <w:pPr>
        <w:sectPr>
          <w:pgSz w:w="11900" w:h="16838" w:orient="portrait"/>
          <w:cols w:equalWidth="0" w:num="2">
            <w:col w:w="7980" w:space="460"/>
            <w:col w:w="2800"/>
          </w:cols>
          <w:pgMar w:left="320" w:top="985" w:right="339" w:bottom="676"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51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8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60" w:type="dxa"/>
            <w:vAlign w:val="bottom"/>
            <w:tcBorders>
              <w:top w:val="single" w:sz="8" w:color="CFF0FC"/>
            </w:tcBorders>
            <w:shd w:val="clear" w:color="auto" w:fill="CFF0FC"/>
          </w:tcPr>
          <w:p>
            <w:pPr>
              <w:spacing w:after="0"/>
              <w:rPr>
                <w:sz w:val="21"/>
                <w:szCs w:val="21"/>
                <w:color w:val="auto"/>
              </w:rPr>
            </w:pPr>
          </w:p>
        </w:tc>
        <w:tc>
          <w:tcPr>
            <w:tcW w:w="46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320" w:type="dxa"/>
            <w:vAlign w:val="bottom"/>
            <w:tcBorders>
              <w:top w:val="single" w:sz="8" w:color="CFF0FC"/>
            </w:tcBorders>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220" w:type="dxa"/>
            <w:vAlign w:val="bottom"/>
            <w:tcBorders>
              <w:top w:val="single" w:sz="8" w:color="CFF0FC"/>
            </w:tcBorders>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including fees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36,873</w:t>
            </w:r>
          </w:p>
        </w:tc>
        <w:tc>
          <w:tcPr>
            <w:tcW w:w="26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33,783</w:t>
            </w:r>
          </w:p>
        </w:tc>
        <w:tc>
          <w:tcPr>
            <w:tcW w:w="3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108,666</w:t>
            </w:r>
          </w:p>
        </w:tc>
        <w:tc>
          <w:tcPr>
            <w:tcW w:w="2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securities: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Municipalities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funds sold</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interest income</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41,901</w:t>
            </w: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36,359</w:t>
            </w: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121,721</w:t>
            </w: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13,323</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48,714</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agreements to repurchase</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Borrowed funds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Subordinated notes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interest expense</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20,312</w:t>
            </w:r>
          </w:p>
        </w:tc>
        <w:tc>
          <w:tcPr>
            <w:tcW w:w="2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16,697</w:t>
            </w:r>
          </w:p>
        </w:tc>
        <w:tc>
          <w:tcPr>
            <w:tcW w:w="3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58,639</w:t>
            </w:r>
          </w:p>
        </w:tc>
        <w:tc>
          <w:tcPr>
            <w:tcW w:w="2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40,076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1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Net Interest Income - Before Provision for Credit</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21,589</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19,662</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63,082</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Credit Losses - Loans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Credit Losses - Off Balance Sheet Credit</w:t>
            </w:r>
          </w:p>
        </w:tc>
        <w:tc>
          <w:tcPr>
            <w:tcW w:w="280" w:type="dxa"/>
            <w:vAlign w:val="bottom"/>
          </w:tcPr>
          <w:p>
            <w:pPr>
              <w:spacing w:after="0"/>
              <w:rPr>
                <w:sz w:val="18"/>
                <w:szCs w:val="18"/>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(267 )</w:t>
            </w:r>
          </w:p>
        </w:tc>
        <w:tc>
          <w:tcPr>
            <w:tcW w:w="460" w:type="dxa"/>
            <w:vAlign w:val="bottom"/>
          </w:tcPr>
          <w:p>
            <w:pPr>
              <w:spacing w:after="0"/>
              <w:rPr>
                <w:sz w:val="18"/>
                <w:szCs w:val="18"/>
                <w:color w:val="auto"/>
              </w:rPr>
            </w:pPr>
          </w:p>
        </w:tc>
        <w:tc>
          <w:tcPr>
            <w:tcW w:w="11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(76 )</w:t>
            </w:r>
          </w:p>
        </w:tc>
        <w:tc>
          <w:tcPr>
            <w:tcW w:w="400" w:type="dxa"/>
            <w:vAlign w:val="bottom"/>
          </w:tcPr>
          <w:p>
            <w:pPr>
              <w:spacing w:after="0"/>
              <w:rPr>
                <w:sz w:val="18"/>
                <w:szCs w:val="18"/>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(551 )</w:t>
            </w:r>
          </w:p>
        </w:tc>
        <w:tc>
          <w:tcPr>
            <w:tcW w:w="400" w:type="dxa"/>
            <w:vAlign w:val="bottom"/>
          </w:tcPr>
          <w:p>
            <w:pPr>
              <w:spacing w:after="0"/>
              <w:rPr>
                <w:sz w:val="18"/>
                <w:szCs w:val="18"/>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117"/>
        </w:trPr>
        <w:tc>
          <w:tcPr>
            <w:tcW w:w="51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Exposures</w:t>
            </w:r>
          </w:p>
        </w:tc>
        <w:tc>
          <w:tcPr>
            <w:tcW w:w="28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140" w:type="dxa"/>
            <w:vAlign w:val="bottom"/>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 - After Provision for Credit Losses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21,574</w:t>
            </w: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19,278</w:t>
            </w: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63,035</w:t>
            </w: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Customer service fees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Interchange income</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 servicing income</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gain on sale of loans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in cash surrender value of bank owned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life insurance</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on sale of available-for-sale securities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(891 )</w:t>
            </w:r>
          </w:p>
        </w:tc>
        <w:tc>
          <w:tcPr>
            <w:tcW w:w="0" w:type="dxa"/>
            <w:vAlign w:val="bottom"/>
          </w:tcPr>
          <w:p>
            <w:pPr>
              <w:spacing w:after="0"/>
              <w:rPr>
                <w:sz w:val="1"/>
                <w:szCs w:val="1"/>
                <w:color w:val="auto"/>
              </w:rPr>
            </w:pPr>
          </w:p>
        </w:tc>
      </w:tr>
      <w:tr>
        <w:trPr>
          <w:trHeight w:val="237"/>
        </w:trPr>
        <w:tc>
          <w:tcPr>
            <w:tcW w:w="51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26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320" w:type="dxa"/>
            <w:vAlign w:val="bottom"/>
            <w:tcBorders>
              <w:top w:val="single" w:sz="8" w:color="CFF0FC"/>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11,573</w:t>
            </w:r>
          </w:p>
        </w:tc>
        <w:tc>
          <w:tcPr>
            <w:tcW w:w="220" w:type="dxa"/>
            <w:vAlign w:val="bottom"/>
            <w:tcBorders>
              <w:top w:val="single" w:sz="8" w:color="CFF0FC"/>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Salaries and wages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23,148</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 benefits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occupancy expense</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Furniture and equipment</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processing</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Franchise taxes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ATM expense</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Advertising</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 loss on sale of other assets owned</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(49 )</w:t>
            </w: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FDIC assessment</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Servicing rights amortization - net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Loan expense</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Consulting fees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3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17,425</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17,044</w:t>
            </w: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52,562</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5140" w:type="dxa"/>
            <w:vAlign w:val="bottom"/>
          </w:tcPr>
          <w:p>
            <w:pPr>
              <w:spacing w:after="0"/>
              <w:rPr>
                <w:sz w:val="24"/>
                <w:szCs w:val="24"/>
                <w:color w:val="auto"/>
              </w:rPr>
            </w:pPr>
          </w:p>
        </w:tc>
        <w:tc>
          <w:tcPr>
            <w:tcW w:w="15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(continued)</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-5622925</wp:posOffset>
            </wp:positionV>
            <wp:extent cx="768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-5622925</wp:posOffset>
            </wp:positionV>
            <wp:extent cx="768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-5622925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-5622925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-3350895</wp:posOffset>
            </wp:positionV>
            <wp:extent cx="768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-3350895</wp:posOffset>
            </wp:positionV>
            <wp:extent cx="768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-3350895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-565150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-565150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-565150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676"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FARMERS &amp; MERCHANTS BANCORP, INC. AND SUBSIDIARIES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(Continued)</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26035</wp:posOffset>
            </wp:positionV>
            <wp:extent cx="18256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0"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tbl>
      <w:tblPr>
        <w:tblLayout w:type="fixed"/>
        <w:tblInd w:w="5140" w:type="dxa"/>
        <w:tblCellMar>
          <w:top w:w="0" w:type="dxa"/>
          <w:left w:w="0" w:type="dxa"/>
          <w:bottom w:w="0" w:type="dxa"/>
          <w:right w:w="0" w:type="dxa"/>
        </w:tblCellMar>
      </w:tblPr>
      <w:tr>
        <w:trPr>
          <w:trHeight w:val="218"/>
        </w:trPr>
        <w:tc>
          <w:tcPr>
            <w:tcW w:w="142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September 30,</w:t>
            </w:r>
          </w:p>
        </w:tc>
        <w:tc>
          <w:tcPr>
            <w:tcW w:w="146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34"/>
        </w:trPr>
        <w:tc>
          <w:tcPr>
            <w:tcW w:w="14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4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(In Thousands, Except Per Share</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7741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Nine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September 30,</w:t>
            </w: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34"/>
        </w:trPr>
        <w:tc>
          <w:tcPr>
            <w:tcW w:w="13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r>
    </w:tbl>
    <w:p>
      <w:pPr>
        <w:spacing w:after="0" w:line="1" w:lineRule="exact"/>
        <w:rPr>
          <w:sz w:val="20"/>
          <w:szCs w:val="20"/>
          <w:color w:val="auto"/>
        </w:rPr>
      </w:pPr>
    </w:p>
    <w:p>
      <w:pPr>
        <w:sectPr>
          <w:pgSz w:w="11900" w:h="16838" w:orient="portrait"/>
          <w:cols w:equalWidth="0" w:num="2">
            <w:col w:w="8020" w:space="320"/>
            <w:col w:w="2900"/>
          </w:cols>
          <w:pgMar w:left="320" w:top="985"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40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260" w:type="dxa"/>
            <w:vAlign w:val="bottom"/>
            <w:shd w:val="clear" w:color="auto" w:fill="CFF0FC"/>
          </w:tcPr>
          <w:p>
            <w:pPr>
              <w:spacing w:after="0"/>
              <w:rPr>
                <w:sz w:val="21"/>
                <w:szCs w:val="21"/>
                <w:color w:val="auto"/>
              </w:rPr>
            </w:pPr>
          </w:p>
        </w:tc>
        <w:tc>
          <w:tcPr>
            <w:tcW w:w="50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320" w:type="dxa"/>
            <w:vAlign w:val="bottom"/>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22,046</w:t>
            </w:r>
          </w:p>
        </w:tc>
        <w:tc>
          <w:tcPr>
            <w:tcW w:w="220" w:type="dxa"/>
            <w:vAlign w:val="bottom"/>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21,479</w:t>
            </w:r>
          </w:p>
        </w:tc>
        <w:tc>
          <w:tcPr>
            <w:tcW w:w="100" w:type="dxa"/>
            <w:vAlign w:val="bottom"/>
            <w:shd w:val="clear" w:color="auto" w:fill="CFF0FC"/>
          </w:tcPr>
          <w:p>
            <w:pPr>
              <w:spacing w:after="0"/>
              <w:rPr>
                <w:sz w:val="21"/>
                <w:szCs w:val="21"/>
                <w:color w:val="auto"/>
              </w:rPr>
            </w:pPr>
          </w:p>
        </w:tc>
      </w:tr>
      <w:tr>
        <w:trPr>
          <w:trHeight w:val="241"/>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00" w:type="dxa"/>
            <w:vAlign w:val="bottom"/>
          </w:tcPr>
          <w:p>
            <w:pPr>
              <w:spacing w:after="0"/>
              <w:rPr>
                <w:sz w:val="20"/>
                <w:szCs w:val="20"/>
                <w:color w:val="auto"/>
              </w:rPr>
            </w:pPr>
          </w:p>
        </w:tc>
      </w:tr>
      <w:tr>
        <w:trPr>
          <w:trHeight w:val="276"/>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2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3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17,557</w:t>
            </w:r>
          </w:p>
        </w:tc>
        <w:tc>
          <w:tcPr>
            <w:tcW w:w="2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7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6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Declared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0.22125</w:t>
            </w:r>
          </w:p>
        </w:tc>
        <w:tc>
          <w:tcPr>
            <w:tcW w:w="7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0.66125</w:t>
            </w:r>
          </w:p>
        </w:tc>
        <w:tc>
          <w:tcPr>
            <w:tcW w:w="6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-565150</wp:posOffset>
            </wp:positionV>
            <wp:extent cx="768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-548005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-565150</wp:posOffset>
            </wp:positionV>
            <wp:extent cx="76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-548005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-565150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-548005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-205105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-187960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-205105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-187960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-205105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-187960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5" w:name="page6"/>
    <w:bookmarkEnd w:id="5"/>
    <w:p>
      <w:pPr>
        <w:ind w:right="4960"/>
        <w:spacing w:after="0" w:line="266" w:lineRule="auto"/>
        <w:rPr>
          <w:sz w:val="20"/>
          <w:szCs w:val="20"/>
          <w:color w:val="auto"/>
        </w:rPr>
      </w:pPr>
      <w:r>
        <w:rPr>
          <w:rFonts w:ascii="Times New Roman" w:cs="Times New Roman" w:eastAsia="Times New Roman" w:hAnsi="Times New Roman"/>
          <w:sz w:val="18"/>
          <w:szCs w:val="18"/>
          <w:color w:val="auto"/>
        </w:rPr>
        <w:t>FARMERS &amp; MERCHANTS BANCORP, INC. AND SUBSIDIARIES CONDENSED CONSOLIDATED STATEMENTS OF COMPREHENSIVE INCOME (Unaudited)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1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September 30,</w:t>
            </w:r>
          </w:p>
        </w:tc>
        <w:tc>
          <w:tcPr>
            <w:tcW w:w="140" w:type="dxa"/>
            <w:vAlign w:val="bottom"/>
          </w:tcPr>
          <w:p>
            <w:pPr>
              <w:spacing w:after="0"/>
              <w:rPr>
                <w:sz w:val="18"/>
                <w:szCs w:val="18"/>
                <w:color w:val="auto"/>
              </w:rPr>
            </w:pP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September 30,</w:t>
            </w:r>
          </w:p>
        </w:tc>
        <w:tc>
          <w:tcPr>
            <w:tcW w:w="14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41"/>
        </w:trPr>
        <w:tc>
          <w:tcPr>
            <w:tcW w:w="5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4"/>
              </w:rPr>
              <w:t>2023</w:t>
            </w:r>
          </w:p>
        </w:tc>
        <w:tc>
          <w:tcPr>
            <w:tcW w:w="0" w:type="dxa"/>
            <w:vAlign w:val="bottom"/>
          </w:tcPr>
          <w:p>
            <w:pPr>
              <w:spacing w:after="0"/>
              <w:rPr>
                <w:sz w:val="1"/>
                <w:szCs w:val="1"/>
                <w:color w:val="auto"/>
              </w:rPr>
            </w:pPr>
          </w:p>
        </w:tc>
      </w:tr>
      <w:tr>
        <w:trPr>
          <w:trHeight w:val="243"/>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6,516</w:t>
            </w:r>
          </w:p>
        </w:tc>
        <w:tc>
          <w:tcPr>
            <w:tcW w:w="58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4,777</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17,557</w:t>
            </w:r>
          </w:p>
        </w:tc>
        <w:tc>
          <w:tcPr>
            <w:tcW w:w="5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17,244</w:t>
            </w:r>
          </w:p>
        </w:tc>
        <w:tc>
          <w:tcPr>
            <w:tcW w:w="0" w:type="dxa"/>
            <w:vAlign w:val="bottom"/>
          </w:tcPr>
          <w:p>
            <w:pPr>
              <w:spacing w:after="0"/>
              <w:rPr>
                <w:sz w:val="1"/>
                <w:szCs w:val="1"/>
                <w:color w:val="auto"/>
              </w:rPr>
            </w:pPr>
          </w:p>
        </w:tc>
      </w:tr>
      <w:tr>
        <w:trPr>
          <w:trHeight w:val="241"/>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unrealized gain (loss) on available-for-sale</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3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11,664</w:t>
            </w: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12,200</w:t>
            </w: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(2,480 )</w:t>
            </w:r>
          </w:p>
        </w:tc>
        <w:tc>
          <w:tcPr>
            <w:tcW w:w="0" w:type="dxa"/>
            <w:vAlign w:val="bottom"/>
          </w:tcPr>
          <w:p>
            <w:pPr>
              <w:spacing w:after="0"/>
              <w:rPr>
                <w:sz w:val="1"/>
                <w:szCs w:val="1"/>
                <w:color w:val="auto"/>
              </w:rPr>
            </w:pPr>
          </w:p>
        </w:tc>
      </w:tr>
      <w:tr>
        <w:trPr>
          <w:trHeight w:val="211"/>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Reclassification adjustment for realized loss on sale</w:t>
            </w:r>
          </w:p>
        </w:tc>
        <w:tc>
          <w:tcPr>
            <w:tcW w:w="280" w:type="dxa"/>
            <w:vAlign w:val="bottom"/>
          </w:tcPr>
          <w:p>
            <w:pPr>
              <w:spacing w:after="0"/>
              <w:rPr>
                <w:sz w:val="18"/>
                <w:szCs w:val="18"/>
                <w:color w:val="auto"/>
              </w:rPr>
            </w:pPr>
          </w:p>
        </w:tc>
        <w:tc>
          <w:tcPr>
            <w:tcW w:w="11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34"/>
        </w:trPr>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available-for-sale securities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340" w:type="dxa"/>
            <w:vAlign w:val="bottom"/>
            <w:shd w:val="clear" w:color="auto" w:fill="CFF0FC"/>
          </w:tcPr>
          <w:p>
            <w:pPr>
              <w:ind w:left="200"/>
              <w:spacing w:after="0" w:line="205" w:lineRule="exact"/>
              <w:rPr>
                <w:sz w:val="20"/>
                <w:szCs w:val="20"/>
                <w:color w:val="auto"/>
              </w:rPr>
            </w:pPr>
            <w:r>
              <w:rPr>
                <w:rFonts w:ascii="Times New Roman" w:cs="Times New Roman" w:eastAsia="Times New Roman" w:hAnsi="Times New Roman"/>
                <w:sz w:val="18"/>
                <w:szCs w:val="18"/>
                <w:color w:val="auto"/>
              </w:rPr>
              <w:t>Net unrealized gain (loss) on available-for-sale</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3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11,664</w:t>
            </w: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12,200</w:t>
            </w: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(1,589 )</w:t>
            </w:r>
          </w:p>
        </w:tc>
        <w:tc>
          <w:tcPr>
            <w:tcW w:w="0" w:type="dxa"/>
            <w:vAlign w:val="bottom"/>
          </w:tcPr>
          <w:p>
            <w:pPr>
              <w:spacing w:after="0"/>
              <w:rPr>
                <w:sz w:val="1"/>
                <w:szCs w:val="1"/>
                <w:color w:val="auto"/>
              </w:rPr>
            </w:pPr>
          </w:p>
        </w:tc>
      </w:tr>
      <w:tr>
        <w:trPr>
          <w:trHeight w:val="239"/>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expense (benefit)</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2,449</w:t>
            </w: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2,562</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0" w:type="dxa"/>
            <w:vAlign w:val="bottom"/>
          </w:tcPr>
          <w:p>
            <w:pPr>
              <w:spacing w:after="0"/>
              <w:rPr>
                <w:sz w:val="1"/>
                <w:szCs w:val="1"/>
                <w:color w:val="auto"/>
              </w:rPr>
            </w:pPr>
          </w:p>
        </w:tc>
      </w:tr>
      <w:tr>
        <w:trPr>
          <w:trHeight w:val="237"/>
        </w:trPr>
        <w:tc>
          <w:tcPr>
            <w:tcW w:w="5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9,215</w:t>
            </w:r>
          </w:p>
        </w:tc>
        <w:tc>
          <w:tcPr>
            <w:tcW w:w="1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(3,567 )</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9,638</w:t>
            </w:r>
          </w:p>
        </w:tc>
        <w:tc>
          <w:tcPr>
            <w:tcW w:w="1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(1,256 )</w:t>
            </w:r>
          </w:p>
        </w:tc>
        <w:tc>
          <w:tcPr>
            <w:tcW w:w="0" w:type="dxa"/>
            <w:vAlign w:val="bottom"/>
          </w:tcPr>
          <w:p>
            <w:pPr>
              <w:spacing w:after="0"/>
              <w:rPr>
                <w:sz w:val="1"/>
                <w:szCs w:val="1"/>
                <w:color w:val="auto"/>
              </w:rPr>
            </w:pPr>
          </w:p>
        </w:tc>
      </w:tr>
      <w:tr>
        <w:trPr>
          <w:trHeight w:val="241"/>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15,731</w:t>
            </w:r>
          </w:p>
        </w:tc>
        <w:tc>
          <w:tcPr>
            <w:tcW w:w="5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1,210</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27,195</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15,988</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-187960</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-187960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ind w:right="3860"/>
        <w:spacing w:after="0" w:line="250" w:lineRule="auto"/>
        <w:rPr>
          <w:sz w:val="20"/>
          <w:szCs w:val="20"/>
          <w:color w:val="auto"/>
        </w:rPr>
      </w:pPr>
      <w:r>
        <w:rPr>
          <w:rFonts w:ascii="Times New Roman" w:cs="Times New Roman" w:eastAsia="Times New Roman" w:hAnsi="Times New Roman"/>
          <w:sz w:val="18"/>
          <w:szCs w:val="18"/>
          <w:color w:val="auto"/>
        </w:rPr>
        <w:t>CONDENSED CONSOLIDATED STATEMENTS OF CHANGES TO STOCKHOLDERS’ EQUITY FOR THE THREE AND NINE MONTHS ENDED SEPTEMBER 30, 2024 (IN THOUSANDS, EXCEPT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Accumulated</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24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Shares of</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Other</w:t>
            </w:r>
          </w:p>
        </w:tc>
        <w:tc>
          <w:tcPr>
            <w:tcW w:w="160" w:type="dxa"/>
            <w:vAlign w:val="bottom"/>
          </w:tcPr>
          <w:p>
            <w:pPr>
              <w:spacing w:after="0"/>
              <w:rPr>
                <w:sz w:val="21"/>
                <w:szCs w:val="21"/>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25"/>
        </w:trPr>
        <w:tc>
          <w:tcPr>
            <w:tcW w:w="4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Comprehensiv</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Stockholder</w:t>
            </w:r>
          </w:p>
        </w:tc>
      </w:tr>
      <w:tr>
        <w:trPr>
          <w:trHeight w:val="234"/>
        </w:trPr>
        <w:tc>
          <w:tcPr>
            <w:tcW w:w="42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Common</w:t>
            </w:r>
          </w:p>
        </w:tc>
        <w:tc>
          <w:tcPr>
            <w:tcW w:w="1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Treasury</w:t>
            </w:r>
          </w:p>
        </w:tc>
        <w:tc>
          <w:tcPr>
            <w:tcW w:w="12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Retained</w:t>
            </w:r>
          </w:p>
        </w:tc>
        <w:tc>
          <w:tcPr>
            <w:tcW w:w="220" w:type="dxa"/>
            <w:vAlign w:val="bottom"/>
          </w:tcPr>
          <w:p>
            <w:pPr>
              <w:spacing w:after="0"/>
              <w:rPr>
                <w:sz w:val="20"/>
                <w:szCs w:val="20"/>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e</w:t>
            </w:r>
          </w:p>
        </w:tc>
        <w:tc>
          <w:tcPr>
            <w:tcW w:w="16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s'</w:t>
            </w:r>
          </w:p>
        </w:tc>
      </w:tr>
      <w:tr>
        <w:trPr>
          <w:trHeight w:val="250"/>
        </w:trPr>
        <w:tc>
          <w:tcPr>
            <w:tcW w:w="4240" w:type="dxa"/>
            <w:vAlign w:val="bottom"/>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Stock</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Earnings</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Loss</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21"/>
                <w:szCs w:val="21"/>
                <w:color w:val="auto"/>
              </w:rPr>
            </w:pPr>
          </w:p>
        </w:tc>
      </w:tr>
      <w:tr>
        <w:trPr>
          <w:trHeight w:val="243"/>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January 1,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13,664,641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(11,040 )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221,080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(29,012 )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316,543</w:t>
            </w:r>
          </w:p>
        </w:tc>
        <w:tc>
          <w:tcPr>
            <w:tcW w:w="100" w:type="dxa"/>
            <w:vAlign w:val="bottom"/>
            <w:shd w:val="clear" w:color="auto" w:fill="CFF0FC"/>
          </w:tcPr>
          <w:p>
            <w:pPr>
              <w:spacing w:after="0"/>
              <w:rPr>
                <w:sz w:val="21"/>
                <w:szCs w:val="2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(1,577 )</w:t>
            </w: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(1,577 )</w:t>
            </w: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(4,490 )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(94 )</w:t>
            </w:r>
          </w:p>
        </w:tc>
      </w:tr>
      <w:tr>
        <w:trPr>
          <w:trHeight w:val="215"/>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23,369 shares of restricted stock</w:t>
            </w: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(Net of forfeitures - 250)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(467 )</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20"/>
                <w:szCs w:val="20"/>
                <w:color w:val="auto"/>
              </w:rPr>
            </w:pPr>
          </w:p>
        </w:tc>
      </w:tr>
      <w:tr>
        <w:trPr>
          <w:trHeight w:val="243"/>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dividends declared - $0.22 per share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(2,975 )</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(2,975 )</w:t>
            </w:r>
          </w:p>
        </w:tc>
      </w:tr>
      <w:tr>
        <w:trPr>
          <w:trHeight w:val="20"/>
        </w:trPr>
        <w:tc>
          <w:tcPr>
            <w:tcW w:w="4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13,683,270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135,482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(10,851 )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223,648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(30,589 )</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317,690</w:t>
            </w:r>
          </w:p>
        </w:tc>
        <w:tc>
          <w:tcPr>
            <w:tcW w:w="100" w:type="dxa"/>
            <w:vAlign w:val="bottom"/>
          </w:tcPr>
          <w:p>
            <w:pPr>
              <w:spacing w:after="0"/>
              <w:rPr>
                <w:sz w:val="20"/>
                <w:szCs w:val="20"/>
                <w:color w:val="auto"/>
              </w:rPr>
            </w:pPr>
          </w:p>
        </w:tc>
      </w:tr>
      <w:tr>
        <w:trPr>
          <w:trHeight w:val="245"/>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100" w:type="dxa"/>
            <w:vAlign w:val="bottom"/>
            <w:shd w:val="clear" w:color="auto" w:fill="CFF0FC"/>
          </w:tcPr>
          <w:p>
            <w:pPr>
              <w:spacing w:after="0"/>
              <w:rPr>
                <w:sz w:val="21"/>
                <w:szCs w:val="2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(11,000 )</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(239 )</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(239 )</w:t>
            </w: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Forfeiture of 1,200 shares of restricted stock</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(1,200 )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FF0FC"/>
          </w:tcPr>
          <w:p>
            <w:pPr>
              <w:spacing w:after="0"/>
              <w:rPr>
                <w:sz w:val="21"/>
                <w:szCs w:val="2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 stock award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r>
      <w:tr>
        <w:trPr>
          <w:trHeight w:val="243"/>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dividends declared - $0.22 per share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(2,975 )</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(2,975 )</w:t>
            </w:r>
          </w:p>
        </w:tc>
      </w:tr>
      <w:tr>
        <w:trPr>
          <w:trHeight w:val="20"/>
        </w:trPr>
        <w:tc>
          <w:tcPr>
            <w:tcW w:w="4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13,679,944</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135,829</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(11,006 )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226,430</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(28,589 )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322,664</w:t>
            </w:r>
          </w:p>
        </w:tc>
        <w:tc>
          <w:tcPr>
            <w:tcW w:w="100" w:type="dxa"/>
            <w:vAlign w:val="bottom"/>
          </w:tcPr>
          <w:p>
            <w:pPr>
              <w:spacing w:after="0"/>
              <w:rPr>
                <w:sz w:val="20"/>
                <w:szCs w:val="20"/>
                <w:color w:val="auto"/>
              </w:rPr>
            </w:pPr>
          </w:p>
        </w:tc>
      </w:tr>
      <w:tr>
        <w:trPr>
          <w:trHeight w:val="245"/>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100" w:type="dxa"/>
            <w:vAlign w:val="bottom"/>
            <w:shd w:val="clear" w:color="auto" w:fill="CFF0FC"/>
          </w:tcPr>
          <w:p>
            <w:pPr>
              <w:spacing w:after="0"/>
              <w:rPr>
                <w:sz w:val="21"/>
                <w:szCs w:val="2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9,215</w:t>
            </w: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(12,901 )</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(331 )</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(331 )</w:t>
            </w:r>
          </w:p>
        </w:tc>
      </w:tr>
      <w:tr>
        <w:trPr>
          <w:trHeight w:val="211"/>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36,800 shares of restricted stock</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of forfeitures - 1,250)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(950 )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50"/>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FF0FC"/>
          </w:tcPr>
          <w:p>
            <w:pPr>
              <w:spacing w:after="0"/>
              <w:rPr>
                <w:sz w:val="21"/>
                <w:szCs w:val="2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dividends declared - $0.22125 per share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(2,998 )</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(2,998 )</w:t>
            </w:r>
          </w:p>
        </w:tc>
      </w:tr>
      <w:tr>
        <w:trPr>
          <w:trHeight w:val="20"/>
        </w:trPr>
        <w:tc>
          <w:tcPr>
            <w:tcW w:w="4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13,702,593</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135,193</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(10,904 )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230,465</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(19,374 )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335,380</w:t>
            </w:r>
          </w:p>
        </w:tc>
        <w:tc>
          <w:tcPr>
            <w:tcW w:w="100" w:type="dxa"/>
            <w:vAlign w:val="bottom"/>
            <w:shd w:val="clear" w:color="auto" w:fill="CFF0FC"/>
          </w:tcPr>
          <w:p>
            <w:pPr>
              <w:spacing w:after="0"/>
              <w:rPr>
                <w:sz w:val="22"/>
                <w:szCs w:val="22"/>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-2656840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-2656840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-2656840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-2656840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-2656840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-1414145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-1414145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-1414145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-1414145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-1414145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-25400</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-8255</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-25400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-25400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-25400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ind w:right="3860"/>
        <w:spacing w:after="0" w:line="250" w:lineRule="auto"/>
        <w:rPr>
          <w:sz w:val="20"/>
          <w:szCs w:val="20"/>
          <w:color w:val="auto"/>
        </w:rPr>
      </w:pPr>
      <w:r>
        <w:rPr>
          <w:rFonts w:ascii="Times New Roman" w:cs="Times New Roman" w:eastAsia="Times New Roman" w:hAnsi="Times New Roman"/>
          <w:sz w:val="18"/>
          <w:szCs w:val="18"/>
          <w:color w:val="auto"/>
        </w:rPr>
        <w:t>CONDENSED CONSOLIDATED STATEMENTS OF CHANGES TO STOCKHOLDERS’ EQUITY FOR THE THREE AND NINE MONTHS ENDED SEPTEMBER 30, 2023 (IN THOUSANDS, EXCEPT PER SHARE DATA)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color w:val="auto"/>
                <w:w w:val="99"/>
              </w:rPr>
              <w:t>Accumulated</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Shares of</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7"/>
              </w:rPr>
              <w:t>Other</w:t>
            </w:r>
          </w:p>
        </w:tc>
        <w:tc>
          <w:tcPr>
            <w:tcW w:w="160" w:type="dxa"/>
            <w:vAlign w:val="bottom"/>
          </w:tcPr>
          <w:p>
            <w:pPr>
              <w:spacing w:after="0"/>
              <w:rPr>
                <w:sz w:val="21"/>
                <w:szCs w:val="21"/>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25"/>
        </w:trPr>
        <w:tc>
          <w:tcPr>
            <w:tcW w:w="4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color w:val="auto"/>
                <w:w w:val="99"/>
              </w:rPr>
              <w:t>Comprehensiv</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Stockholder</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Common</w:t>
            </w:r>
          </w:p>
        </w:tc>
        <w:tc>
          <w:tcPr>
            <w:tcW w:w="120" w:type="dxa"/>
            <w:vAlign w:val="bottom"/>
          </w:tcPr>
          <w:p>
            <w:pPr>
              <w:spacing w:after="0"/>
              <w:rPr>
                <w:sz w:val="20"/>
                <w:szCs w:val="20"/>
                <w:color w:val="auto"/>
              </w:rPr>
            </w:pPr>
          </w:p>
        </w:tc>
        <w:tc>
          <w:tcPr>
            <w:tcW w:w="10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99"/>
              </w:rPr>
              <w:t>Treasury</w:t>
            </w:r>
          </w:p>
        </w:tc>
        <w:tc>
          <w:tcPr>
            <w:tcW w:w="12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Retained</w:t>
            </w:r>
          </w:p>
        </w:tc>
        <w:tc>
          <w:tcPr>
            <w:tcW w:w="220" w:type="dxa"/>
            <w:vAlign w:val="bottom"/>
          </w:tcPr>
          <w:p>
            <w:pPr>
              <w:spacing w:after="0"/>
              <w:rPr>
                <w:sz w:val="20"/>
                <w:szCs w:val="20"/>
                <w:color w:val="auto"/>
              </w:rPr>
            </w:pPr>
          </w:p>
        </w:tc>
        <w:tc>
          <w:tcPr>
            <w:tcW w:w="110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9"/>
              </w:rPr>
              <w:t>e</w:t>
            </w:r>
          </w:p>
        </w:tc>
        <w:tc>
          <w:tcPr>
            <w:tcW w:w="16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s'</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21"/>
                <w:szCs w:val="21"/>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1"/>
                <w:szCs w:val="21"/>
                <w:color w:val="auto"/>
              </w:rPr>
            </w:pPr>
          </w:p>
        </w:tc>
        <w:tc>
          <w:tcPr>
            <w:tcW w:w="10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1"/>
                <w:szCs w:val="21"/>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Earnings</w:t>
            </w:r>
          </w:p>
        </w:tc>
        <w:tc>
          <w:tcPr>
            <w:tcW w:w="220" w:type="dxa"/>
            <w:vAlign w:val="bottom"/>
          </w:tcPr>
          <w:p>
            <w:pPr>
              <w:spacing w:after="0"/>
              <w:rPr>
                <w:sz w:val="21"/>
                <w:szCs w:val="21"/>
                <w:color w:val="auto"/>
              </w:rPr>
            </w:pPr>
          </w:p>
        </w:tc>
        <w:tc>
          <w:tcPr>
            <w:tcW w:w="110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Loss</w:t>
            </w:r>
          </w:p>
        </w:tc>
        <w:tc>
          <w:tcPr>
            <w:tcW w:w="160" w:type="dxa"/>
            <w:vAlign w:val="bottom"/>
          </w:tcPr>
          <w:p>
            <w:pPr>
              <w:spacing w:after="0"/>
              <w:rPr>
                <w:sz w:val="21"/>
                <w:szCs w:val="2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January 1, 2023</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13,608,422</w:t>
            </w:r>
          </w:p>
        </w:tc>
        <w:tc>
          <w:tcPr>
            <w:tcW w:w="2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135,497</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(11,573</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212,449</w:t>
            </w:r>
          </w:p>
        </w:tc>
        <w:tc>
          <w:tcPr>
            <w:tcW w:w="2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(38,233</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Cumulative effect of change in accounting</w:t>
            </w: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principle (ASU</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(3,371 )</w:t>
            </w:r>
          </w:p>
        </w:tc>
        <w:tc>
          <w:tcPr>
            <w:tcW w:w="22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(3,371 )</w:t>
            </w:r>
          </w:p>
        </w:tc>
        <w:tc>
          <w:tcPr>
            <w:tcW w:w="0" w:type="dxa"/>
            <w:vAlign w:val="bottom"/>
          </w:tcPr>
          <w:p>
            <w:pPr>
              <w:spacing w:after="0"/>
              <w:rPr>
                <w:sz w:val="1"/>
                <w:szCs w:val="1"/>
                <w:color w:val="auto"/>
              </w:rPr>
            </w:pPr>
          </w:p>
        </w:tc>
      </w:tr>
      <w:tr>
        <w:trPr>
          <w:trHeight w:val="238"/>
        </w:trPr>
        <w:tc>
          <w:tcPr>
            <w:tcW w:w="4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b w:val="1"/>
                <w:bCs w:val="1"/>
                <w:color w:val="auto"/>
              </w:rPr>
              <w:t>2016-13)</w:t>
            </w:r>
          </w:p>
        </w:tc>
        <w:tc>
          <w:tcPr>
            <w:tcW w:w="96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240" w:type="dxa"/>
            <w:vAlign w:val="bottom"/>
            <w:tcBorders>
              <w:top w:val="single" w:sz="8" w:color="CFF0FC"/>
            </w:tcBorders>
          </w:tcPr>
          <w:p>
            <w:pPr>
              <w:ind w:left="200"/>
              <w:spacing w:after="0" w:line="201" w:lineRule="exact"/>
              <w:rPr>
                <w:sz w:val="20"/>
                <w:szCs w:val="20"/>
                <w:color w:val="auto"/>
              </w:rPr>
            </w:pPr>
            <w:r>
              <w:rPr>
                <w:rFonts w:ascii="Times New Roman" w:cs="Times New Roman" w:eastAsia="Times New Roman" w:hAnsi="Times New Roman"/>
                <w:sz w:val="18"/>
                <w:szCs w:val="18"/>
                <w:b w:val="1"/>
                <w:bCs w:val="1"/>
                <w:color w:val="auto"/>
              </w:rPr>
              <w:t>Balance - January 1, 2023 as adjusted for change</w:t>
            </w: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accounting principle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13,608,422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135,497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(11,573 )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209,078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(38,233 )</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21,700 shares of restricted stock</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(562 )</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dividends declared - $0.21 per share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(2,831 )</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(2,831 )</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Balance - March 31, 2023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13,630,122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135,241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(11,310 )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213,012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(31,186 )</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(4,736 )</w:t>
            </w:r>
          </w:p>
        </w:tc>
        <w:tc>
          <w:tcPr>
            <w:tcW w:w="1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(4,736 )</w:t>
            </w: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(208 )</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Forfeiture of 4,050 shares of restricted stock</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(4,050 )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(93 )</w:t>
            </w: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(13 )</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 stock award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dividends declared - $0.21 per share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(2,834 )</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(2,834 )</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13,634,912</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135,647</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(11,298 )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216,236</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(35,922 )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(3,567 )</w:t>
            </w:r>
          </w:p>
        </w:tc>
        <w:tc>
          <w:tcPr>
            <w:tcW w:w="1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(3,567 )</w:t>
            </w: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(9,605 )</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(194 )</w:t>
            </w: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(194 )</w:t>
            </w:r>
          </w:p>
        </w:tc>
        <w:tc>
          <w:tcPr>
            <w:tcW w:w="0" w:type="dxa"/>
            <w:vAlign w:val="bottom"/>
          </w:tcPr>
          <w:p>
            <w:pPr>
              <w:spacing w:after="0"/>
              <w:rPr>
                <w:sz w:val="1"/>
                <w:szCs w:val="1"/>
                <w:color w:val="auto"/>
              </w:rPr>
            </w:pPr>
          </w:p>
        </w:tc>
      </w:tr>
      <w:tr>
        <w:trPr>
          <w:trHeight w:val="211"/>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41,225 shares of restricted stock</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of forfeitures - 950)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(819 )</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dividends declared - $0.21 per share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(2,838 )</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(2,838 )</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13,665,582</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135,171</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(11,008 )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218,510</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(39,489 )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303,184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-4019550</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-4019550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-4019550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-4019550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-4019550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-2656840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-2656840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-2656840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-2656840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-2656840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-1413510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-1413510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-1413510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-1413510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-1413510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-1413510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-24765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gridSpan w:val="5"/>
          </w:tcPr>
          <w:p>
            <w:pPr>
              <w:jc w:val="right"/>
              <w:ind w:right="16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9"/>
        </w:trPr>
        <w:tc>
          <w:tcPr>
            <w:tcW w:w="70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920" w:type="dxa"/>
            <w:vAlign w:val="bottom"/>
            <w:tcBorders>
              <w:top w:val="single" w:sz="8" w:color="auto"/>
              <w:bottom w:val="single" w:sz="8" w:color="auto"/>
            </w:tcBorders>
            <w:gridSpan w:val="4"/>
          </w:tcPr>
          <w:p>
            <w:pPr>
              <w:jc w:val="right"/>
              <w:ind w:right="1230"/>
              <w:spacing w:after="0"/>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20"/>
                <w:szCs w:val="20"/>
                <w:color w:val="auto"/>
              </w:rPr>
            </w:pPr>
          </w:p>
        </w:tc>
      </w:tr>
      <w:tr>
        <w:trPr>
          <w:trHeight w:val="237"/>
        </w:trPr>
        <w:tc>
          <w:tcPr>
            <w:tcW w:w="7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September 30, 2024</w:t>
            </w:r>
          </w:p>
        </w:tc>
        <w:tc>
          <w:tcPr>
            <w:tcW w:w="16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September 30, 2023</w:t>
            </w:r>
          </w:p>
        </w:tc>
        <w:tc>
          <w:tcPr>
            <w:tcW w:w="100" w:type="dxa"/>
            <w:vAlign w:val="bottom"/>
          </w:tcPr>
          <w:p>
            <w:pPr>
              <w:spacing w:after="0"/>
              <w:rPr>
                <w:sz w:val="20"/>
                <w:szCs w:val="20"/>
                <w:color w:val="auto"/>
              </w:rPr>
            </w:pPr>
          </w:p>
        </w:tc>
      </w:tr>
      <w:tr>
        <w:trPr>
          <w:trHeight w:val="241"/>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top w:val="single" w:sz="8" w:color="auto"/>
            </w:tcBorders>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17,557</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17,244</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premiums on available-for-sale securities, net</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additions to servicing rights</w:t>
            </w:r>
          </w:p>
        </w:tc>
        <w:tc>
          <w:tcPr>
            <w:tcW w:w="16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(570 )</w:t>
            </w:r>
          </w:p>
        </w:tc>
        <w:tc>
          <w:tcPr>
            <w:tcW w:w="16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(2,567 )</w:t>
            </w: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Servicing rights amortization and impairment</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core deposit intangible</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customer list intangible</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accretion of fair value adjustments</w:t>
            </w:r>
          </w:p>
        </w:tc>
        <w:tc>
          <w:tcPr>
            <w:tcW w:w="16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(2,063 )</w:t>
            </w:r>
          </w:p>
        </w:tc>
        <w:tc>
          <w:tcPr>
            <w:tcW w:w="16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(2,909 )</w:t>
            </w: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subordinated note issuance costs</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 stock awards</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 - loans</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credit losses - off balance sheet credit exposures</w:t>
            </w:r>
          </w:p>
        </w:tc>
        <w:tc>
          <w:tcPr>
            <w:tcW w:w="16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(551 )</w:t>
            </w:r>
          </w:p>
        </w:tc>
        <w:tc>
          <w:tcPr>
            <w:tcW w:w="16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(143 )</w:t>
            </w: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loans held for sale</w:t>
            </w:r>
          </w:p>
        </w:tc>
        <w:tc>
          <w:tcPr>
            <w:tcW w:w="16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(636 )</w:t>
            </w:r>
          </w:p>
        </w:tc>
        <w:tc>
          <w:tcPr>
            <w:tcW w:w="16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(469 )</w:t>
            </w: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16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(36,545 )</w:t>
            </w:r>
          </w:p>
        </w:tc>
        <w:tc>
          <w:tcPr>
            <w:tcW w:w="16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(26,337 )</w:t>
            </w: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loans held for sale</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26,594</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derivatives</w:t>
            </w:r>
          </w:p>
        </w:tc>
        <w:tc>
          <w:tcPr>
            <w:tcW w:w="16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(62 )</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sale of other assets owned</w:t>
            </w:r>
          </w:p>
        </w:tc>
        <w:tc>
          <w:tcPr>
            <w:tcW w:w="16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(49 )</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sales of securities available-for-sale</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cash surrender value of bank owned life insurance</w:t>
            </w:r>
          </w:p>
        </w:tc>
        <w:tc>
          <w:tcPr>
            <w:tcW w:w="16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(717 )</w:t>
            </w:r>
          </w:p>
        </w:tc>
        <w:tc>
          <w:tcPr>
            <w:tcW w:w="16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(618 )</w:t>
            </w: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other assets and other liabilities, net</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(8,307 )</w:t>
            </w:r>
          </w:p>
        </w:tc>
      </w:tr>
      <w:tr>
        <w:trPr>
          <w:trHeight w:val="237"/>
        </w:trPr>
        <w:tc>
          <w:tcPr>
            <w:tcW w:w="70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29,864</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11,564</w:t>
            </w:r>
          </w:p>
        </w:tc>
        <w:tc>
          <w:tcPr>
            <w:tcW w:w="100" w:type="dxa"/>
            <w:vAlign w:val="bottom"/>
            <w:tcBorders>
              <w:top w:val="single" w:sz="8" w:color="CFF0FC"/>
            </w:tcBorders>
          </w:tcPr>
          <w:p>
            <w:pPr>
              <w:spacing w:after="0"/>
              <w:rPr>
                <w:sz w:val="20"/>
                <w:szCs w:val="20"/>
                <w:color w:val="auto"/>
              </w:rPr>
            </w:pPr>
          </w:p>
        </w:tc>
      </w:tr>
      <w:tr>
        <w:trPr>
          <w:trHeight w:val="241"/>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Activity in available-for-sale securities:</w:t>
            </w: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16,940</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21,963</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w:t>
            </w:r>
          </w:p>
        </w:tc>
        <w:tc>
          <w:tcPr>
            <w:tcW w:w="16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(56,137 )</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Activity in other securities, at cost:</w:t>
            </w: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w:t>
            </w:r>
          </w:p>
        </w:tc>
        <w:tc>
          <w:tcPr>
            <w:tcW w:w="16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(1,789 )</w:t>
            </w:r>
          </w:p>
        </w:tc>
        <w:tc>
          <w:tcPr>
            <w:tcW w:w="16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(8,769 )</w:t>
            </w: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redemption of FHLB stock</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interest-bearing time deposits</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sale of other assets owned</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premises and equipment</w:t>
            </w:r>
          </w:p>
        </w:tc>
        <w:tc>
          <w:tcPr>
            <w:tcW w:w="16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(1,142 )</w:t>
            </w:r>
          </w:p>
        </w:tc>
        <w:tc>
          <w:tcPr>
            <w:tcW w:w="16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(8,995 )</w:t>
            </w: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 originations and principal collections, net</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(170,471 )</w:t>
            </w:r>
          </w:p>
        </w:tc>
      </w:tr>
      <w:tr>
        <w:trPr>
          <w:trHeight w:val="20"/>
        </w:trPr>
        <w:tc>
          <w:tcPr>
            <w:tcW w:w="70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(146,090 )</w:t>
            </w:r>
          </w:p>
        </w:tc>
      </w:tr>
      <w:tr>
        <w:trPr>
          <w:trHeight w:val="241"/>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Borders>
              <w:top w:val="single" w:sz="8" w:color="auto"/>
            </w:tcBorders>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deposits</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106,820</w:t>
            </w:r>
          </w:p>
        </w:tc>
        <w:tc>
          <w:tcPr>
            <w:tcW w:w="100" w:type="dxa"/>
            <w:vAlign w:val="bottom"/>
          </w:tcPr>
          <w:p>
            <w:pPr>
              <w:spacing w:after="0"/>
              <w:rPr>
                <w:sz w:val="20"/>
                <w:szCs w:val="20"/>
                <w:color w:val="auto"/>
              </w:rPr>
            </w:pPr>
          </w:p>
        </w:tc>
      </w:tr>
      <w:tr>
        <w:trPr>
          <w:trHeight w:val="215"/>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federal funds purchased and securities sold under agreements</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repurchase</w:t>
            </w:r>
          </w:p>
        </w:tc>
        <w:tc>
          <w:tcPr>
            <w:tcW w:w="16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(926 )</w:t>
            </w:r>
          </w:p>
        </w:tc>
        <w:tc>
          <w:tcPr>
            <w:tcW w:w="16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(23,679 )</w:t>
            </w: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FHLB advances</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FHLB advances</w:t>
            </w:r>
          </w:p>
        </w:tc>
        <w:tc>
          <w:tcPr>
            <w:tcW w:w="16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(17,650 )</w:t>
            </w:r>
          </w:p>
        </w:tc>
        <w:tc>
          <w:tcPr>
            <w:tcW w:w="16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(206,146 )</w:t>
            </w: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other borrowings</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(10,000 )</w:t>
            </w: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6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(664 )</w:t>
            </w:r>
          </w:p>
        </w:tc>
        <w:tc>
          <w:tcPr>
            <w:tcW w:w="16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(199 )</w:t>
            </w: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160" w:type="dxa"/>
            <w:vAlign w:val="bottom"/>
          </w:tcPr>
          <w:p>
            <w:pPr>
              <w:spacing w:after="0"/>
              <w:rPr>
                <w:sz w:val="20"/>
                <w:szCs w:val="20"/>
                <w:color w:val="auto"/>
              </w:rPr>
            </w:pP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(8,924 )</w:t>
            </w:r>
          </w:p>
        </w:tc>
        <w:tc>
          <w:tcPr>
            <w:tcW w:w="16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(8,497 )</w:t>
            </w:r>
          </w:p>
        </w:tc>
      </w:tr>
      <w:tr>
        <w:trPr>
          <w:trHeight w:val="237"/>
        </w:trPr>
        <w:tc>
          <w:tcPr>
            <w:tcW w:w="70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64,186</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203,299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103,303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68,773</w:t>
            </w:r>
          </w:p>
        </w:tc>
        <w:tc>
          <w:tcPr>
            <w:tcW w:w="100" w:type="dxa"/>
            <w:vAlign w:val="bottom"/>
          </w:tcPr>
          <w:p>
            <w:pPr>
              <w:spacing w:after="0"/>
              <w:rPr>
                <w:sz w:val="20"/>
                <w:szCs w:val="20"/>
                <w:color w:val="auto"/>
              </w:rPr>
            </w:pPr>
          </w:p>
        </w:tc>
      </w:tr>
      <w:tr>
        <w:trPr>
          <w:trHeight w:val="243"/>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year</w:t>
            </w:r>
          </w:p>
        </w:tc>
        <w:tc>
          <w:tcPr>
            <w:tcW w:w="16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142,201</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245,504</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153,182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-4359910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-4359910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-2182495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-2182495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-476250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-476250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-159385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3175</wp:posOffset>
            </wp:positionV>
            <wp:extent cx="25888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-127635</wp:posOffset>
            </wp:positionV>
            <wp:extent cx="25888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623"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FARMERS &amp; MERCHANTS BANCORP, INC. AND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gridSpan w:val="5"/>
          </w:tcPr>
          <w:p>
            <w:pPr>
              <w:ind w:left="132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9"/>
        </w:trPr>
        <w:tc>
          <w:tcPr>
            <w:tcW w:w="70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920" w:type="dxa"/>
            <w:vAlign w:val="bottom"/>
            <w:tcBorders>
              <w:top w:val="single" w:sz="8" w:color="auto"/>
              <w:bottom w:val="single" w:sz="8" w:color="auto"/>
            </w:tcBorders>
            <w:gridSpan w:val="4"/>
          </w:tcPr>
          <w:p>
            <w:pPr>
              <w:jc w:val="right"/>
              <w:ind w:right="1230"/>
              <w:spacing w:after="0"/>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20"/>
                <w:szCs w:val="20"/>
                <w:color w:val="auto"/>
              </w:rPr>
            </w:pPr>
          </w:p>
        </w:tc>
      </w:tr>
      <w:tr>
        <w:trPr>
          <w:trHeight w:val="237"/>
        </w:trPr>
        <w:tc>
          <w:tcPr>
            <w:tcW w:w="7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September 30, 2024</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September 30, 2023</w:t>
            </w:r>
          </w:p>
        </w:tc>
        <w:tc>
          <w:tcPr>
            <w:tcW w:w="100" w:type="dxa"/>
            <w:vAlign w:val="bottom"/>
          </w:tcPr>
          <w:p>
            <w:pPr>
              <w:spacing w:after="0"/>
              <w:rPr>
                <w:sz w:val="20"/>
                <w:szCs w:val="20"/>
                <w:color w:val="auto"/>
              </w:rPr>
            </w:pPr>
          </w:p>
        </w:tc>
      </w:tr>
      <w:tr>
        <w:trPr>
          <w:trHeight w:val="241"/>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57,571</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37,055</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paid</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noncash disclosures:</w:t>
            </w: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dividends declared not paid</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Unaudited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NOTE 1 BASIS OF PRESENTATION AND OTHER</w:t>
      </w:r>
    </w:p>
    <w:p>
      <w:pPr>
        <w:spacing w:after="0" w:line="185"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nine months ended September 30, 2024 are not necessarily indicative of the results that are expected for the year ended December 31, 2024. The condensed consolidated balance sheet of the Company as of December 31, 2023, has been derived from the audited consolidated balance sheet of the Company as of that date. These condensed consolidated financial statements should be read in conjunction with the consolidated financial statements and footnotes thereto included in the Farmers &amp; Merchants Bancorp, Inc. (the "Company")'s Annual Report on Form 10-K for the year ended December 31, 2023.</w:t>
      </w:r>
    </w:p>
    <w:p>
      <w:pPr>
        <w:spacing w:after="0" w:line="161"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(the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Reclassification</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Certain amounts within the noninterest income and noninterest expense section of the Company's consolidated statements of income have been reclassified to conform with current year presentation to provide additional information to the reader.</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Revision of Previously Issued Financial Statements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Company has voluntarily revised amounts reported in previously issued financial statements for the periods presented in this Quarterly Report on Form 10-Q to correct two immaterial errors.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Within the loans disclosure (Note 4), the vintage loan tables that represents the risk category of loans by portfolio class and year of origination as of December 31, 2023 have been updated to separate origination year 2019 from the prior year for the term loans amortized cost basis.</w:t>
      </w:r>
    </w:p>
    <w:p>
      <w:pPr>
        <w:spacing w:after="0" w:line="13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Within the derivative financial instruments disclosure (Note 7), the derivative fair value on the tables that present a summary of interest rate swap derivatives designated as fair value accounting hedges of fixed-rate receivables used in the Bank's asset/liability management activities listing notional value, weighted average remaining maturity and weighted average rate included a clerical error that has been corrected to match the derivative fair value presented on two other tables as of December 31, 2023.</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These revisions had no effect on total assets, stockholders’ equity or net income as previously reported.</w:t>
      </w:r>
    </w:p>
    <w:p>
      <w:pPr>
        <w:spacing w:after="0" w:line="18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Company evaluated the impact of the improper adherence to disclosure requirements and clerical errors to our previously issued financial statements in accordance with SEC Staff Accounting Bulletins No. 99 and No.108 and, based upon quantitative and qualitative factors, determined the errors were not material to the previously issued financial statements and disclosures included in our Annual Report on Form 10-K for the year ended December 31, 2023.</w:t>
      </w:r>
    </w:p>
    <w:p>
      <w:pPr>
        <w:spacing w:after="0" w:line="3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2 BUSINESS COMBINATION AND ASSET PURCHASE</w:t>
      </w:r>
    </w:p>
    <w:p>
      <w:pPr>
        <w:spacing w:after="0" w:line="185"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On October 1, 2022, the Company acquired Peoples-Sidney Financial Corporation (PPSF), the bank holding company for Peoples Federal Savings and Loan Association, a community bank with three full-service offices in Sidney, Anna and Jackson Center, Ohio, in addition to a separate drive-thru location in Sidney, Ohio. PPSF shareholders had the opportunity to elect to receive either 0.6597 shares of Farmers &amp; Merchants Bancorp, Inc. (FMAO) stock or $24.00 per share in cash for each PPSF share owned, subject to a requirement under the Merger Agreement that the minimum number of PPSF shares exchanged for FMAO shares in the merger was no less than 758,566. Fractional shares of FMAO common stock were not issued in respect of fractional interests arising from the merger but were paid in cash pursuant to the merger agreement. PPSF had 1,167,025</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firstLine="52"/>
        <w:spacing w:after="0" w:line="261" w:lineRule="auto"/>
        <w:rPr>
          <w:sz w:val="20"/>
          <w:szCs w:val="20"/>
          <w:color w:val="auto"/>
        </w:rPr>
      </w:pPr>
      <w:r>
        <w:rPr>
          <w:rFonts w:ascii="Times New Roman" w:cs="Times New Roman" w:eastAsia="Times New Roman" w:hAnsi="Times New Roman"/>
          <w:sz w:val="18"/>
          <w:szCs w:val="18"/>
          <w:color w:val="auto"/>
        </w:rPr>
        <w:t>shares outstanding on October 1, 2022. The share price of FMAO stock on October 1, 2022 was $26.87. Total consideration for the acquisition was approximately $23.2 million of which $9.8 million was in cash and $13.4 million in stock. As a result of the acquisition, the Company increased its deposit base in Sidney and the greater Shelby County and reduced transaction costs. The Company has reduced costs through economies of scale.</w:t>
      </w:r>
    </w:p>
    <w:p>
      <w:pPr>
        <w:spacing w:after="0" w:line="369"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$23.2 million, $6.0 million has been allocated to core deposit intangible included in other assets and is being amortized over seven years on a straight line basis. Goodwill of $5.9 million, which resulted from the acquisition, consists largely of the synergies and economies of scale expected from combining the operations of the Company and Peoples Federal Savings and Loan Association. Of that total amount, none of the purchase price was deductible for tax purposes. The following table summarizes the consideration paid for Peoples Federal Savings and Loan Association and the amounts of the assets acquired and liabilities assumed recognized at the acquisition date.</w:t>
      </w:r>
    </w:p>
    <w:p>
      <w:pPr>
        <w:spacing w:after="0" w:line="200" w:lineRule="exact"/>
        <w:rPr>
          <w:sz w:val="20"/>
          <w:szCs w:val="20"/>
          <w:color w:val="auto"/>
        </w:rPr>
      </w:pPr>
    </w:p>
    <w:p>
      <w:pPr>
        <w:spacing w:after="0" w:line="390"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(In Thousands)</w:t>
            </w:r>
          </w:p>
        </w:tc>
        <w:tc>
          <w:tcPr>
            <w:tcW w:w="0" w:type="dxa"/>
            <w:vAlign w:val="bottom"/>
          </w:tcPr>
          <w:p>
            <w:pPr>
              <w:spacing w:after="0"/>
              <w:rPr>
                <w:sz w:val="1"/>
                <w:szCs w:val="1"/>
                <w:color w:val="auto"/>
              </w:rPr>
            </w:pPr>
          </w:p>
        </w:tc>
      </w:tr>
      <w:tr>
        <w:trPr>
          <w:trHeight w:val="24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stock repurchased (125 shares)</w:t>
            </w:r>
          </w:p>
        </w:tc>
        <w:tc>
          <w:tcPr>
            <w:tcW w:w="1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1"/>
        </w:trPr>
        <w:tc>
          <w:tcPr>
            <w:tcW w:w="646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23,249</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securities, at cost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Loans, net</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101,755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Premises and equipment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 Purchased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141,818</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Noninterest bearing</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bearing</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4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Total deposits</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111,858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Home Loan Bank (FHLB) advances</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118,569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-3350895</wp:posOffset>
            </wp:positionV>
            <wp:extent cx="431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-1456690</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-1439545</wp:posOffset>
            </wp:positionV>
            <wp:extent cx="43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The fair value of the assets acquired included loans with a fair value of $101.8 million. The gross principal and contractual interest due under the contracts was $116.1 million of which none was expected to be uncollectible. The loans have a weighted average life of 44.4 months.</w:t>
      </w:r>
    </w:p>
    <w:p>
      <w:pPr>
        <w:spacing w:after="0" w:line="337"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fair value of buildings and land included in premises and equipment was written up $581 thousand with $597 thousand attributable to the buildings and is being amortized over the remaining life of each building. The combined average remaining life of the buildings is 12.8 years.</w:t>
      </w:r>
    </w:p>
    <w:p>
      <w:pPr>
        <w:spacing w:after="0" w:line="3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for certificates of deposit incorporated a valuation amount of $662 thousand which was amortized over 1.1 years.</w:t>
      </w:r>
    </w:p>
    <w:p>
      <w:pPr>
        <w:sectPr>
          <w:pgSz w:w="11900" w:h="16838" w:orient="portrait"/>
          <w:cols w:equalWidth="0" w:num="1">
            <w:col w:w="11240"/>
          </w:cols>
          <w:pgMar w:left="320" w:top="769" w:right="339" w:bottom="1440" w:gutter="0" w:footer="0" w:header="0"/>
        </w:sectPr>
      </w:pP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fair value of Federal Home Loan Bank (FHLB) advances included a valuation amount of $69 thousand which is being amortized over 5.2 years.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2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238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Three Months</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Three Months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Nine Months</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Nine Months</w:t>
            </w:r>
          </w:p>
        </w:tc>
        <w:tc>
          <w:tcPr>
            <w:tcW w:w="8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Ended</w:t>
            </w:r>
          </w:p>
        </w:tc>
        <w:tc>
          <w:tcPr>
            <w:tcW w:w="8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Ended</w:t>
            </w:r>
          </w:p>
        </w:tc>
        <w:tc>
          <w:tcPr>
            <w:tcW w:w="8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Ended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w:t>
            </w: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30,</w:t>
            </w: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30,</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41"/>
        </w:trPr>
        <w:tc>
          <w:tcPr>
            <w:tcW w:w="2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Pr>
          <w:p>
            <w:pPr>
              <w:spacing w:after="0"/>
              <w:rPr>
                <w:sz w:val="20"/>
                <w:szCs w:val="20"/>
                <w:color w:val="auto"/>
              </w:rPr>
            </w:pPr>
          </w:p>
        </w:tc>
        <w:tc>
          <w:tcPr>
            <w:tcW w:w="8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2023</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2023</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shd w:val="clear" w:color="auto" w:fill="CFF0FC"/>
          </w:tcPr>
          <w:p>
            <w:pPr>
              <w:spacing w:after="0"/>
              <w:rPr>
                <w:sz w:val="21"/>
                <w:szCs w:val="21"/>
                <w:color w:val="auto"/>
              </w:rPr>
            </w:pPr>
          </w:p>
        </w:tc>
      </w:tr>
      <w:tr>
        <w:trPr>
          <w:trHeight w:val="234"/>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r>
      <w:tr>
        <w:trPr>
          <w:trHeight w:val="252"/>
        </w:trPr>
        <w:tc>
          <w:tcPr>
            <w:tcW w:w="2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(58 )</w:t>
            </w:r>
          </w:p>
        </w:tc>
        <w:tc>
          <w:tcPr>
            <w:tcW w:w="88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(174 )</w:t>
            </w:r>
          </w:p>
        </w:tc>
        <w:tc>
          <w:tcPr>
            <w:tcW w:w="82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1"/>
              </w:rPr>
              <w:t>(174 )</w:t>
            </w:r>
          </w:p>
        </w:tc>
      </w:tr>
      <w:tr>
        <w:trPr>
          <w:trHeight w:val="211"/>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from</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nonaccretable</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4"/>
        </w:trPr>
        <w:tc>
          <w:tcPr>
            <w:tcW w:w="2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difference</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2"/>
        </w:trPr>
        <w:tc>
          <w:tcPr>
            <w:tcW w:w="2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Disposals</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1"/>
        </w:trPr>
        <w:tc>
          <w:tcPr>
            <w:tcW w:w="2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tcBorders>
              <w:top w:val="single" w:sz="8" w:color="CFF0FC"/>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tcBorders>
              <w:top w:val="single" w:sz="8" w:color="CFF0FC"/>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Borders>
              <w:top w:val="single" w:sz="8" w:color="CFF0FC"/>
            </w:tcBorders>
          </w:tcPr>
          <w:p>
            <w:pPr>
              <w:spacing w:after="0"/>
              <w:rPr>
                <w:sz w:val="20"/>
                <w:szCs w:val="20"/>
                <w:color w:val="auto"/>
              </w:rPr>
            </w:pPr>
          </w:p>
        </w:tc>
      </w:tr>
      <w:tr>
        <w:trPr>
          <w:trHeight w:val="20"/>
        </w:trPr>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-187960</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-187960</wp:posOffset>
            </wp:positionV>
            <wp:extent cx="514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514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On October 1, 2021, the Company acquired Perpetual Federal Savings Bank, (PFSB), a community bank with one full-service office in Urbana, Ohio. Shareholders of PFSB elected to receive either 1.7766 shares of FMAO stock or $41.20 per share in cash for each PFSB share owned, subject to adjustment based upon 1,833,999 shares of FMAO to be issued in the merger. PFSB had 2,470,032 shares outstanding on October 1, 2021. The share price of Farmers &amp; Merchants Bancorp, Inc. (FMAO) stock on October 1, 2021 was $22.40. Total consideration for the acquisition was approximately $100.3 million consisting of $59.2 million in cash and $41.1 million in stock.</w:t>
      </w:r>
    </w:p>
    <w:p>
      <w:pPr>
        <w:spacing w:after="0" w:line="156"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$100.3 million, $668 thousand has been allocated to core deposit intangible included in other assets and is being amortized over seven years on a straight line basis. Goodwill of $25.2 million, which resulted from the acquisition, consists largely of the synergies and economies of scale expected from combining the operations of the Company and Perpetual Federal Savings Bank. Of that total amount, none of the purchase price was deductible for tax purposes.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238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1"/>
        </w:trPr>
        <w:tc>
          <w:tcPr>
            <w:tcW w:w="2420" w:type="dxa"/>
            <w:vAlign w:val="bottom"/>
          </w:tcPr>
          <w:p>
            <w:pPr>
              <w:spacing w:after="0"/>
              <w:rPr>
                <w:sz w:val="18"/>
                <w:szCs w:val="18"/>
                <w:color w:val="auto"/>
              </w:rPr>
            </w:pPr>
          </w:p>
        </w:tc>
        <w:tc>
          <w:tcPr>
            <w:tcW w:w="1420" w:type="dxa"/>
            <w:vAlign w:val="bottom"/>
            <w:tcBorders>
              <w:top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Three Months</w:t>
            </w:r>
          </w:p>
        </w:tc>
        <w:tc>
          <w:tcPr>
            <w:tcW w:w="12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Three Months</w:t>
            </w:r>
          </w:p>
        </w:tc>
        <w:tc>
          <w:tcPr>
            <w:tcW w:w="220" w:type="dxa"/>
            <w:vAlign w:val="bottom"/>
          </w:tcPr>
          <w:p>
            <w:pPr>
              <w:spacing w:after="0"/>
              <w:rPr>
                <w:sz w:val="18"/>
                <w:szCs w:val="18"/>
                <w:color w:val="auto"/>
              </w:rPr>
            </w:pPr>
          </w:p>
        </w:tc>
        <w:tc>
          <w:tcPr>
            <w:tcW w:w="136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Nine Months</w:t>
            </w: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Nine Months</w:t>
            </w:r>
          </w:p>
        </w:tc>
        <w:tc>
          <w:tcPr>
            <w:tcW w:w="8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Ended</w:t>
            </w:r>
          </w:p>
        </w:tc>
        <w:tc>
          <w:tcPr>
            <w:tcW w:w="240" w:type="dxa"/>
            <w:vAlign w:val="bottom"/>
          </w:tcPr>
          <w:p>
            <w:pPr>
              <w:spacing w:after="0"/>
              <w:rPr>
                <w:sz w:val="18"/>
                <w:szCs w:val="18"/>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Ended</w:t>
            </w:r>
          </w:p>
        </w:tc>
        <w:tc>
          <w:tcPr>
            <w:tcW w:w="22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Ended</w:t>
            </w:r>
          </w:p>
        </w:tc>
        <w:tc>
          <w:tcPr>
            <w:tcW w:w="24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Ended</w:t>
            </w:r>
          </w:p>
        </w:tc>
      </w:tr>
      <w:tr>
        <w:trPr>
          <w:trHeight w:val="216"/>
        </w:trPr>
        <w:tc>
          <w:tcPr>
            <w:tcW w:w="2420" w:type="dxa"/>
            <w:vAlign w:val="bottom"/>
          </w:tcPr>
          <w:p>
            <w:pPr>
              <w:spacing w:after="0"/>
              <w:rPr>
                <w:sz w:val="18"/>
                <w:szCs w:val="18"/>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30,</w:t>
            </w: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30,</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41"/>
        </w:trPr>
        <w:tc>
          <w:tcPr>
            <w:tcW w:w="2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Pr>
          <w:p>
            <w:pPr>
              <w:spacing w:after="0"/>
              <w:rPr>
                <w:sz w:val="20"/>
                <w:szCs w:val="20"/>
                <w:color w:val="auto"/>
              </w:rPr>
            </w:pPr>
          </w:p>
        </w:tc>
      </w:tr>
      <w:tr>
        <w:trPr>
          <w:trHeight w:val="243"/>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80" w:type="dxa"/>
            <w:vAlign w:val="bottom"/>
            <w:shd w:val="clear" w:color="auto" w:fill="CFF0FC"/>
          </w:tcPr>
          <w:p>
            <w:pPr>
              <w:spacing w:after="0"/>
              <w:rPr>
                <w:sz w:val="21"/>
                <w:szCs w:val="21"/>
                <w:color w:val="auto"/>
              </w:rPr>
            </w:pPr>
          </w:p>
        </w:tc>
      </w:tr>
      <w:tr>
        <w:trPr>
          <w:trHeight w:val="234"/>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0"/>
                <w:szCs w:val="20"/>
                <w:color w:val="auto"/>
              </w:rPr>
            </w:pPr>
          </w:p>
        </w:tc>
      </w:tr>
      <w:tr>
        <w:trPr>
          <w:trHeight w:val="252"/>
        </w:trPr>
        <w:tc>
          <w:tcPr>
            <w:tcW w:w="2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(335 )</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(456 )</w:t>
            </w: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(1,006 )</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(1,145 )</w:t>
            </w:r>
          </w:p>
        </w:tc>
      </w:tr>
      <w:tr>
        <w:trPr>
          <w:trHeight w:val="211"/>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from</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nonaccretable</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1"/>
        </w:trPr>
        <w:tc>
          <w:tcPr>
            <w:tcW w:w="2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difference</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24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Disposals</w:t>
            </w: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2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80" w:type="dxa"/>
            <w:vAlign w:val="bottom"/>
          </w:tcPr>
          <w:p>
            <w:pPr>
              <w:spacing w:after="0"/>
              <w:rPr>
                <w:sz w:val="20"/>
                <w:szCs w:val="20"/>
                <w:color w:val="auto"/>
              </w:rPr>
            </w:pPr>
          </w:p>
        </w:tc>
      </w:tr>
      <w:tr>
        <w:trPr>
          <w:trHeight w:val="20"/>
        </w:trPr>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-187960</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431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On April 30, 2021, the Company acquired Ossian Financial Services, Inc., (OFSI), the bank holding company for Ossian State Bank, a community bank based in Ossian, Indiana. Ossian State Bank operated two full-service offices in the northeast Indiana communities of Ossian and Bluffton. Shareholders of OFSI received $67.71 in cash for each share. OFSI had 295,388 shares outstanding on April 30, 2021. Total consideration for the acquisition was approximately $20.0 million in cash.</w:t>
      </w:r>
    </w:p>
    <w:p>
      <w:pPr>
        <w:spacing w:after="0" w:line="13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$20.0 million, $980.2 thousand has</w:t>
      </w:r>
    </w:p>
    <w:p>
      <w:pPr>
        <w:sectPr>
          <w:pgSz w:w="11900" w:h="16838" w:orient="portrait"/>
          <w:cols w:equalWidth="0" w:num="1">
            <w:col w:w="11240"/>
          </w:cols>
          <w:pgMar w:left="320" w:top="769" w:right="339" w:bottom="1440" w:gutter="0" w:footer="0" w:header="0"/>
        </w:sectPr>
      </w:pP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been allocated to core deposit intangible included in other assets and will be amortized over seven years on a straight line basis. Goodwill of $7.9 million, which resulted from the acquisition, consists largely of the synergies and economies of scale expected from combining the operations of the Company and Ossian State Bank and is deductible for tax purposes over 15 years.</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2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2420" w:type="dxa"/>
            <w:vAlign w:val="bottom"/>
          </w:tcPr>
          <w:p>
            <w:pPr>
              <w:spacing w:after="0"/>
              <w:rPr>
                <w:sz w:val="18"/>
                <w:szCs w:val="18"/>
                <w:color w:val="auto"/>
              </w:rPr>
            </w:pP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Three Months</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Three Months</w:t>
            </w:r>
          </w:p>
        </w:tc>
        <w:tc>
          <w:tcPr>
            <w:tcW w:w="22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Nine Months</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Nine Months</w:t>
            </w:r>
          </w:p>
        </w:tc>
        <w:tc>
          <w:tcPr>
            <w:tcW w:w="8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Ended</w:t>
            </w:r>
          </w:p>
        </w:tc>
        <w:tc>
          <w:tcPr>
            <w:tcW w:w="8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Ended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Ended</w:t>
            </w:r>
          </w:p>
        </w:tc>
        <w:tc>
          <w:tcPr>
            <w:tcW w:w="8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Ended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30,</w:t>
            </w: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30,</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41"/>
        </w:trPr>
        <w:tc>
          <w:tcPr>
            <w:tcW w:w="2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0"/>
                <w:szCs w:val="20"/>
                <w:color w:val="auto"/>
              </w:rPr>
            </w:pPr>
          </w:p>
        </w:tc>
        <w:tc>
          <w:tcPr>
            <w:tcW w:w="86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2023</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2023</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shd w:val="clear" w:color="auto" w:fill="CFF0FC"/>
          </w:tcPr>
          <w:p>
            <w:pPr>
              <w:spacing w:after="0"/>
              <w:rPr>
                <w:sz w:val="21"/>
                <w:szCs w:val="21"/>
                <w:color w:val="auto"/>
              </w:rPr>
            </w:pPr>
          </w:p>
        </w:tc>
      </w:tr>
      <w:tr>
        <w:trPr>
          <w:trHeight w:val="234"/>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52"/>
        </w:trPr>
        <w:tc>
          <w:tcPr>
            <w:tcW w:w="2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(44 )</w:t>
            </w:r>
          </w:p>
        </w:tc>
        <w:tc>
          <w:tcPr>
            <w:tcW w:w="8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(44 )</w:t>
            </w: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(132 )</w:t>
            </w:r>
          </w:p>
        </w:tc>
        <w:tc>
          <w:tcPr>
            <w:tcW w:w="82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1"/>
              </w:rPr>
              <w:t>(132 )</w:t>
            </w:r>
          </w:p>
        </w:tc>
      </w:tr>
      <w:tr>
        <w:trPr>
          <w:trHeight w:val="211"/>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from</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nonaccretable</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1"/>
        </w:trPr>
        <w:tc>
          <w:tcPr>
            <w:tcW w:w="2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difference</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24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Disposals</w:t>
            </w: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20"/>
                <w:szCs w:val="20"/>
                <w:color w:val="auto"/>
              </w:rPr>
            </w:pP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20"/>
                <w:szCs w:val="20"/>
                <w:color w:val="auto"/>
              </w:rPr>
            </w:pPr>
          </w:p>
        </w:tc>
      </w:tr>
      <w:tr>
        <w:trPr>
          <w:trHeight w:val="20"/>
        </w:trPr>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-187960</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431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Shareholders of Limberlost received 1,830 shares of FMAO common stock and $8,465.00 in cash for each share. Limberlost had 1,000 shares outstanding on January 1, 2019. The share price of FMAO stock on January 1, 2019 was $38.49. Total consideration for the acquisition was approximately $78.9 million consisting of $8.5 million in cash and $70.4 million in stock.</w:t>
      </w:r>
    </w:p>
    <w:p>
      <w:pPr>
        <w:spacing w:after="0" w:line="14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$78.9 million, $3.9 million has been allocated to core deposit intangible included in other assets and is being amortized over seven years on a straight line basis. Goodwill of $43.3 million, which resulted from the acquisition, consists largely of the synergies and economies of scale expected from combining the operations of the Company and Bank of Geneva. Of that total amount, none of the purchase price was deductible for tax purposes.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2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2420" w:type="dxa"/>
            <w:vAlign w:val="bottom"/>
          </w:tcPr>
          <w:p>
            <w:pPr>
              <w:spacing w:after="0"/>
              <w:rPr>
                <w:sz w:val="18"/>
                <w:szCs w:val="18"/>
                <w:color w:val="auto"/>
              </w:rPr>
            </w:pP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Three Months</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Three Months</w:t>
            </w:r>
          </w:p>
        </w:tc>
        <w:tc>
          <w:tcPr>
            <w:tcW w:w="22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Nine Months</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Nine Months</w:t>
            </w:r>
          </w:p>
        </w:tc>
        <w:tc>
          <w:tcPr>
            <w:tcW w:w="8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Ended</w:t>
            </w:r>
          </w:p>
        </w:tc>
        <w:tc>
          <w:tcPr>
            <w:tcW w:w="8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Ended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Ended</w:t>
            </w:r>
          </w:p>
        </w:tc>
        <w:tc>
          <w:tcPr>
            <w:tcW w:w="8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Ended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30,</w:t>
            </w: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30,</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41"/>
        </w:trPr>
        <w:tc>
          <w:tcPr>
            <w:tcW w:w="2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2023</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2023</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shd w:val="clear" w:color="auto" w:fill="CFF0FC"/>
          </w:tcPr>
          <w:p>
            <w:pPr>
              <w:spacing w:after="0"/>
              <w:rPr>
                <w:sz w:val="21"/>
                <w:szCs w:val="21"/>
                <w:color w:val="auto"/>
              </w:rPr>
            </w:pPr>
          </w:p>
        </w:tc>
      </w:tr>
      <w:tr>
        <w:trPr>
          <w:trHeight w:val="234"/>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r>
      <w:tr>
        <w:trPr>
          <w:trHeight w:val="252"/>
        </w:trPr>
        <w:tc>
          <w:tcPr>
            <w:tcW w:w="2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(109 )</w:t>
            </w:r>
          </w:p>
        </w:tc>
        <w:tc>
          <w:tcPr>
            <w:tcW w:w="84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1"/>
              </w:rPr>
              <w:t>(109 )</w:t>
            </w: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(327 )</w:t>
            </w:r>
          </w:p>
        </w:tc>
        <w:tc>
          <w:tcPr>
            <w:tcW w:w="82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1"/>
              </w:rPr>
              <w:t>(324 )</w:t>
            </w:r>
          </w:p>
        </w:tc>
      </w:tr>
      <w:tr>
        <w:trPr>
          <w:trHeight w:val="211"/>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from</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nonaccretable</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1"/>
        </w:trPr>
        <w:tc>
          <w:tcPr>
            <w:tcW w:w="2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difference</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24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Disposals</w:t>
            </w: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Pr>
          <w:p>
            <w:pPr>
              <w:spacing w:after="0"/>
              <w:rPr>
                <w:sz w:val="20"/>
                <w:szCs w:val="20"/>
                <w:color w:val="auto"/>
              </w:rPr>
            </w:pPr>
          </w:p>
        </w:tc>
      </w:tr>
      <w:tr>
        <w:trPr>
          <w:trHeight w:val="20"/>
        </w:trPr>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-187960</wp:posOffset>
            </wp:positionV>
            <wp:extent cx="514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51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431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As mentioned previously, the acquisition of Bank of Geneva resulted in the recognition of $3.9 million in core deposit intangible assets, the acquisition of Ossian State Bank resulted in the recognition of $980.2 thousand in core deposit intangible assets, the acquisition of Perpetual Federal Savings Bank resulted in the recognition of $668.0 thousand in core deposit intangible assets and the acquisition of Peoples Federal Savings and Loan resulted in the recognition of $6.0 million in core deposit intangible assets which are all being amortized over its remaining economic useful life of 7 years on a straight line basis. Core deposit intangible is included in other assets on the condensed consolidated balance sheets.</w:t>
      </w:r>
    </w:p>
    <w:p>
      <w:pPr>
        <w:sectPr>
          <w:pgSz w:w="11900" w:h="16838" w:orient="portrait"/>
          <w:cols w:equalWidth="0" w:num="1">
            <w:col w:w="11240"/>
          </w:cols>
          <w:pgMar w:left="320" w:top="769" w:right="339" w:bottom="1440"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amortization expense of the core deposit intangible for the nine months ended September 30, 2023 was $1.2 million. Of the approximately $1.7 million to be expensed in 2024, $1.2 million has been expensed for the nine months ended September 30, 2024. Annual amortization of core deposit intangible assets is as follows:</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1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39"/>
        </w:trPr>
        <w:tc>
          <w:tcPr>
            <w:tcW w:w="1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Geneva</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Ossian</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Perpetual</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Peoples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41"/>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39"/>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47"/>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39"/>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47"/>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39"/>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77"/>
        </w:trPr>
        <w:tc>
          <w:tcPr>
            <w:tcW w:w="16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-24765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-7620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-24765</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On November 16, 2020, FM Investment Services, a division of the Bank, purchased the assets and clients of Adams County Financial Resources (ACFR), a full-service registered investment advisory firm located in Geneva, Indiana. As of November 30, 2020, ACFR had approximately $83 million of assets under management and over 450 clients.</w:t>
      </w:r>
    </w:p>
    <w:p>
      <w:pPr>
        <w:spacing w:after="0" w:line="135"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Total consideration for the purchase was $825 thousand which consisted of 40,049 shares of stock. Under the acquisition method of accounting, the total purchase was allocated to net tangible and intangible assets based on their current estimated fair values on the date of acquisition. Of the total purchase price of $825 thousand, $800 thousand has been allocated to customer list intangible, included in other assets, to be amortized over 6.5 years on a straight line basis.</w:t>
      </w:r>
    </w:p>
    <w:p>
      <w:pPr>
        <w:spacing w:after="0" w:line="153" w:lineRule="exact"/>
        <w:rPr>
          <w:sz w:val="20"/>
          <w:szCs w:val="20"/>
          <w:color w:val="auto"/>
        </w:rPr>
      </w:pPr>
    </w:p>
    <w:p>
      <w:pPr>
        <w:jc w:val="both"/>
        <w:ind w:left="760" w:right="20"/>
        <w:spacing w:after="0" w:line="266" w:lineRule="auto"/>
        <w:rPr>
          <w:sz w:val="20"/>
          <w:szCs w:val="20"/>
          <w:color w:val="auto"/>
        </w:rPr>
      </w:pPr>
      <w:r>
        <w:rPr>
          <w:rFonts w:ascii="Times New Roman" w:cs="Times New Roman" w:eastAsia="Times New Roman" w:hAnsi="Times New Roman"/>
          <w:sz w:val="18"/>
          <w:szCs w:val="18"/>
          <w:color w:val="auto"/>
        </w:rPr>
        <w:t>The amortization expense of the customer list intangible for the nine months ended September 30, 2023 was $92 thousand. Of the $123 thousand to be expensed in 2024, $92 thousand has been expensed for the nine months ended September 30, 2024. Annual amortization expense of customer list intangible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(In Thousands)</w:t>
            </w: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30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Adams County Financial Resources</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1"/>
        </w:trPr>
        <w:tc>
          <w:tcPr>
            <w:tcW w:w="1700" w:type="dxa"/>
            <w:vAlign w:val="bottom"/>
          </w:tcPr>
          <w:p>
            <w:pPr>
              <w:spacing w:after="0"/>
              <w:rPr>
                <w:sz w:val="20"/>
                <w:szCs w:val="20"/>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7"/>
        </w:trPr>
        <w:tc>
          <w:tcPr>
            <w:tcW w:w="1700" w:type="dxa"/>
            <w:vAlign w:val="bottom"/>
          </w:tcPr>
          <w:p>
            <w:pPr>
              <w:spacing w:after="0"/>
              <w:rPr>
                <w:sz w:val="24"/>
                <w:szCs w:val="24"/>
                <w:color w:val="auto"/>
              </w:rPr>
            </w:pPr>
          </w:p>
        </w:tc>
        <w:tc>
          <w:tcPr>
            <w:tcW w:w="2300" w:type="dxa"/>
            <w:vAlign w:val="bottom"/>
            <w:shd w:val="clear" w:color="auto" w:fill="CFF0FC"/>
          </w:tcPr>
          <w:p>
            <w:pPr>
              <w:spacing w:after="0"/>
              <w:rPr>
                <w:sz w:val="24"/>
                <w:szCs w:val="24"/>
                <w:color w:val="auto"/>
              </w:rPr>
            </w:pPr>
          </w:p>
        </w:tc>
        <w:tc>
          <w:tcPr>
            <w:tcW w:w="2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525"/>
        </w:trPr>
        <w:tc>
          <w:tcPr>
            <w:tcW w:w="1700" w:type="dxa"/>
            <w:vAlign w:val="bottom"/>
          </w:tcPr>
          <w:p>
            <w:pPr>
              <w:spacing w:after="0"/>
              <w:rPr>
                <w:sz w:val="24"/>
                <w:szCs w:val="24"/>
                <w:color w:val="auto"/>
              </w:rPr>
            </w:pPr>
          </w:p>
        </w:tc>
        <w:tc>
          <w:tcPr>
            <w:tcW w:w="2300" w:type="dxa"/>
            <w:vAlign w:val="bottom"/>
            <w:tcBorders>
              <w:top w:val="single" w:sz="8" w:color="CFF0FC"/>
            </w:tcBorders>
          </w:tcPr>
          <w:p>
            <w:pPr>
              <w:spacing w:after="0"/>
              <w:rPr>
                <w:sz w:val="24"/>
                <w:szCs w:val="24"/>
                <w:color w:val="auto"/>
              </w:rPr>
            </w:pPr>
          </w:p>
        </w:tc>
        <w:tc>
          <w:tcPr>
            <w:tcW w:w="2200" w:type="dxa"/>
            <w:vAlign w:val="bottom"/>
            <w:tcBorders>
              <w:top w:val="single" w:sz="8" w:color="CFF0FC"/>
            </w:tcBorders>
          </w:tcPr>
          <w:p>
            <w:pPr>
              <w:jc w:val="right"/>
              <w:ind w:right="39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top w:val="single" w:sz="8" w:color="auto"/>
            </w:tcBorders>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-864870</wp:posOffset>
            </wp:positionV>
            <wp:extent cx="431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-847725</wp:posOffset>
            </wp:positionV>
            <wp:extent cx="431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NOTE 3 SECURITIES</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Mortgage-backed securities, as shown in the following tables, are all government sponsored enterprises. The amortized cost and fair value of securities, with gross unrealized gains and losses at September 30, 2024 and December 31, 2023, are as follows: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5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center"/>
              <w:ind w:right="17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39"/>
        </w:trPr>
        <w:tc>
          <w:tcPr>
            <w:tcW w:w="5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09"/>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Gross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r>
      <w:tr>
        <w:trPr>
          <w:trHeight w:val="250"/>
        </w:trPr>
        <w:tc>
          <w:tcPr>
            <w:tcW w:w="5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4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109,394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105,133</w:t>
            </w:r>
          </w:p>
        </w:tc>
      </w:tr>
      <w:tr>
        <w:trPr>
          <w:trHeight w:val="247"/>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144,675</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(8,372 )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136,360</w:t>
            </w:r>
          </w:p>
        </w:tc>
      </w:tr>
      <w:tr>
        <w:trPr>
          <w:trHeight w:val="23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105,479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96,693</w:t>
            </w:r>
          </w:p>
        </w:tc>
      </w:tr>
      <w:tr>
        <w:trPr>
          <w:trHeight w:val="243"/>
        </w:trPr>
        <w:tc>
          <w:tcPr>
            <w:tcW w:w="5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69,858</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66,695</w:t>
            </w:r>
          </w:p>
        </w:tc>
      </w:tr>
      <w:tr>
        <w:trPr>
          <w:trHeight w:val="23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429,406</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(25,171 )</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404,881</w:t>
            </w:r>
          </w:p>
        </w:tc>
      </w:tr>
      <w:tr>
        <w:trPr>
          <w:trHeight w:val="20"/>
        </w:trPr>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80"/>
        </w:trPr>
        <w:tc>
          <w:tcPr>
            <w:tcW w:w="5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center"/>
              <w:ind w:right="17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39"/>
        </w:trPr>
        <w:tc>
          <w:tcPr>
            <w:tcW w:w="5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center"/>
              <w:ind w:right="170"/>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09"/>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Gross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r>
      <w:tr>
        <w:trPr>
          <w:trHeight w:val="250"/>
        </w:trPr>
        <w:tc>
          <w:tcPr>
            <w:tcW w:w="5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Gains</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4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87,182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80,270</w:t>
            </w:r>
          </w:p>
        </w:tc>
      </w:tr>
      <w:tr>
        <w:trPr>
          <w:trHeight w:val="247"/>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140,960</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(12,738 )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128,222</w:t>
            </w:r>
          </w:p>
        </w:tc>
      </w:tr>
      <w:tr>
        <w:trPr>
          <w:trHeight w:val="23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94,061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(11,929 )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82,132</w:t>
            </w:r>
          </w:p>
        </w:tc>
      </w:tr>
      <w:tr>
        <w:trPr>
          <w:trHeight w:val="243"/>
        </w:trPr>
        <w:tc>
          <w:tcPr>
            <w:tcW w:w="5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73,000</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(5,281 )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67,854</w:t>
            </w:r>
          </w:p>
        </w:tc>
      </w:tr>
      <w:tr>
        <w:trPr>
          <w:trHeight w:val="23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395,203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(36,861 )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358,478</w:t>
            </w:r>
          </w:p>
        </w:tc>
      </w:tr>
      <w:tr>
        <w:trPr>
          <w:trHeight w:val="20"/>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-2219960</wp:posOffset>
            </wp:positionV>
            <wp:extent cx="857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-2219960</wp:posOffset>
            </wp:positionV>
            <wp:extent cx="857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-2219960</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-187960</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-187960</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Investment securities will at times depreciate to an unrealized loss position. The Company utilizes the following criteria to assess whether the unrealized loss requires an allowance for credit losses on investment securities. No one item by itself will necessarily signal that an allowance for credit losses on investment securities should be established.</w:t>
      </w:r>
    </w:p>
    <w:p>
      <w:pPr>
        <w:spacing w:after="0" w:line="68" w:lineRule="exact"/>
        <w:rPr>
          <w:sz w:val="20"/>
          <w:szCs w:val="20"/>
          <w:color w:val="auto"/>
        </w:rPr>
      </w:pPr>
    </w:p>
    <w:p>
      <w:pPr>
        <w:ind w:left="2260" w:hanging="755"/>
        <w:spacing w:after="0"/>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security has significantly declined from book value.</w:t>
      </w:r>
    </w:p>
    <w:p>
      <w:pPr>
        <w:spacing w:after="0" w:line="117" w:lineRule="exact"/>
        <w:rPr>
          <w:rFonts w:ascii="Times New Roman" w:cs="Times New Roman" w:eastAsia="Times New Roman" w:hAnsi="Times New Roman"/>
          <w:sz w:val="18"/>
          <w:szCs w:val="18"/>
          <w:color w:val="auto"/>
        </w:rPr>
      </w:pPr>
    </w:p>
    <w:p>
      <w:pPr>
        <w:ind w:left="2260" w:right="20" w:hanging="755"/>
        <w:spacing w:after="0" w:line="282" w:lineRule="auto"/>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has occurred that lowered the credit rating to below investment grade (below Baa3 by Moody and BBB – by Standard and Poors.)</w:t>
      </w:r>
    </w:p>
    <w:p>
      <w:pPr>
        <w:spacing w:after="0" w:line="53"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have been reduced or eliminated or scheduled interest payments have not been made.</w:t>
      </w:r>
    </w:p>
    <w:p>
      <w:pPr>
        <w:spacing w:after="0" w:line="117" w:lineRule="exact"/>
        <w:rPr>
          <w:rFonts w:ascii="Times New Roman" w:cs="Times New Roman" w:eastAsia="Times New Roman" w:hAnsi="Times New Roman"/>
          <w:sz w:val="18"/>
          <w:szCs w:val="18"/>
          <w:color w:val="auto"/>
        </w:rPr>
      </w:pPr>
    </w:p>
    <w:p>
      <w:pPr>
        <w:ind w:left="2260" w:right="20" w:hanging="755"/>
        <w:spacing w:after="0" w:line="282" w:lineRule="auto"/>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does not possess both the intent and ability to hold the security for a period of time sufficient to allow for any anticipated recovery in fair value.</w:t>
      </w:r>
    </w:p>
    <w:p>
      <w:pPr>
        <w:spacing w:after="0" w:line="135"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If the unrealized loss is determined to be the result of credit quality factors, the present value of the cash flows expected to be collected is compared to the amortized cost basis. If the present value of the cash flows expected to be collected is less than the amortized cost basis, a credit loss exists and an allowance for credit losses is recorded, limited by the amount that the fair value is less than the amortized cost basis. Adjustments to the allowance are recorded in the Company's consolidated statement of income as a component of the provision for credit losses. The table below is presented by category of security and length of time in a continuous loss position. The Company did not record an allowance for credit losses on its investment securities available for sale as the unrealized losses were attributable to changes in interest rates, not credit quality.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Information pertaining to securities with gross unrealized losses at September 30, 2024 and December 31, 2023, aggregated by investment category and length of time that individual securities have been in a continuous loss position follows: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center"/>
              <w:ind w:right="2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39"/>
        </w:trPr>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center"/>
              <w:ind w:right="21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36"/>
        </w:trPr>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jc w:val="right"/>
              <w:ind w:right="190"/>
              <w:spacing w:after="0"/>
              <w:rPr>
                <w:sz w:val="20"/>
                <w:szCs w:val="20"/>
                <w:color w:val="auto"/>
              </w:rPr>
            </w:pPr>
            <w:r>
              <w:rPr>
                <w:rFonts w:ascii="Times New Roman" w:cs="Times New Roman" w:eastAsia="Times New Roman" w:hAnsi="Times New Roman"/>
                <w:sz w:val="18"/>
                <w:szCs w:val="18"/>
                <w:color w:val="auto"/>
              </w:rPr>
              <w:t>Less Than Twelve Months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color w:val="auto"/>
              </w:rPr>
              <w:t>Twelve Months &amp; Over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spacing w:after="0"/>
              <w:rPr>
                <w:sz w:val="20"/>
                <w:szCs w:val="20"/>
                <w:color w:val="auto"/>
              </w:rPr>
            </w:pPr>
          </w:p>
        </w:tc>
      </w:tr>
      <w:tr>
        <w:trPr>
          <w:trHeight w:val="209"/>
        </w:trPr>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r>
      <w:tr>
        <w:trPr>
          <w:trHeight w:val="250"/>
        </w:trPr>
        <w:tc>
          <w:tcPr>
            <w:tcW w:w="2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43"/>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(4,430 )</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72,558</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(4,431 )</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72,806</w:t>
            </w:r>
          </w:p>
        </w:tc>
      </w:tr>
      <w:tr>
        <w:trPr>
          <w:trHeight w:val="23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(8,372 )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132,490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(8,372 )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132,490</w:t>
            </w:r>
          </w:p>
        </w:tc>
      </w:tr>
      <w:tr>
        <w:trPr>
          <w:trHeight w:val="247"/>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(9,083 )</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72,452</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(9,083 )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72,452</w:t>
            </w:r>
          </w:p>
        </w:tc>
      </w:tr>
      <w:tr>
        <w:trPr>
          <w:trHeight w:val="23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1,902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54,966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(3,285 )</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56,868</w:t>
            </w:r>
          </w:p>
        </w:tc>
      </w:tr>
      <w:tr>
        <w:trPr>
          <w:trHeight w:val="277"/>
        </w:trPr>
        <w:tc>
          <w:tcPr>
            <w:tcW w:w="2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2,150</w:t>
            </w:r>
          </w:p>
        </w:tc>
        <w:tc>
          <w:tcPr>
            <w:tcW w:w="140" w:type="dxa"/>
            <w:vAlign w:val="bottom"/>
            <w:tcBorders>
              <w:bottom w:val="single" w:sz="8" w:color="CFF0FC"/>
            </w:tcBorders>
            <w:gridSpan w:val="2"/>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(25,164 )</w:t>
            </w:r>
          </w:p>
        </w:tc>
        <w:tc>
          <w:tcPr>
            <w:tcW w:w="14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332,466</w:t>
            </w:r>
          </w:p>
        </w:tc>
        <w:tc>
          <w:tcPr>
            <w:tcW w:w="12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(25,171 )</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334,616</w:t>
            </w:r>
          </w:p>
        </w:tc>
      </w:tr>
      <w:tr>
        <w:trPr>
          <w:trHeight w:val="653"/>
        </w:trPr>
        <w:tc>
          <w:tcPr>
            <w:tcW w:w="29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ind w:right="2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39"/>
        </w:trPr>
        <w:tc>
          <w:tcPr>
            <w:tcW w:w="29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center"/>
              <w:ind w:right="230"/>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37"/>
        </w:trPr>
        <w:tc>
          <w:tcPr>
            <w:tcW w:w="29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jc w:val="right"/>
              <w:ind w:right="190"/>
              <w:spacing w:after="0"/>
              <w:rPr>
                <w:sz w:val="20"/>
                <w:szCs w:val="20"/>
                <w:color w:val="auto"/>
              </w:rPr>
            </w:pPr>
            <w:r>
              <w:rPr>
                <w:rFonts w:ascii="Times New Roman" w:cs="Times New Roman" w:eastAsia="Times New Roman" w:hAnsi="Times New Roman"/>
                <w:sz w:val="18"/>
                <w:szCs w:val="18"/>
                <w:color w:val="auto"/>
              </w:rPr>
              <w:t>Less Than Twelve Months</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color w:val="auto"/>
              </w:rPr>
              <w:t>Twelve Months &amp; Over</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spacing w:after="0"/>
              <w:rPr>
                <w:sz w:val="20"/>
                <w:szCs w:val="20"/>
                <w:color w:val="auto"/>
              </w:rPr>
            </w:pPr>
          </w:p>
        </w:tc>
      </w:tr>
      <w:tr>
        <w:trPr>
          <w:trHeight w:val="209"/>
        </w:trPr>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w:t>
            </w:r>
          </w:p>
        </w:tc>
      </w:tr>
      <w:tr>
        <w:trPr>
          <w:trHeight w:val="250"/>
        </w:trPr>
        <w:tc>
          <w:tcPr>
            <w:tcW w:w="29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7"/>
              </w:rPr>
              <w:t>Losses</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43"/>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2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(6,909 )</w:t>
            </w:r>
          </w:p>
        </w:tc>
        <w:tc>
          <w:tcPr>
            <w:tcW w:w="32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79,528</w:t>
            </w: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(6,913 )</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80,022</w:t>
            </w:r>
          </w:p>
        </w:tc>
      </w:tr>
      <w:tr>
        <w:trPr>
          <w:trHeight w:val="23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(12,738 )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128,222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(12,738 )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128,222</w:t>
            </w:r>
          </w:p>
        </w:tc>
      </w:tr>
      <w:tr>
        <w:trPr>
          <w:trHeight w:val="247"/>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4,372</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(11,909 )</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77,759</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(11,929 )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82,131</w:t>
            </w:r>
          </w:p>
        </w:tc>
      </w:tr>
      <w:tr>
        <w:trPr>
          <w:trHeight w:val="239"/>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(5,279 )</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60,402</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(5,281 )</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61,333</w:t>
            </w:r>
          </w:p>
        </w:tc>
      </w:tr>
      <w:tr>
        <w:trPr>
          <w:trHeight w:val="277"/>
        </w:trPr>
        <w:tc>
          <w:tcPr>
            <w:tcW w:w="2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5,797</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(36,835 )</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345,911</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(36,861 )</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351,708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-2047875</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-2030730</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-2047875</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-2030730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-2047875</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-2030730</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-2047875</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-2030730</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-2047875</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-2030730</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-24765</wp:posOffset>
            </wp:positionV>
            <wp:extent cx="768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-7620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Unrealized losses on securities have not been recognized into income because the issuers’ bonds are of high credit quality, values have only been impacted by changes in interest rates since the securities were purchased, and the Company has the intent and ability to hold the securities for the foreseeable future. The fair value is expected to recover as the bonds approach the maturity date.</w:t>
      </w:r>
    </w:p>
    <w:p>
      <w:pPr>
        <w:spacing w:after="0" w:line="1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Below are the gross realized gains and losses for the three and nine months ended September 30, 2024 and September 30, 2023.</w:t>
      </w:r>
    </w:p>
    <w:p>
      <w:pPr>
        <w:spacing w:after="0" w:line="266"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9"/>
        </w:trPr>
        <w:tc>
          <w:tcPr>
            <w:tcW w:w="30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88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0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220" w:type="dxa"/>
            <w:vAlign w:val="bottom"/>
            <w:tcBorders>
              <w:top w:val="single" w:sz="8" w:color="auto"/>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Nine Months Ended</w:t>
            </w:r>
          </w:p>
        </w:tc>
        <w:tc>
          <w:tcPr>
            <w:tcW w:w="20" w:type="dxa"/>
            <w:vAlign w:val="bottom"/>
          </w:tcPr>
          <w:p>
            <w:pPr>
              <w:spacing w:after="0"/>
              <w:rPr>
                <w:sz w:val="20"/>
                <w:szCs w:val="20"/>
                <w:color w:val="auto"/>
              </w:rPr>
            </w:pPr>
          </w:p>
        </w:tc>
      </w:tr>
      <w:tr>
        <w:trPr>
          <w:trHeight w:val="209"/>
        </w:trPr>
        <w:tc>
          <w:tcPr>
            <w:tcW w:w="30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8"/>
              </w:rPr>
              <w:t>September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6"/>
              </w:rPr>
              <w:t>September</w:t>
            </w:r>
          </w:p>
        </w:tc>
        <w:tc>
          <w:tcPr>
            <w:tcW w:w="20" w:type="dxa"/>
            <w:vAlign w:val="bottom"/>
          </w:tcPr>
          <w:p>
            <w:pPr>
              <w:spacing w:after="0"/>
              <w:rPr>
                <w:sz w:val="18"/>
                <w:szCs w:val="18"/>
                <w:color w:val="auto"/>
              </w:rPr>
            </w:pPr>
          </w:p>
        </w:tc>
      </w:tr>
      <w:tr>
        <w:trPr>
          <w:trHeight w:val="241"/>
        </w:trPr>
        <w:tc>
          <w:tcPr>
            <w:tcW w:w="3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30, 2024</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30, 2023</w:t>
            </w:r>
          </w:p>
        </w:tc>
        <w:tc>
          <w:tcPr>
            <w:tcW w:w="20" w:type="dxa"/>
            <w:vAlign w:val="bottom"/>
          </w:tcPr>
          <w:p>
            <w:pPr>
              <w:spacing w:after="0"/>
              <w:rPr>
                <w:sz w:val="20"/>
                <w:szCs w:val="20"/>
                <w:color w:val="auto"/>
              </w:rPr>
            </w:pPr>
          </w:p>
        </w:tc>
      </w:tr>
      <w:tr>
        <w:trPr>
          <w:trHeight w:val="243"/>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1"/>
                <w:szCs w:val="21"/>
                <w:color w:val="auto"/>
              </w:rPr>
            </w:pPr>
          </w:p>
        </w:tc>
      </w:tr>
      <w:tr>
        <w:trPr>
          <w:trHeight w:val="239"/>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20" w:type="dxa"/>
            <w:vAlign w:val="bottom"/>
          </w:tcPr>
          <w:p>
            <w:pPr>
              <w:spacing w:after="0"/>
              <w:rPr>
                <w:sz w:val="20"/>
                <w:szCs w:val="20"/>
                <w:color w:val="auto"/>
              </w:rPr>
            </w:pPr>
          </w:p>
        </w:tc>
      </w:tr>
      <w:tr>
        <w:trPr>
          <w:trHeight w:val="277"/>
        </w:trPr>
        <w:tc>
          <w:tcPr>
            <w:tcW w:w="30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realized losses</w:t>
            </w: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(891 )</w:t>
            </w:r>
          </w:p>
        </w:tc>
        <w:tc>
          <w:tcPr>
            <w:tcW w:w="20" w:type="dxa"/>
            <w:vAlign w:val="bottom"/>
          </w:tcPr>
          <w:p>
            <w:pPr>
              <w:spacing w:after="0"/>
              <w:rPr>
                <w:sz w:val="24"/>
                <w:szCs w:val="24"/>
                <w:color w:val="auto"/>
              </w:rPr>
            </w:pPr>
          </w:p>
        </w:tc>
      </w:t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Tax benefit related to net realized losses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2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-205105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-187960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-205105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-187960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-205105</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net realized losses on sales and related tax benefit is a reclassification out of accumulated other comprehensive loss. The net realized losses are included in net loss on sale of available-for-sale securities and the related tax benefit is included in income taxes in the condensed consolidated statements of income and comprehensive income.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 of debt securities at September 30, 2024, by contractual maturity, are shown below. Expected maturities will differ from contractual maturities because borrowers may have the right to call or prepay obligations with or without call or prepayment penalties.</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5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4"/>
        </w:trPr>
        <w:tc>
          <w:tcPr>
            <w:tcW w:w="5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5"/>
        </w:trPr>
        <w:tc>
          <w:tcPr>
            <w:tcW w:w="5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4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One year or less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46,191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45,568</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255,064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241,067</w:t>
            </w: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21,268</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20,144</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41"/>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323,927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308,188</w:t>
            </w: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105,479</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96,693</w:t>
            </w:r>
          </w:p>
        </w:tc>
      </w:tr>
      <w:tr>
        <w:trPr>
          <w:trHeight w:val="281"/>
        </w:trPr>
        <w:tc>
          <w:tcPr>
            <w:tcW w:w="5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429,406</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404,881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-25400</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857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Investments with a carrying value of $214.8 million and $194.1 million at September 30, 2024 and December 31, 2023, respectively, were pledged to secure public deposits and securities sold under repurchase agreements. Investments with a carrying value of $32.2 million were pledged to the Federal Reserve's Discount Window to provide additional borrowing capacity at September 30, 2024. These investments were reallocated from the $61.7 million that were pledged to the Federal Reserve's Bank Term Funding Program (BTFP) at December 31, 2023. The BTFP was discontinued in March of 2024. The remaining investments pledged to BTFP were released.</w:t>
      </w:r>
    </w:p>
    <w:p>
      <w:pPr>
        <w:spacing w:after="0" w:line="156"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Other securities primarily include Federal Home Loan Bank of Cincinnati and Indianapolis stock in the amount of $15.0 million as of September 30, 2024 and $14.8 million as of December 31, 2023.</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4 LOANS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Loan balances as of September 30, 2024 and December 31, 2023 are summarized below:</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5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jc w:val="right"/>
              <w:ind w:right="1310"/>
              <w:spacing w:after="0"/>
              <w:rPr>
                <w:sz w:val="20"/>
                <w:szCs w:val="20"/>
                <w:color w:val="auto"/>
              </w:rPr>
            </w:pPr>
            <w:r>
              <w:rPr>
                <w:rFonts w:ascii="Times New Roman" w:cs="Times New Roman" w:eastAsia="Times New Roman" w:hAnsi="Times New Roman"/>
                <w:sz w:val="18"/>
                <w:szCs w:val="18"/>
                <w:color w:val="auto"/>
              </w:rPr>
              <w:t>(In Thousands)</w:t>
            </w:r>
          </w:p>
        </w:tc>
      </w:tr>
      <w:tr>
        <w:trPr>
          <w:trHeight w:val="189"/>
        </w:trPr>
        <w:tc>
          <w:tcPr>
            <w:tcW w:w="51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Loans:</w:t>
            </w:r>
          </w:p>
        </w:tc>
        <w:tc>
          <w:tcPr>
            <w:tcW w:w="120" w:type="dxa"/>
            <w:vAlign w:val="bottom"/>
          </w:tcPr>
          <w:p>
            <w:pPr>
              <w:spacing w:after="0"/>
              <w:rPr>
                <w:sz w:val="16"/>
                <w:szCs w:val="16"/>
                <w:color w:val="auto"/>
              </w:rPr>
            </w:pPr>
          </w:p>
        </w:tc>
        <w:tc>
          <w:tcPr>
            <w:tcW w:w="174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September 30, 2024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December 31, 2023</w:t>
            </w:r>
          </w:p>
        </w:tc>
      </w:tr>
      <w:tr>
        <w:trPr>
          <w:trHeight w:val="34"/>
        </w:trPr>
        <w:tc>
          <w:tcPr>
            <w:tcW w:w="500" w:type="dxa"/>
            <w:vAlign w:val="bottom"/>
            <w:tcBorders>
              <w:top w:val="single" w:sz="8" w:color="auto"/>
            </w:tcBorders>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6"/>
        </w:trPr>
        <w:tc>
          <w:tcPr>
            <w:tcW w:w="5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524,055</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521,895</w:t>
            </w:r>
          </w:p>
        </w:tc>
      </w:tr>
      <w:tr>
        <w:trPr>
          <w:trHeight w:val="239"/>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220,328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223,791</w:t>
            </w:r>
          </w:p>
        </w:tc>
      </w:tr>
      <w:tr>
        <w:trPr>
          <w:trHeight w:val="247"/>
        </w:trPr>
        <w:tc>
          <w:tcPr>
            <w:tcW w:w="5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21"/>
                <w:szCs w:val="21"/>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137,252</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132,560</w:t>
            </w:r>
          </w:p>
        </w:tc>
      </w:tr>
      <w:tr>
        <w:trPr>
          <w:trHeight w:val="239"/>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1,301,160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1,337,766</w:t>
            </w:r>
          </w:p>
        </w:tc>
      </w:tr>
      <w:tr>
        <w:trPr>
          <w:trHeight w:val="247"/>
        </w:trPr>
        <w:tc>
          <w:tcPr>
            <w:tcW w:w="5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21"/>
                <w:szCs w:val="21"/>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260,732</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254,935</w:t>
            </w:r>
          </w:p>
        </w:tc>
      </w:tr>
      <w:tr>
        <w:trPr>
          <w:trHeight w:val="239"/>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67,394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79,591</w:t>
            </w:r>
          </w:p>
        </w:tc>
      </w:tr>
      <w:tr>
        <w:trPr>
          <w:trHeight w:val="243"/>
        </w:trPr>
        <w:tc>
          <w:tcPr>
            <w:tcW w:w="51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25,916</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30,136</w:t>
            </w:r>
          </w:p>
        </w:tc>
      </w:tr>
      <w:tr>
        <w:trPr>
          <w:trHeight w:val="237"/>
        </w:trPr>
        <w:tc>
          <w:tcPr>
            <w:tcW w:w="5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2,536,837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2,580,674</w:t>
            </w:r>
          </w:p>
        </w:tc>
      </w:tr>
      <w:tr>
        <w:trPr>
          <w:trHeight w:val="243"/>
        </w:trPr>
        <w:tc>
          <w:tcPr>
            <w:tcW w:w="51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Net deferred loan fees and costs and other*</w:t>
            </w:r>
          </w:p>
        </w:tc>
        <w:tc>
          <w:tcPr>
            <w:tcW w:w="12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1,499</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r>
      <w:tr>
        <w:trPr>
          <w:trHeight w:val="236"/>
        </w:trPr>
        <w:tc>
          <w:tcPr>
            <w:tcW w:w="5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2,538,336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2,581,191</w:t>
            </w:r>
          </w:p>
        </w:tc>
      </w:tr>
      <w:tr>
        <w:trPr>
          <w:trHeight w:val="243"/>
        </w:trPr>
        <w:tc>
          <w:tcPr>
            <w:tcW w:w="51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2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(25,484 )</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(25,024 )</w:t>
            </w:r>
          </w:p>
        </w:tc>
      </w:tr>
      <w:tr>
        <w:trPr>
          <w:trHeight w:val="241"/>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Loans -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2,512,852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2,556,167</w:t>
            </w:r>
          </w:p>
        </w:tc>
      </w:tr>
      <w:tr>
        <w:trPr>
          <w:trHeight w:val="20"/>
        </w:trPr>
        <w:tc>
          <w:tcPr>
            <w:tcW w:w="5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-822325</wp:posOffset>
            </wp:positionV>
            <wp:extent cx="1111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-505460</wp:posOffset>
            </wp:positionV>
            <wp:extent cx="1111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-187960</wp:posOffset>
            </wp:positionV>
            <wp:extent cx="1111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*This chart contains fair value adjustments to the basis of derivatives in the amount of $3.0 million at September 30, 2024 and $2.7 million at December 31, 2023.</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loans primarily fund public improvements in the Bank’s service area.</w:t>
      </w:r>
    </w:p>
    <w:p>
      <w:pPr>
        <w:spacing w:after="0" w:line="18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distribution of fixed rate loans and variable rate loans by major loan category is as follows as of September 30, 2024 and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(In Thousands)</w:t>
            </w:r>
          </w:p>
        </w:tc>
        <w:tc>
          <w:tcPr>
            <w:tcW w:w="13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39"/>
        </w:trPr>
        <w:tc>
          <w:tcPr>
            <w:tcW w:w="36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September 30, 2024</w:t>
            </w:r>
          </w:p>
        </w:tc>
        <w:tc>
          <w:tcPr>
            <w:tcW w:w="1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10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36"/>
        </w:trPr>
        <w:tc>
          <w:tcPr>
            <w:tcW w:w="36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Fixed</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Variable</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Fixed</w:t>
            </w:r>
          </w:p>
        </w:tc>
        <w:tc>
          <w:tcPr>
            <w:tcW w:w="44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Variable</w:t>
            </w:r>
          </w:p>
        </w:tc>
      </w:tr>
      <w:tr>
        <w:trPr>
          <w:trHeight w:val="247"/>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311,679</w:t>
            </w:r>
          </w:p>
        </w:tc>
        <w:tc>
          <w:tcPr>
            <w:tcW w:w="4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212,376</w:t>
            </w:r>
          </w:p>
        </w:tc>
        <w:tc>
          <w:tcPr>
            <w:tcW w:w="6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329,142</w:t>
            </w:r>
          </w:p>
        </w:tc>
        <w:tc>
          <w:tcPr>
            <w:tcW w:w="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192,753</w:t>
            </w:r>
          </w:p>
        </w:tc>
      </w:tr>
      <w:tr>
        <w:trPr>
          <w:trHeight w:val="23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06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122,465</w:t>
            </w:r>
          </w:p>
        </w:tc>
        <w:tc>
          <w:tcPr>
            <w:tcW w:w="48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97,863</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123,783</w:t>
            </w:r>
          </w:p>
        </w:tc>
        <w:tc>
          <w:tcPr>
            <w:tcW w:w="4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100,008</w:t>
            </w:r>
          </w:p>
        </w:tc>
      </w:tr>
      <w:tr>
        <w:trPr>
          <w:trHeight w:val="247"/>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10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49,635</w:t>
            </w:r>
          </w:p>
        </w:tc>
        <w:tc>
          <w:tcPr>
            <w:tcW w:w="48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87,617</w:t>
            </w:r>
          </w:p>
        </w:tc>
        <w:tc>
          <w:tcPr>
            <w:tcW w:w="1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56,269</w:t>
            </w: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76,291</w:t>
            </w:r>
          </w:p>
        </w:tc>
      </w:tr>
      <w:tr>
        <w:trPr>
          <w:trHeight w:val="23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06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959,346</w:t>
            </w:r>
          </w:p>
        </w:tc>
        <w:tc>
          <w:tcPr>
            <w:tcW w:w="48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341,814</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1,024,989</w:t>
            </w:r>
          </w:p>
        </w:tc>
        <w:tc>
          <w:tcPr>
            <w:tcW w:w="4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312,777</w:t>
            </w:r>
          </w:p>
        </w:tc>
      </w:tr>
      <w:tr>
        <w:trPr>
          <w:trHeight w:val="247"/>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135,030</w:t>
            </w:r>
          </w:p>
        </w:tc>
        <w:tc>
          <w:tcPr>
            <w:tcW w:w="48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125,702</w:t>
            </w:r>
          </w:p>
        </w:tc>
        <w:tc>
          <w:tcPr>
            <w:tcW w:w="1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131,385</w:t>
            </w: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123,550</w:t>
            </w:r>
          </w:p>
        </w:tc>
      </w:tr>
      <w:tr>
        <w:trPr>
          <w:trHeight w:val="23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06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67,363</w:t>
            </w:r>
          </w:p>
        </w:tc>
        <w:tc>
          <w:tcPr>
            <w:tcW w:w="48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79,526</w:t>
            </w:r>
          </w:p>
        </w:tc>
        <w:tc>
          <w:tcPr>
            <w:tcW w:w="4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r>
      <w:tr>
        <w:trPr>
          <w:trHeight w:val="247"/>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16,200</w:t>
            </w:r>
          </w:p>
        </w:tc>
        <w:tc>
          <w:tcPr>
            <w:tcW w:w="48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9,716</w:t>
            </w:r>
          </w:p>
        </w:tc>
        <w:tc>
          <w:tcPr>
            <w:tcW w:w="1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20,552</w:t>
            </w: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9,584</w:t>
            </w:r>
          </w:p>
        </w:tc>
      </w:tr>
    </w:tbl>
    <w:p>
      <w:pPr>
        <w:spacing w:after="0" w:line="198"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As of September 30, 2024 and December 31, 2023 one to four family residential mortgage loans amounting to $194.3 million and $210.9 million, respectively, and HELOC loans amounting to $11.4 million and $12.1 million, respectively, have been pledged as security for future loans and existing loans the Bank has received from the Federal Home Loan Bank. The Bank has also pledged eligible commercial real estate loans of $358.8 million and $158.9 million as of September 30, 2024 and December 31, 2023, respectively, to the FHLB. During the second quarter of 2024, the Bank began pledging eligible multi-family real estate loans to the FHLB which amounted to $46.2 million as of September 30, 2024.</w:t>
      </w:r>
    </w:p>
    <w:p>
      <w:pPr>
        <w:spacing w:after="0" w:line="147" w:lineRule="exact"/>
        <w:rPr>
          <w:sz w:val="20"/>
          <w:szCs w:val="20"/>
          <w:color w:val="auto"/>
        </w:rPr>
      </w:pPr>
    </w:p>
    <w:p>
      <w:pPr>
        <w:jc w:val="center"/>
        <w:ind w:left="500" w:right="580"/>
        <w:spacing w:after="0" w:line="407" w:lineRule="auto"/>
        <w:rPr>
          <w:sz w:val="20"/>
          <w:szCs w:val="20"/>
          <w:color w:val="auto"/>
        </w:rPr>
      </w:pPr>
      <w:r>
        <w:rPr>
          <w:rFonts w:ascii="Times New Roman" w:cs="Times New Roman" w:eastAsia="Times New Roman" w:hAnsi="Times New Roman"/>
          <w:sz w:val="18"/>
          <w:szCs w:val="18"/>
          <w:color w:val="auto"/>
        </w:rPr>
        <w:t>Unless listed separately, Other loans are included in the Commercial and Industrial category for the remainder of the tables in this Note 4.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represents the contractual aging of the recorded investment in past due loans by portfolio classification of loans as of</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September 30, 2024 and December 31, 2023, net of deferred loan fees and costs: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(In Thousands)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Recorded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4"/>
              </w:rPr>
              <w:t>Total</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Investmen</w:t>
            </w:r>
          </w:p>
        </w:tc>
      </w:t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30-59</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60-89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Greater</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Financing</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 &gt; 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Days Past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Days Past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Than 90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Past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Receivabl</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Days 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40" w:type="dxa"/>
            <w:vAlign w:val="bottom"/>
          </w:tcPr>
          <w:p>
            <w:pPr>
              <w:spacing w:after="0"/>
              <w:rPr>
                <w:sz w:val="21"/>
                <w:szCs w:val="21"/>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Due</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Due</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Days</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Due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Current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3"/>
              </w:rPr>
              <w:t>es</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Accruing</w:t>
            </w:r>
          </w:p>
        </w:tc>
      </w:tr>
      <w:tr>
        <w:trPr>
          <w:trHeight w:val="237"/>
        </w:trPr>
        <w:tc>
          <w:tcPr>
            <w:tcW w:w="4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40" w:type="dxa"/>
            <w:vAlign w:val="bottom"/>
            <w:tcBorders>
              <w:right w:val="single" w:sz="8" w:color="auto"/>
            </w:tcBorders>
            <w:shd w:val="clear" w:color="auto" w:fill="CFF0FC"/>
          </w:tcPr>
          <w:p>
            <w:pPr>
              <w:spacing w:after="0"/>
              <w:rPr>
                <w:sz w:val="21"/>
                <w:szCs w:val="21"/>
                <w:color w:val="auto"/>
              </w:rPr>
            </w:pP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20" w:type="dxa"/>
            <w:vAlign w:val="bottom"/>
            <w:tcBorders>
              <w:right w:val="single" w:sz="8" w:color="auto"/>
            </w:tcBorders>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520,197</w:t>
            </w:r>
          </w:p>
        </w:tc>
        <w:tc>
          <w:tcPr>
            <w:tcW w:w="120" w:type="dxa"/>
            <w:vAlign w:val="bottom"/>
            <w:tcBorders>
              <w:right w:val="single" w:sz="8" w:color="auto"/>
            </w:tcBorders>
            <w:shd w:val="clear" w:color="auto" w:fill="CFF0FC"/>
          </w:tcPr>
          <w:p>
            <w:pPr>
              <w:spacing w:after="0"/>
              <w:rPr>
                <w:sz w:val="21"/>
                <w:szCs w:val="21"/>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$ 524,270</w:t>
            </w:r>
          </w:p>
        </w:tc>
        <w:tc>
          <w:tcPr>
            <w:tcW w:w="120" w:type="dxa"/>
            <w:vAlign w:val="bottom"/>
            <w:tcBorders>
              <w:right w:val="single" w:sz="8" w:color="auto"/>
            </w:tcBorders>
            <w:shd w:val="clear" w:color="auto" w:fill="CFF0FC"/>
          </w:tcPr>
          <w:p>
            <w:pPr>
              <w:spacing w:after="0"/>
              <w:rPr>
                <w:sz w:val="21"/>
                <w:szCs w:val="21"/>
                <w:color w:val="auto"/>
              </w:rPr>
            </w:pPr>
          </w:p>
        </w:tc>
        <w:tc>
          <w:tcPr>
            <w:tcW w:w="8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3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220,051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220,051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47"/>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137,448</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137,587</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11"/>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1,298,92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50"/>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286,315</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286,404</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3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67,826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68,050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09"/>
        </w:trPr>
        <w:tc>
          <w:tcPr>
            <w:tcW w:w="4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2,530,40</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2,535,29</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88"/>
        </w:trPr>
        <w:tc>
          <w:tcPr>
            <w:tcW w:w="4220" w:type="dxa"/>
            <w:vAlign w:val="bottom"/>
            <w:tcBorders>
              <w:bottom w:val="single" w:sz="8" w:color="CFF0FC"/>
            </w:tcBorders>
            <w:shd w:val="clear" w:color="auto" w:fill="CFF0FC"/>
          </w:tcPr>
          <w:p>
            <w:pPr>
              <w:ind w:left="18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240" w:type="dxa"/>
            <w:vAlign w:val="bottom"/>
            <w:tcBorders>
              <w:bottom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260" w:type="dxa"/>
            <w:vAlign w:val="bottom"/>
            <w:tcBorders>
              <w:bottom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820" w:type="dxa"/>
            <w:vAlign w:val="bottom"/>
            <w:tcBorders>
              <w:bottom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49"/>
        </w:trPr>
        <w:tc>
          <w:tcPr>
            <w:tcW w:w="4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(In Thousands)</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Recorded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Investmen</w:t>
            </w:r>
          </w:p>
        </w:tc>
      </w:t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4"/>
              </w:rPr>
              <w:t>Total</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 &gt;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30-59</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60-89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Greater</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Financing</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90 Days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Days Past</w:t>
            </w: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Days Past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Than 90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Past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Receivabl</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Pr>
          <w:p>
            <w:pPr>
              <w:spacing w:after="0"/>
              <w:rPr>
                <w:sz w:val="21"/>
                <w:szCs w:val="21"/>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Due</w:t>
            </w:r>
          </w:p>
        </w:tc>
        <w:tc>
          <w:tcPr>
            <w:tcW w:w="1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Due</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Days</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Due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Current</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3"/>
              </w:rPr>
              <w:t>es</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Accruing</w:t>
            </w:r>
          </w:p>
        </w:tc>
      </w:tr>
      <w:tr>
        <w:trPr>
          <w:trHeight w:val="236"/>
        </w:trPr>
        <w:tc>
          <w:tcPr>
            <w:tcW w:w="4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60" w:type="dxa"/>
            <w:vAlign w:val="bottom"/>
            <w:tcBorders>
              <w:right w:val="single" w:sz="8" w:color="auto"/>
            </w:tcBorders>
            <w:shd w:val="clear" w:color="auto" w:fill="CFF0FC"/>
          </w:tcPr>
          <w:p>
            <w:pPr>
              <w:spacing w:after="0"/>
              <w:rPr>
                <w:sz w:val="21"/>
                <w:szCs w:val="21"/>
                <w:color w:val="auto"/>
              </w:rPr>
            </w:pP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40" w:type="dxa"/>
            <w:vAlign w:val="bottom"/>
            <w:tcBorders>
              <w:right w:val="single" w:sz="8" w:color="auto"/>
            </w:tcBorders>
            <w:shd w:val="clear" w:color="auto" w:fill="CFF0FC"/>
          </w:tcPr>
          <w:p>
            <w:pPr>
              <w:spacing w:after="0"/>
              <w:rPr>
                <w:sz w:val="21"/>
                <w:szCs w:val="21"/>
                <w:color w:val="auto"/>
              </w:rPr>
            </w:pPr>
          </w:p>
        </w:tc>
        <w:tc>
          <w:tcPr>
            <w:tcW w:w="2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20" w:type="dxa"/>
            <w:vAlign w:val="bottom"/>
            <w:tcBorders>
              <w:right w:val="single" w:sz="8" w:color="auto"/>
            </w:tcBorders>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519,187</w:t>
            </w:r>
          </w:p>
        </w:tc>
        <w:tc>
          <w:tcPr>
            <w:tcW w:w="120" w:type="dxa"/>
            <w:vAlign w:val="bottom"/>
            <w:tcBorders>
              <w:right w:val="single" w:sz="8" w:color="auto"/>
            </w:tcBorders>
            <w:shd w:val="clear" w:color="auto" w:fill="CFF0FC"/>
          </w:tcPr>
          <w:p>
            <w:pPr>
              <w:spacing w:after="0"/>
              <w:rPr>
                <w:sz w:val="21"/>
                <w:szCs w:val="21"/>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$ 521,908</w:t>
            </w:r>
          </w:p>
        </w:tc>
        <w:tc>
          <w:tcPr>
            <w:tcW w:w="120" w:type="dxa"/>
            <w:vAlign w:val="bottom"/>
            <w:tcBorders>
              <w:right w:val="single" w:sz="8" w:color="auto"/>
            </w:tcBorders>
            <w:shd w:val="clear" w:color="auto" w:fill="CFF0FC"/>
          </w:tcPr>
          <w:p>
            <w:pPr>
              <w:spacing w:after="0"/>
              <w:rPr>
                <w:sz w:val="21"/>
                <w:szCs w:val="21"/>
                <w:color w:val="auto"/>
              </w:rPr>
            </w:pPr>
          </w:p>
        </w:tc>
        <w:tc>
          <w:tcPr>
            <w:tcW w:w="8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3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219,995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223,479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47"/>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128,654</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132,763</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11"/>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1,334,44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1,335,07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50"/>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284,550</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284,894</w:t>
            </w:r>
          </w:p>
        </w:tc>
        <w:tc>
          <w:tcPr>
            <w:tcW w:w="1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21"/>
                <w:szCs w:val="21"/>
                <w:color w:val="auto"/>
              </w:rPr>
            </w:pPr>
          </w:p>
        </w:tc>
      </w:tr>
      <w:tr>
        <w:trPr>
          <w:trHeight w:val="23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80,072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80,353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r>
      <w:tr>
        <w:trPr>
          <w:trHeight w:val="209"/>
        </w:trPr>
        <w:tc>
          <w:tcPr>
            <w:tcW w:w="4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2,566,89</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2,578,47</w:t>
            </w:r>
          </w:p>
        </w:tc>
        <w:tc>
          <w:tcPr>
            <w:tcW w:w="1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88"/>
        </w:trPr>
        <w:tc>
          <w:tcPr>
            <w:tcW w:w="4220" w:type="dxa"/>
            <w:vAlign w:val="bottom"/>
            <w:tcBorders>
              <w:bottom w:val="single" w:sz="8" w:color="CFF0FC"/>
            </w:tcBorders>
            <w:shd w:val="clear" w:color="auto" w:fill="CFF0FC"/>
          </w:tcPr>
          <w:p>
            <w:pPr>
              <w:ind w:left="18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60" w:type="dxa"/>
            <w:vAlign w:val="bottom"/>
            <w:tcBorders>
              <w:bottom w:val="single" w:sz="8" w:color="CFF0FC"/>
              <w:right w:val="single" w:sz="8" w:color="auto"/>
            </w:tcBorders>
            <w:shd w:val="clear" w:color="auto" w:fill="CFF0FC"/>
          </w:tcPr>
          <w:p>
            <w:pPr>
              <w:spacing w:after="0"/>
              <w:rPr>
                <w:sz w:val="24"/>
                <w:szCs w:val="24"/>
                <w:color w:val="auto"/>
              </w:rPr>
            </w:pPr>
          </w:p>
        </w:tc>
        <w:tc>
          <w:tcPr>
            <w:tcW w:w="240" w:type="dxa"/>
            <w:vAlign w:val="bottom"/>
            <w:tcBorders>
              <w:bottom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260" w:type="dxa"/>
            <w:vAlign w:val="bottom"/>
            <w:tcBorders>
              <w:bottom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820" w:type="dxa"/>
            <w:vAlign w:val="bottom"/>
            <w:tcBorders>
              <w:bottom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20"/>
        </w:trPr>
        <w:tc>
          <w:tcPr>
            <w:tcW w:w="4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-3693795</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-3676650</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-3693795</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-3676650</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-3693795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-3676650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-3693795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-3676650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-3693795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-3676650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-3693795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-3676650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-3693795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-864870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-848360</wp:posOffset>
            </wp:positionV>
            <wp:extent cx="774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-864870</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-848360</wp:posOffset>
            </wp:positionV>
            <wp:extent cx="774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-864870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-848360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-864870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-848360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-864870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-848360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-864870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-848360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the amortized cost of nonaccrual loans by class of loans as of September 30, 2024 and as of December 31, 2023:</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2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2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2"/>
        </w:trPr>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Nonaccrual</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Loans Past</w:t>
            </w:r>
          </w:p>
        </w:tc>
        <w:tc>
          <w:tcPr>
            <w:tcW w:w="80" w:type="dxa"/>
            <w:vAlign w:val="bottom"/>
          </w:tcPr>
          <w:p>
            <w:pPr>
              <w:spacing w:after="0"/>
              <w:rPr>
                <w:sz w:val="20"/>
                <w:szCs w:val="20"/>
                <w:color w:val="auto"/>
              </w:rPr>
            </w:pPr>
          </w:p>
        </w:tc>
      </w:tr>
      <w:tr>
        <w:trPr>
          <w:trHeight w:val="238"/>
        </w:trPr>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With No</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Due Over</w:t>
            </w:r>
          </w:p>
        </w:tc>
      </w:tr>
      <w:tr>
        <w:trPr>
          <w:trHeight w:val="243"/>
        </w:trPr>
        <w:tc>
          <w:tcPr>
            <w:tcW w:w="2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Allowance</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89 Days</w:t>
            </w:r>
          </w:p>
        </w:tc>
      </w:tr>
      <w:tr>
        <w:trPr>
          <w:trHeight w:val="250"/>
        </w:trPr>
        <w:tc>
          <w:tcPr>
            <w:tcW w:w="28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for Credit Loss</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Nonaccrual</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Still Accruing</w:t>
            </w:r>
          </w:p>
        </w:tc>
        <w:tc>
          <w:tcPr>
            <w:tcW w:w="80" w:type="dxa"/>
            <w:vAlign w:val="bottom"/>
          </w:tcPr>
          <w:p>
            <w:pPr>
              <w:spacing w:after="0"/>
              <w:rPr>
                <w:sz w:val="21"/>
                <w:szCs w:val="21"/>
                <w:color w:val="auto"/>
              </w:rPr>
            </w:pPr>
          </w:p>
        </w:tc>
      </w:tr>
      <w:tr>
        <w:trPr>
          <w:trHeight w:val="243"/>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3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3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4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77"/>
        </w:trPr>
        <w:tc>
          <w:tcPr>
            <w:tcW w:w="280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4"/>
                <w:szCs w:val="24"/>
                <w:color w:val="auto"/>
              </w:rPr>
            </w:pPr>
          </w:p>
        </w:tc>
      </w:tr>
      <w:tr>
        <w:trPr>
          <w:trHeight w:val="649"/>
        </w:trPr>
        <w:tc>
          <w:tcPr>
            <w:tcW w:w="2800" w:type="dxa"/>
            <w:vAlign w:val="bottom"/>
            <w:tcBorders>
              <w:top w:val="single" w:sz="8" w:color="CFF0FC"/>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FF0FC"/>
              <w:bottom w:val="single" w:sz="8" w:color="auto"/>
            </w:tcBorders>
          </w:tcPr>
          <w:p>
            <w:pPr>
              <w:spacing w:after="0"/>
              <w:rPr>
                <w:sz w:val="24"/>
                <w:szCs w:val="24"/>
                <w:color w:val="auto"/>
              </w:rPr>
            </w:pPr>
          </w:p>
        </w:tc>
        <w:tc>
          <w:tcPr>
            <w:tcW w:w="200" w:type="dxa"/>
            <w:vAlign w:val="bottom"/>
            <w:tcBorders>
              <w:top w:val="single" w:sz="8" w:color="CFF0FC"/>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top w:val="single" w:sz="8" w:color="CFF0FC"/>
              <w:bottom w:val="single" w:sz="8" w:color="auto"/>
            </w:tcBorders>
          </w:tcPr>
          <w:p>
            <w:pPr>
              <w:spacing w:after="0"/>
              <w:rPr>
                <w:sz w:val="24"/>
                <w:szCs w:val="24"/>
                <w:color w:val="auto"/>
              </w:rPr>
            </w:pPr>
          </w:p>
        </w:tc>
        <w:tc>
          <w:tcPr>
            <w:tcW w:w="160" w:type="dxa"/>
            <w:vAlign w:val="bottom"/>
            <w:tcBorders>
              <w:top w:val="single" w:sz="8" w:color="CFF0FC"/>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239"/>
        </w:trPr>
        <w:tc>
          <w:tcPr>
            <w:tcW w:w="2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December 31, 2023</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2"/>
        </w:trPr>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Nonaccrual</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Loans Past</w:t>
            </w:r>
          </w:p>
        </w:tc>
        <w:tc>
          <w:tcPr>
            <w:tcW w:w="80" w:type="dxa"/>
            <w:vAlign w:val="bottom"/>
          </w:tcPr>
          <w:p>
            <w:pPr>
              <w:spacing w:after="0"/>
              <w:rPr>
                <w:sz w:val="20"/>
                <w:szCs w:val="20"/>
                <w:color w:val="auto"/>
              </w:rPr>
            </w:pPr>
          </w:p>
        </w:tc>
      </w:tr>
      <w:tr>
        <w:trPr>
          <w:trHeight w:val="238"/>
        </w:trPr>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With No</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Due Over</w:t>
            </w:r>
          </w:p>
        </w:tc>
      </w:tr>
      <w:tr>
        <w:trPr>
          <w:trHeight w:val="243"/>
        </w:trPr>
        <w:tc>
          <w:tcPr>
            <w:tcW w:w="2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Allowance</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89 Days</w:t>
            </w:r>
          </w:p>
        </w:tc>
      </w:tr>
      <w:tr>
        <w:trPr>
          <w:trHeight w:val="250"/>
        </w:trPr>
        <w:tc>
          <w:tcPr>
            <w:tcW w:w="28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for Credit Loss</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Nonaccrual</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Still Accruing</w:t>
            </w:r>
          </w:p>
        </w:tc>
        <w:tc>
          <w:tcPr>
            <w:tcW w:w="80" w:type="dxa"/>
            <w:vAlign w:val="bottom"/>
          </w:tcPr>
          <w:p>
            <w:pPr>
              <w:spacing w:after="0"/>
              <w:rPr>
                <w:sz w:val="21"/>
                <w:szCs w:val="21"/>
                <w:color w:val="auto"/>
              </w:rPr>
            </w:pPr>
          </w:p>
        </w:tc>
      </w:tr>
      <w:tr>
        <w:trPr>
          <w:trHeight w:val="243"/>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3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3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4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76"/>
        </w:trPr>
        <w:tc>
          <w:tcPr>
            <w:tcW w:w="2800" w:type="dxa"/>
            <w:vAlign w:val="bottom"/>
            <w:tcBorders>
              <w:bottom w:val="single" w:sz="8" w:color="CFF0FC"/>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22,169</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22,353</w:t>
            </w:r>
          </w:p>
        </w:tc>
        <w:tc>
          <w:tcPr>
            <w:tcW w:w="24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-2365375</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-2348230</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-2365375</wp:posOffset>
            </wp:positionV>
            <wp:extent cx="431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-2348230</wp:posOffset>
            </wp:positionV>
            <wp:extent cx="431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-2365375</wp:posOffset>
            </wp:positionV>
            <wp:extent cx="431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-2348230</wp:posOffset>
            </wp:positionV>
            <wp:extent cx="431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-24765</wp:posOffset>
            </wp:positionV>
            <wp:extent cx="514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514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431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431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Two borrower relationships resulted in a decrease to nonaccrual totals of $15.9 million in the agricultural real estate portfolio and $4.4 million in the agricultural portfolio as compared to December 31, 2023. The Company recognized interest income of $28 thousand for the three months ended September 30, 2024 on nonaccrual loans and $69 thousand for the first nine months of 2024. The Company recognized interest income of $74 thousand and $210 thousand on nonaccrual loans for the three and nine months ending September 30, 2023 respectively.</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Following are the characteristics and underwriting criteria for each major type of loan the Bank offers:</w:t>
      </w:r>
    </w:p>
    <w:p>
      <w:pPr>
        <w:spacing w:after="0" w:line="198"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 factors.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2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the future contracts. The risk related to weather is often mitigated by requiring crop insurance.</w:t>
      </w:r>
    </w:p>
    <w:p>
      <w:pPr>
        <w:spacing w:after="0" w:line="15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3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Commercial and Industrial: Loans to proprietorships, partnerships, or corporations to provide temporary working capital and seasonal loans as well as long term loans for capital asset acquisition. Risks include adequacy of cash flow, reasonableness of</w:t>
      </w:r>
    </w:p>
    <w:p>
      <w:pPr>
        <w:sectPr>
          <w:pgSz w:w="11900" w:h="16838" w:orient="portrait"/>
          <w:cols w:equalWidth="0" w:num="1">
            <w:col w:w="11240"/>
          </w:cols>
          <w:pgMar w:left="320" w:top="769" w:right="339" w:bottom="1440" w:gutter="0" w:footer="0" w:header="0"/>
        </w:sectPr>
      </w:pP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pacing w:after="0" w:line="14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Consumer: Funding for individual and family purposes. Success in repayment is subject to borrower’s income, debt level, character in fulfilling payment obligations, employment, and other factors.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Other: Primarily funds public improvements in the Bank’s service area. Repayment ability is based on the continuance of the taxation revenue as the source of repayment.</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Bank uses a nine tier risk rating system to grade its loans. The grade of a loan may change during the life of the loan.</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risk ratings are described as follows.</w:t>
      </w:r>
    </w:p>
    <w:p>
      <w:pPr>
        <w:spacing w:after="0" w:line="117" w:lineRule="exact"/>
        <w:rPr>
          <w:sz w:val="20"/>
          <w:szCs w:val="20"/>
          <w:color w:val="auto"/>
        </w:rPr>
      </w:pPr>
    </w:p>
    <w:p>
      <w:pPr>
        <w:ind w:left="2260" w:hanging="755"/>
        <w:spacing w:after="0"/>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(0) Unclassified. Any loan which has not been assigned a classification.</w:t>
      </w:r>
    </w:p>
    <w:p>
      <w:pPr>
        <w:spacing w:after="0" w:line="117" w:lineRule="exact"/>
        <w:rPr>
          <w:rFonts w:ascii="Times New Roman" w:cs="Times New Roman" w:eastAsia="Times New Roman" w:hAnsi="Times New Roman"/>
          <w:sz w:val="18"/>
          <w:szCs w:val="18"/>
          <w:color w:val="auto"/>
        </w:rPr>
      </w:pPr>
    </w:p>
    <w:p>
      <w:pPr>
        <w:jc w:val="both"/>
        <w:ind w:left="2260" w:hanging="755"/>
        <w:spacing w:after="0" w:line="255"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Excellent. Credit to premier customers having the highest credit rating based on an extremely strong financial condition, which compares favorably with industry standards (upper quartile of RMA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rate is summarized by high liquidity, minimum risk, strong ratios, and low handling costs.</w:t>
      </w:r>
    </w:p>
    <w:p>
      <w:pPr>
        <w:spacing w:after="0" w:line="80" w:lineRule="exact"/>
        <w:rPr>
          <w:rFonts w:ascii="Times New Roman" w:cs="Times New Roman" w:eastAsia="Times New Roman" w:hAnsi="Times New Roman"/>
          <w:sz w:val="18"/>
          <w:szCs w:val="18"/>
          <w:color w:val="auto"/>
        </w:rPr>
      </w:pPr>
    </w:p>
    <w:p>
      <w:pPr>
        <w:jc w:val="both"/>
        <w:ind w:left="2260" w:hanging="755"/>
        <w:spacing w:after="0" w:line="258"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Good. Desirable loans of somewhat less stature than rate 1, but with strong financial statements. Loan supported by financial statements containing strong balance sheets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75" w:lineRule="exact"/>
        <w:rPr>
          <w:rFonts w:ascii="Times New Roman" w:cs="Times New Roman" w:eastAsia="Times New Roman" w:hAnsi="Times New Roman"/>
          <w:sz w:val="18"/>
          <w:szCs w:val="18"/>
          <w:color w:val="auto"/>
        </w:rPr>
      </w:pPr>
    </w:p>
    <w:p>
      <w:pPr>
        <w:jc w:val="both"/>
        <w:ind w:left="2260" w:hanging="755"/>
        <w:spacing w:after="0" w:line="261"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There may be some weakness but with offsetting features of other support readily available. Loans that are meeting the terms of repayment.</w:t>
      </w:r>
    </w:p>
    <w:p>
      <w:pPr>
        <w:spacing w:after="0" w:line="71" w:lineRule="exact"/>
        <w:rPr>
          <w:rFonts w:ascii="Times New Roman" w:cs="Times New Roman" w:eastAsia="Times New Roman" w:hAnsi="Times New Roman"/>
          <w:sz w:val="18"/>
          <w:szCs w:val="18"/>
          <w:color w:val="auto"/>
        </w:rPr>
      </w:pPr>
    </w:p>
    <w:p>
      <w:pPr>
        <w:ind w:left="2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may be rated 3 when there is no recent information on which to base a current risk evaluation and the following conditions apply:</w:t>
      </w:r>
    </w:p>
    <w:p>
      <w:pPr>
        <w:spacing w:after="0" w:line="53" w:lineRule="exact"/>
        <w:rPr>
          <w:rFonts w:ascii="Times New Roman" w:cs="Times New Roman" w:eastAsia="Times New Roman" w:hAnsi="Times New Roman"/>
          <w:sz w:val="18"/>
          <w:szCs w:val="18"/>
          <w:color w:val="auto"/>
        </w:rPr>
      </w:pP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the loan was properly underwritten and did not possess an unwarranted level of credit risk;</w:t>
      </w:r>
    </w:p>
    <w:p>
      <w:pPr>
        <w:spacing w:after="0" w:line="117"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the loan was secured with collateral possessing a loan-to-value adequate to protect The Bank from loss;</w:t>
      </w:r>
    </w:p>
    <w:p>
      <w:pPr>
        <w:spacing w:after="0" w:line="27"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exhibited two or more years of satisfactory repayment with a reasonable reduction of the principal balance;</w:t>
      </w:r>
    </w:p>
    <w:p>
      <w:pPr>
        <w:spacing w:after="0" w:line="9" w:lineRule="exact"/>
        <w:rPr>
          <w:rFonts w:ascii="Times New Roman" w:cs="Times New Roman" w:eastAsia="Times New Roman" w:hAnsi="Times New Roman"/>
          <w:sz w:val="18"/>
          <w:szCs w:val="18"/>
          <w:color w:val="auto"/>
        </w:rPr>
      </w:pPr>
    </w:p>
    <w:p>
      <w:pPr>
        <w:jc w:val="both"/>
        <w:ind w:left="2620" w:hanging="366"/>
        <w:spacing w:after="0" w:line="253" w:lineRule="auto"/>
        <w:tabs>
          <w:tab w:leader="none" w:pos="2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is observed, a lower risk rating is warranted.</w:t>
      </w:r>
    </w:p>
    <w:p>
      <w:pPr>
        <w:spacing w:after="0" w:line="80" w:lineRule="exact"/>
        <w:rPr>
          <w:rFonts w:ascii="Times New Roman" w:cs="Times New Roman" w:eastAsia="Times New Roman" w:hAnsi="Times New Roman"/>
          <w:sz w:val="18"/>
          <w:szCs w:val="18"/>
          <w:color w:val="auto"/>
        </w:rPr>
      </w:pPr>
    </w:p>
    <w:p>
      <w:pPr>
        <w:jc w:val="both"/>
        <w:ind w:left="2260" w:hanging="755"/>
        <w:spacing w:after="0" w:line="258"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(4) Satisfactory / Monitored. A “4” (Satisfactory/Monitored) risk rating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75" w:lineRule="exact"/>
        <w:rPr>
          <w:rFonts w:ascii="Times New Roman" w:cs="Times New Roman" w:eastAsia="Times New Roman" w:hAnsi="Times New Roman"/>
          <w:sz w:val="18"/>
          <w:szCs w:val="18"/>
          <w:color w:val="auto"/>
        </w:rPr>
      </w:pPr>
    </w:p>
    <w:p>
      <w:pPr>
        <w:jc w:val="both"/>
        <w:ind w:left="2260" w:hanging="755"/>
        <w:spacing w:after="0" w:line="258"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(5) Special Mention. Loans that possess some credit deficiency or potential weakness which deserve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241" w:lineRule="exact"/>
        <w:rPr>
          <w:sz w:val="20"/>
          <w:szCs w:val="20"/>
          <w:color w:val="auto"/>
        </w:rPr>
      </w:pPr>
    </w:p>
    <w:p>
      <w:pPr>
        <w:ind w:left="2260" w:hanging="755"/>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(6) Substandard. One or more of the following characteristics may be exhibited in loans classified substandard:</w:t>
      </w:r>
    </w:p>
    <w:p>
      <w:pPr>
        <w:spacing w:after="0" w:line="117" w:lineRule="exact"/>
        <w:rPr>
          <w:rFonts w:ascii="Times New Roman" w:cs="Times New Roman" w:eastAsia="Times New Roman" w:hAnsi="Times New Roman"/>
          <w:sz w:val="18"/>
          <w:szCs w:val="18"/>
          <w:color w:val="auto"/>
        </w:rPr>
      </w:pPr>
    </w:p>
    <w:p>
      <w:pPr>
        <w:jc w:val="both"/>
        <w:ind w:left="2620" w:hanging="366"/>
        <w:spacing w:after="0" w:line="257"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1"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inadequately protected by the current net worth and paying capacity of the borrower.</w:t>
      </w:r>
    </w:p>
    <w:p>
      <w:pPr>
        <w:spacing w:after="0" w:line="9" w:lineRule="exact"/>
        <w:rPr>
          <w:rFonts w:ascii="Times New Roman" w:cs="Times New Roman" w:eastAsia="Times New Roman" w:hAnsi="Times New Roman"/>
          <w:sz w:val="18"/>
          <w:szCs w:val="18"/>
          <w:color w:val="auto"/>
        </w:rPr>
      </w:pP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repayment is weakened, and The Bank is forced to rely on a secondary source of repayment such as collateral liquidation or guarantees.</w:t>
      </w: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characterized by the distinct possibility that The Bank will sustain some loss if deficiencies are not corrected.</w:t>
      </w:r>
    </w:p>
    <w:p>
      <w:pPr>
        <w:spacing w:after="0" w:line="9"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courses of action are needed to maintain a high probability of repayment.</w:t>
      </w:r>
    </w:p>
    <w:p>
      <w:pPr>
        <w:spacing w:after="0" w:line="9" w:lineRule="exact"/>
        <w:rPr>
          <w:rFonts w:ascii="Times New Roman" w:cs="Times New Roman" w:eastAsia="Times New Roman" w:hAnsi="Times New Roman"/>
          <w:sz w:val="18"/>
          <w:szCs w:val="18"/>
          <w:color w:val="auto"/>
        </w:rPr>
      </w:pP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generating enough cash flow to repay loan principal; however, continues to make interest payments.</w:t>
      </w: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forced into a subordinate position or unsecured collateral position due to flaws in documentation.</w:t>
      </w:r>
    </w:p>
    <w:p>
      <w:pPr>
        <w:spacing w:after="0" w:line="9" w:lineRule="exact"/>
        <w:rPr>
          <w:rFonts w:ascii="Times New Roman" w:cs="Times New Roman" w:eastAsia="Times New Roman" w:hAnsi="Times New Roman"/>
          <w:sz w:val="18"/>
          <w:szCs w:val="18"/>
          <w:color w:val="auto"/>
        </w:rPr>
      </w:pP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been restructured so that payment schedules, terms and collateral represent concessions to the borrower when compared to the normal loan terms.</w:t>
      </w: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seriously contemplating foreclosure or legal action due to the apparent deterioration in the loan.</w:t>
      </w:r>
    </w:p>
    <w:p>
      <w:pPr>
        <w:spacing w:after="0" w:line="9"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significant deterioration in the market conditions and the borrower is highly vulnerable to these conditions.</w:t>
      </w:r>
    </w:p>
    <w:p>
      <w:pPr>
        <w:spacing w:after="0" w:line="98"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(7) Doubtful. One or more of the following characteristics may be exhibited in loans classified Doubtful:</w:t>
      </w:r>
    </w:p>
    <w:p>
      <w:pPr>
        <w:spacing w:after="0" w:line="27" w:lineRule="exact"/>
        <w:rPr>
          <w:rFonts w:ascii="Times New Roman" w:cs="Times New Roman" w:eastAsia="Times New Roman" w:hAnsi="Times New Roman"/>
          <w:sz w:val="18"/>
          <w:szCs w:val="18"/>
          <w:color w:val="auto"/>
        </w:rPr>
      </w:pP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all of the weaknesses of those classified as Substandard. Additionally, however, these weaknesses make collection or liquidation in full based on existing conditions improbable.</w:t>
      </w:r>
    </w:p>
    <w:p>
      <w:pPr>
        <w:ind w:left="2620" w:hanging="366"/>
        <w:spacing w:after="0" w:line="250"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repayment is gone, and there is considerable doubt as to the quality of the secondary source of repayment.</w:t>
      </w:r>
    </w:p>
    <w:p>
      <w:pPr>
        <w:jc w:val="both"/>
        <w:ind w:left="2620" w:hanging="366"/>
        <w:spacing w:after="0" w:line="255" w:lineRule="auto"/>
        <w:tabs>
          <w:tab w:leader="none" w:pos="2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77" w:lineRule="exact"/>
        <w:rPr>
          <w:rFonts w:ascii="Times New Roman" w:cs="Times New Roman" w:eastAsia="Times New Roman" w:hAnsi="Times New Roman"/>
          <w:sz w:val="18"/>
          <w:szCs w:val="18"/>
          <w:color w:val="auto"/>
        </w:rPr>
      </w:pPr>
    </w:p>
    <w:p>
      <w:pPr>
        <w:jc w:val="both"/>
        <w:ind w:left="2260" w:hanging="755"/>
        <w:spacing w:after="0" w:line="261"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risk category of loans by portfolio class and year of origination, net of deferred fees and costs, based on the most recent analysis performed as of September 30, 2024 and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September 30, 2024</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ng</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21"/>
                <w:szCs w:val="21"/>
                <w:color w:val="auto"/>
              </w:rPr>
            </w:pP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Loans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00" w:type="dxa"/>
            <w:vAlign w:val="bottom"/>
            <w:gridSpan w:val="14"/>
            <w:vMerge w:val="restart"/>
          </w:tcPr>
          <w:p>
            <w:pPr>
              <w:ind w:left="6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Amortiz</w:t>
            </w:r>
          </w:p>
        </w:tc>
        <w:tc>
          <w:tcPr>
            <w:tcW w:w="28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14"/>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2"/>
              </w:rPr>
              <w:t>Term</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3"/>
              </w:rPr>
              <w:t>ed</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20"/>
                <w:szCs w:val="20"/>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205"/>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w w:val="96"/>
              </w:rPr>
              <w:t>Cost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2022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Prior</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Basis</w:t>
            </w:r>
          </w:p>
        </w:tc>
        <w:tc>
          <w:tcPr>
            <w:tcW w:w="280" w:type="dxa"/>
            <w:vAlign w:val="bottom"/>
          </w:tcPr>
          <w:p>
            <w:pPr>
              <w:spacing w:after="0"/>
              <w:rPr>
                <w:sz w:val="20"/>
                <w:szCs w:val="20"/>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Term</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tcBorders>
              <w:top w:val="single" w:sz="8" w:color="auto"/>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48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112,01</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462,13</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520,76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32,347</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67,066</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81,338</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91,901</w:t>
            </w:r>
          </w:p>
        </w:tc>
        <w:tc>
          <w:tcPr>
            <w:tcW w:w="1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77,460</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58,545</w:t>
            </w:r>
          </w:p>
        </w:tc>
        <w:tc>
          <w:tcPr>
            <w:tcW w:w="4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Consumer Real</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113,26</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465,46</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524,27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32,347</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67,066</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81,987</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93,107</w:t>
            </w: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77,689</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58,717</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1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Gross charge-offs YTD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213,60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23,600</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24,451</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80,510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Agricultural Real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219,95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23,600</w:t>
            </w:r>
          </w:p>
        </w:tc>
        <w:tc>
          <w:tcPr>
            <w:tcW w:w="18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24,451</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80,529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134,83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15,845</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1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49,887</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84,934</w:t>
            </w:r>
          </w:p>
        </w:tc>
        <w:tc>
          <w:tcPr>
            <w:tcW w:w="4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w w:val="96"/>
              </w:rPr>
              <w:t>137,58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20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Agricultural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15,845</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51,081</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86,495</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-4439920</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-4422775</wp:posOffset>
            </wp:positionV>
            <wp:extent cx="768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-4439920</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-4422775</wp:posOffset>
            </wp:positionV>
            <wp:extent cx="774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-4439920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-4422775</wp:posOffset>
            </wp:positionV>
            <wp:extent cx="768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-4439920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-4422775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-4439920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-4422775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-4439920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-4422775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-4439920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-4422775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-4439920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-4422775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-4439920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-4422775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-4439920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-4422775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-3034030</wp:posOffset>
            </wp:positionV>
            <wp:extent cx="768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-3034030</wp:posOffset>
            </wp:positionV>
            <wp:extent cx="7747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-3034030</wp:posOffset>
            </wp:positionV>
            <wp:extent cx="768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-3034030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-3034030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-3034030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-3034030</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-3034030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-3034030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-2553970</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-2553970</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-2553970</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-2553970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-2553970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-2553970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-2553970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-2553970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-2553970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-1028065</wp:posOffset>
            </wp:positionV>
            <wp:extent cx="768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-1010920</wp:posOffset>
            </wp:positionV>
            <wp:extent cx="768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-1028065</wp:posOffset>
            </wp:positionV>
            <wp:extent cx="7747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-1010920</wp:posOffset>
            </wp:positionV>
            <wp:extent cx="774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-1028065</wp:posOffset>
            </wp:positionV>
            <wp:extent cx="7683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-1010920</wp:posOffset>
            </wp:positionV>
            <wp:extent cx="7683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-1028065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-1010920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-1028065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-1010920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-1028065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-1010920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-1028065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-1010920</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-1028065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-1028065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-1010920</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83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2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September 30, 2024</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ng</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21"/>
                <w:szCs w:val="21"/>
                <w:color w:val="auto"/>
              </w:rPr>
            </w:pP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Loans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00" w:type="dxa"/>
            <w:vAlign w:val="bottom"/>
            <w:gridSpan w:val="14"/>
            <w:vMerge w:val="restart"/>
          </w:tcPr>
          <w:p>
            <w:pPr>
              <w:ind w:left="6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Amortiz</w:t>
            </w:r>
          </w:p>
        </w:tc>
        <w:tc>
          <w:tcPr>
            <w:tcW w:w="28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14"/>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2"/>
              </w:rPr>
              <w:t>Term</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3"/>
              </w:rPr>
              <w:t>ed</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ed</w:t>
            </w:r>
          </w:p>
        </w:tc>
        <w:tc>
          <w:tcPr>
            <w:tcW w:w="280" w:type="dxa"/>
            <w:vAlign w:val="bottom"/>
          </w:tcPr>
          <w:p>
            <w:pPr>
              <w:spacing w:after="0"/>
              <w:rPr>
                <w:sz w:val="20"/>
                <w:szCs w:val="20"/>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205"/>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w w:val="96"/>
              </w:rPr>
              <w:t>Cost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Prior</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Basis</w:t>
            </w:r>
          </w:p>
        </w:tc>
        <w:tc>
          <w:tcPr>
            <w:tcW w:w="280" w:type="dxa"/>
            <w:vAlign w:val="bottom"/>
          </w:tcPr>
          <w:p>
            <w:pPr>
              <w:spacing w:after="0"/>
              <w:rPr>
                <w:sz w:val="20"/>
                <w:szCs w:val="20"/>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Term</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Borders>
              <w:top w:val="single" w:sz="8" w:color="auto"/>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48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212,46</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418,16</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221,12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210,30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70,907</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47,692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47,692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Commercial Real</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430,87</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221,12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211,50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70,907</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1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Gross charge-offs YTD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159,23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16,616</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15,185</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96,175</w:t>
            </w: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Commercial &amp;</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160,46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16,810</w:t>
            </w:r>
          </w:p>
        </w:tc>
        <w:tc>
          <w:tcPr>
            <w:tcW w:w="18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15,185</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99,875</w:t>
            </w: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1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charge-offs YTD $</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1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25,916</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25,916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Other</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25,916</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25,916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-4165600</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-4148455</wp:posOffset>
            </wp:positionV>
            <wp:extent cx="768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-4165600</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-4148455</wp:posOffset>
            </wp:positionV>
            <wp:extent cx="774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-4165600</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-4148455</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-4165600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-4148455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-4165600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-4148455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-4165600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-4148455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-4165600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-4148455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-4165600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-4148455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-4165600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-4148455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-4165600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-4148455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-2759710</wp:posOffset>
            </wp:positionV>
            <wp:extent cx="768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-2759710</wp:posOffset>
            </wp:positionV>
            <wp:extent cx="774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-2759710</wp:posOffset>
            </wp:positionV>
            <wp:extent cx="768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-2759710</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-2759710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-2759710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-2759710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-2759710</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-2759710</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-2279650</wp:posOffset>
            </wp:positionV>
            <wp:extent cx="768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-2279650</wp:posOffset>
            </wp:positionV>
            <wp:extent cx="774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-2279650</wp:posOffset>
            </wp:positionV>
            <wp:extent cx="768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-2279650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-2279650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-2279650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-2279650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-2279650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-2279650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-1028065</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-1010920</wp:posOffset>
            </wp:positionV>
            <wp:extent cx="7683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-1028065</wp:posOffset>
            </wp:positionV>
            <wp:extent cx="774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-1010920</wp:posOffset>
            </wp:positionV>
            <wp:extent cx="7747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-1028065</wp:posOffset>
            </wp:positionV>
            <wp:extent cx="768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-1010920</wp:posOffset>
            </wp:positionV>
            <wp:extent cx="7683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-1028065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-1010920</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-1028065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-1010920</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-1028065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-1010920</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-1028065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-1010920</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-1028065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-1028065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-1010920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83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2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December 31, 2023</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ng</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21"/>
                <w:szCs w:val="21"/>
                <w:color w:val="auto"/>
              </w:rPr>
            </w:pPr>
          </w:p>
        </w:tc>
        <w:tc>
          <w:tcPr>
            <w:tcW w:w="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Loans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00" w:type="dxa"/>
            <w:vAlign w:val="bottom"/>
            <w:gridSpan w:val="14"/>
            <w:vMerge w:val="restart"/>
          </w:tcPr>
          <w:p>
            <w:pPr>
              <w:ind w:left="6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Amortiz</w:t>
            </w:r>
          </w:p>
        </w:tc>
        <w:tc>
          <w:tcPr>
            <w:tcW w:w="28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14"/>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2"/>
              </w:rPr>
              <w:t>Term</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3"/>
              </w:rPr>
              <w:t>ed</w:t>
            </w:r>
          </w:p>
        </w:tc>
        <w:tc>
          <w:tcPr>
            <w:tcW w:w="280" w:type="dxa"/>
            <w:vAlign w:val="bottom"/>
          </w:tcPr>
          <w:p>
            <w:pPr>
              <w:spacing w:after="0"/>
              <w:rPr>
                <w:sz w:val="20"/>
                <w:szCs w:val="20"/>
                <w:color w:val="auto"/>
              </w:rPr>
            </w:pPr>
          </w:p>
        </w:tc>
        <w:tc>
          <w:tcPr>
            <w:tcW w:w="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3"/>
              </w:rPr>
              <w:t>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205"/>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w w:val="96"/>
              </w:rPr>
              <w:t>Cost</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2021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2020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Prior</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Basis</w:t>
            </w:r>
          </w:p>
        </w:tc>
        <w:tc>
          <w:tcPr>
            <w:tcW w:w="280" w:type="dxa"/>
            <w:vAlign w:val="bottom"/>
          </w:tcPr>
          <w:p>
            <w:pPr>
              <w:spacing w:after="0"/>
              <w:rPr>
                <w:sz w:val="20"/>
                <w:szCs w:val="20"/>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Term</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tcBorders>
              <w:top w:val="single" w:sz="8" w:color="auto"/>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465,40</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518,31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77,298</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88,695</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90,139</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82,680</w:t>
            </w:r>
          </w:p>
        </w:tc>
        <w:tc>
          <w:tcPr>
            <w:tcW w:w="1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32,302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94,294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52,904</w:t>
            </w:r>
          </w:p>
        </w:tc>
        <w:tc>
          <w:tcPr>
            <w:tcW w:w="8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Consumer Real</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468,99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521,90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78,526</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88,996</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90,697</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82,843</w:t>
            </w: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32,548</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95,380</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52,918</w:t>
            </w:r>
          </w:p>
        </w:tc>
        <w:tc>
          <w:tcPr>
            <w:tcW w:w="2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205,85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18,456</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68,651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16,147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16,147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Agricultural Real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223,38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26,060</w:t>
            </w:r>
          </w:p>
        </w:tc>
        <w:tc>
          <w:tcPr>
            <w:tcW w:w="18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18,864</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72,516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126,50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17,787</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56,685</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69,824</w:t>
            </w:r>
          </w:p>
        </w:tc>
        <w:tc>
          <w:tcPr>
            <w:tcW w:w="8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w w:val="96"/>
              </w:rPr>
              <w:t>132,76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20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Agricultural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18,339</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21,585</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10,477</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61,111</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71,652</w:t>
            </w:r>
          </w:p>
        </w:tc>
        <w:tc>
          <w:tcPr>
            <w:tcW w:w="2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3"/>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-4439920</wp:posOffset>
            </wp:positionV>
            <wp:extent cx="768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-4422775</wp:posOffset>
            </wp:positionV>
            <wp:extent cx="768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-4439920</wp:posOffset>
            </wp:positionV>
            <wp:extent cx="7747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-4422775</wp:posOffset>
            </wp:positionV>
            <wp:extent cx="774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-4439920</wp:posOffset>
            </wp:positionV>
            <wp:extent cx="768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-4422775</wp:posOffset>
            </wp:positionV>
            <wp:extent cx="768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-4439920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-4422775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-4439920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-4422775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-4439920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-4422775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-4439920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-4422775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-4439920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-4422775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-4439920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-4422775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-4439920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-4422775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-3034030</wp:posOffset>
            </wp:positionV>
            <wp:extent cx="7683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-3034030</wp:posOffset>
            </wp:positionV>
            <wp:extent cx="7747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-3034030</wp:posOffset>
            </wp:positionV>
            <wp:extent cx="7683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-3034030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-3034030</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-3034030</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-3034030</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-3034030</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-3034030</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-2553970</wp:posOffset>
            </wp:positionV>
            <wp:extent cx="768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-2553970</wp:posOffset>
            </wp:positionV>
            <wp:extent cx="7747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-2553970</wp:posOffset>
            </wp:positionV>
            <wp:extent cx="768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-2553970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-2553970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-2553970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-2553970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-2553970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-2553970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-1028065</wp:posOffset>
            </wp:positionV>
            <wp:extent cx="7683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-1010920</wp:posOffset>
            </wp:positionV>
            <wp:extent cx="7683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-1028065</wp:posOffset>
            </wp:positionV>
            <wp:extent cx="7747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-1010920</wp:posOffset>
            </wp:positionV>
            <wp:extent cx="7747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-1028065</wp:posOffset>
            </wp:positionV>
            <wp:extent cx="7683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-1010920</wp:posOffset>
            </wp:positionV>
            <wp:extent cx="768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-1028065</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-1010920</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-1028065</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-1010920</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-1028065</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-1010920</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-1028065</wp:posOffset>
            </wp:positionV>
            <wp:extent cx="68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-1010920</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-1028065</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-1028065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-1010920</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83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2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December 31, 2023</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8"/>
                <w:szCs w:val="18"/>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Revolvi</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ng</w:t>
            </w:r>
          </w:p>
        </w:tc>
        <w:tc>
          <w:tcPr>
            <w:tcW w:w="28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ng</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280" w:type="dxa"/>
            <w:vAlign w:val="bottom"/>
          </w:tcPr>
          <w:p>
            <w:pPr>
              <w:spacing w:after="0"/>
              <w:rPr>
                <w:sz w:val="21"/>
                <w:szCs w:val="21"/>
                <w:color w:val="auto"/>
              </w:rPr>
            </w:pPr>
          </w:p>
        </w:tc>
        <w:tc>
          <w:tcPr>
            <w:tcW w:w="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Loans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00" w:type="dxa"/>
            <w:vAlign w:val="bottom"/>
            <w:gridSpan w:val="14"/>
            <w:vMerge w:val="restart"/>
          </w:tcPr>
          <w:p>
            <w:pPr>
              <w:ind w:left="6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Amortiz</w:t>
            </w:r>
          </w:p>
        </w:tc>
        <w:tc>
          <w:tcPr>
            <w:tcW w:w="28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14"/>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2"/>
              </w:rPr>
              <w:t>Term</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3"/>
              </w:rPr>
              <w:t>ed</w:t>
            </w:r>
          </w:p>
        </w:tc>
        <w:tc>
          <w:tcPr>
            <w:tcW w:w="280" w:type="dxa"/>
            <w:vAlign w:val="bottom"/>
          </w:tcPr>
          <w:p>
            <w:pPr>
              <w:spacing w:after="0"/>
              <w:rPr>
                <w:sz w:val="20"/>
                <w:szCs w:val="20"/>
                <w:color w:val="auto"/>
              </w:rPr>
            </w:pPr>
          </w:p>
        </w:tc>
        <w:tc>
          <w:tcPr>
            <w:tcW w:w="5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3"/>
              </w:rPr>
              <w:t>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205"/>
        </w:trPr>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w w:val="96"/>
              </w:rPr>
              <w:t>Cost</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2022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2020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Prior</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Basis</w:t>
            </w:r>
          </w:p>
        </w:tc>
        <w:tc>
          <w:tcPr>
            <w:tcW w:w="280" w:type="dxa"/>
            <w:vAlign w:val="bottom"/>
          </w:tcPr>
          <w:p>
            <w:pPr>
              <w:spacing w:after="0"/>
              <w:rPr>
                <w:sz w:val="20"/>
                <w:szCs w:val="20"/>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Term</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Borders>
              <w:top w:val="single" w:sz="8" w:color="auto"/>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224,23</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245,27</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122,65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136,22</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99,378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12,342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67,725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67,725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Commercial Real</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259,09</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447,81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245,27</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133,52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136,85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112,51</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Estate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155,90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20,071</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90,018</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Commercial &amp;</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158,60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20,399</w:t>
            </w:r>
          </w:p>
        </w:tc>
        <w:tc>
          <w:tcPr>
            <w:tcW w:w="18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96,156</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1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Gross charge-offs YTD $</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Rating</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Pass (1-4)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1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30,136</w:t>
            </w:r>
          </w:p>
        </w:tc>
        <w:tc>
          <w:tcPr>
            <w:tcW w:w="4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30,136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Mention (5)</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Substandard (6)</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Doubtful (7)</w:t>
            </w: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Other</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30,136</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30,136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-4302760</wp:posOffset>
            </wp:positionV>
            <wp:extent cx="768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-4285615</wp:posOffset>
            </wp:positionV>
            <wp:extent cx="768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-4302760</wp:posOffset>
            </wp:positionV>
            <wp:extent cx="774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-4285615</wp:posOffset>
            </wp:positionV>
            <wp:extent cx="774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-4302760</wp:posOffset>
            </wp:positionV>
            <wp:extent cx="768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-4285615</wp:posOffset>
            </wp:positionV>
            <wp:extent cx="768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-4302760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-4285615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-4302760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-4285615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-4302760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-4285615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-4302760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-4285615</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-4302760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-4285615</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-4302760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-4285615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-4302760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-4285615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-2896870</wp:posOffset>
            </wp:positionV>
            <wp:extent cx="7683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-2896870</wp:posOffset>
            </wp:positionV>
            <wp:extent cx="7747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-2896870</wp:posOffset>
            </wp:positionV>
            <wp:extent cx="7683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-2896870</wp:posOffset>
            </wp:positionV>
            <wp:extent cx="685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-2896870</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-2896870</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-2896870</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-2896870</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-2896870</wp:posOffset>
            </wp:positionV>
            <wp:extent cx="6858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-2416810</wp:posOffset>
            </wp:positionV>
            <wp:extent cx="768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-2416810</wp:posOffset>
            </wp:positionV>
            <wp:extent cx="7747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-2416810</wp:posOffset>
            </wp:positionV>
            <wp:extent cx="7683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-2416810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-2416810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-2416810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-2416810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-2416810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-2416810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-1165225</wp:posOffset>
            </wp:positionV>
            <wp:extent cx="768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-1148080</wp:posOffset>
            </wp:positionV>
            <wp:extent cx="768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-1165225</wp:posOffset>
            </wp:positionV>
            <wp:extent cx="7747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-1148080</wp:posOffset>
            </wp:positionV>
            <wp:extent cx="7747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-1165225</wp:posOffset>
            </wp:positionV>
            <wp:extent cx="768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-1148080</wp:posOffset>
            </wp:positionV>
            <wp:extent cx="768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-1165225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-1148080</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-1165225</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-1148080</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-1165225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-1148080</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-1165225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-1148080</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-1165225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-1148080</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-1165225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-1148080</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For consumer, the Company also evaluates credit quality based on the aging status of the loan, as was previously stated, and by payment activity. The following tables present the recorded investment in those classes based on payment activity and assigned risk grading as of September 30, 2024 and December 31, 2023 by year of origination.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6"/>
          </w:tcPr>
          <w:p>
            <w:pPr>
              <w:jc w:val="center"/>
              <w:ind w:left="35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Revolvin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g</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Loans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0" w:type="dxa"/>
            <w:vAlign w:val="bottom"/>
            <w:gridSpan w:val="14"/>
            <w:vMerge w:val="restart"/>
          </w:tcPr>
          <w:p>
            <w:pPr>
              <w:ind w:left="20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14"/>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Term</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205"/>
        </w:trPr>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10"/>
              <w:spacing w:after="0" w:line="205" w:lineRule="exact"/>
              <w:rPr>
                <w:sz w:val="20"/>
                <w:szCs w:val="20"/>
                <w:color w:val="auto"/>
              </w:rPr>
            </w:pPr>
            <w:r>
              <w:rPr>
                <w:rFonts w:ascii="Times New Roman" w:cs="Times New Roman" w:eastAsia="Times New Roman" w:hAnsi="Times New Roman"/>
                <w:sz w:val="18"/>
                <w:szCs w:val="18"/>
                <w:color w:val="auto"/>
              </w:rPr>
              <w:t>Cost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Prior</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Total</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Basis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Performance</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Performing</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15,819</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30,544</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67,774</w:t>
            </w:r>
          </w:p>
        </w:tc>
        <w:tc>
          <w:tcPr>
            <w:tcW w:w="4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Nonperforming</w:t>
            </w: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3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Consumer</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15,823</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30,583</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30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67,847</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68,050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2"/>
        </w:trPr>
        <w:tc>
          <w:tcPr>
            <w:tcW w:w="2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 Thousands)</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6"/>
          </w:tcPr>
          <w:p>
            <w:pPr>
              <w:jc w:val="center"/>
              <w:ind w:left="350"/>
              <w:spacing w:after="0"/>
              <w:rPr>
                <w:sz w:val="20"/>
                <w:szCs w:val="20"/>
                <w:color w:val="auto"/>
              </w:rPr>
            </w:pPr>
            <w:r>
              <w:rPr>
                <w:rFonts w:ascii="Times New Roman" w:cs="Times New Roman" w:eastAsia="Times New Roman" w:hAnsi="Times New Roman"/>
                <w:sz w:val="18"/>
                <w:szCs w:val="18"/>
                <w:color w:val="auto"/>
                <w:w w:val="98"/>
              </w:rPr>
              <w:t>December 31, 2023</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Revolvin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g</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Loans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0" w:type="dxa"/>
            <w:vAlign w:val="bottom"/>
            <w:gridSpan w:val="14"/>
            <w:vMerge w:val="restart"/>
          </w:tcPr>
          <w:p>
            <w:pPr>
              <w:ind w:left="200"/>
              <w:spacing w:after="0"/>
              <w:rPr>
                <w:sz w:val="20"/>
                <w:szCs w:val="20"/>
                <w:color w:val="auto"/>
              </w:rPr>
            </w:pPr>
            <w:r>
              <w:rPr>
                <w:rFonts w:ascii="Times New Roman" w:cs="Times New Roman" w:eastAsia="Times New Roman" w:hAnsi="Times New Roman"/>
                <w:sz w:val="18"/>
                <w:szCs w:val="18"/>
                <w:color w:val="auto"/>
              </w:rPr>
              <w:t>Term Loans Amortized Cost Basis by Origination Year</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Amortiz</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14"/>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Term</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ed</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Grand</w:t>
            </w:r>
          </w:p>
        </w:tc>
        <w:tc>
          <w:tcPr>
            <w:tcW w:w="0" w:type="dxa"/>
            <w:vAlign w:val="bottom"/>
          </w:tcPr>
          <w:p>
            <w:pPr>
              <w:spacing w:after="0"/>
              <w:rPr>
                <w:sz w:val="1"/>
                <w:szCs w:val="1"/>
                <w:color w:val="auto"/>
              </w:rPr>
            </w:pPr>
          </w:p>
        </w:tc>
      </w:tr>
      <w:tr>
        <w:trPr>
          <w:trHeight w:val="205"/>
        </w:trPr>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10"/>
              <w:spacing w:after="0" w:line="205" w:lineRule="exact"/>
              <w:rPr>
                <w:sz w:val="20"/>
                <w:szCs w:val="20"/>
                <w:color w:val="auto"/>
              </w:rPr>
            </w:pPr>
            <w:r>
              <w:rPr>
                <w:rFonts w:ascii="Times New Roman" w:cs="Times New Roman" w:eastAsia="Times New Roman" w:hAnsi="Times New Roman"/>
                <w:sz w:val="18"/>
                <w:szCs w:val="18"/>
                <w:color w:val="auto"/>
              </w:rPr>
              <w:t>Cost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Prior</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Total</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Basis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Performance</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Performing</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21,511</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40,729</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80,217</w:t>
            </w:r>
          </w:p>
        </w:tc>
        <w:tc>
          <w:tcPr>
            <w:tcW w:w="4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Nonperforming</w:t>
            </w: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3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Consumer</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21,537</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40,787</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30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80,309</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80,353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charge-offs YTD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3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-3788410</wp:posOffset>
            </wp:positionV>
            <wp:extent cx="7683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-3771265</wp:posOffset>
            </wp:positionV>
            <wp:extent cx="7683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-3788410</wp:posOffset>
            </wp:positionV>
            <wp:extent cx="7683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-3771265</wp:posOffset>
            </wp:positionV>
            <wp:extent cx="7683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-3788410</wp:posOffset>
            </wp:positionV>
            <wp:extent cx="685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-3771265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-3788410</wp:posOffset>
            </wp:positionV>
            <wp:extent cx="685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-3771265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-3788410</wp:posOffset>
            </wp:positionV>
            <wp:extent cx="6858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-3771265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-3788410</wp:posOffset>
            </wp:positionV>
            <wp:extent cx="685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-3771265</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-3788410</wp:posOffset>
            </wp:positionV>
            <wp:extent cx="685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-3771265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-3788410</wp:posOffset>
            </wp:positionV>
            <wp:extent cx="685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-3771265</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-3788410</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-1028065</wp:posOffset>
            </wp:positionV>
            <wp:extent cx="7683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-1010920</wp:posOffset>
            </wp:positionV>
            <wp:extent cx="7683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-1028065</wp:posOffset>
            </wp:positionV>
            <wp:extent cx="7683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-1010920</wp:posOffset>
            </wp:positionV>
            <wp:extent cx="7683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-1028065</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-1010920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-1028065</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-1010920</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-1028065</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-1010920</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-1028065</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-1010920</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-1028065</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-1010920</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-1028065</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-1010920</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collateral-dependent loans grouped by collateral as of September 30, 2024 and December 31, 2023:</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5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9"/>
        </w:trPr>
        <w:tc>
          <w:tcPr>
            <w:tcW w:w="504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2360" w:type="dxa"/>
            <w:vAlign w:val="bottom"/>
            <w:tcBorders>
              <w:top w:val="single" w:sz="8" w:color="auto"/>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80" w:type="dxa"/>
            <w:vAlign w:val="bottom"/>
          </w:tcPr>
          <w:p>
            <w:pPr>
              <w:spacing w:after="0"/>
              <w:rPr>
                <w:sz w:val="20"/>
                <w:szCs w:val="20"/>
                <w:color w:val="auto"/>
              </w:rPr>
            </w:pPr>
          </w:p>
        </w:tc>
      </w:tr>
      <w:tr>
        <w:trPr>
          <w:trHeight w:val="232"/>
        </w:trPr>
        <w:tc>
          <w:tcPr>
            <w:tcW w:w="5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Collateral</w:t>
            </w:r>
          </w:p>
        </w:tc>
        <w:tc>
          <w:tcPr>
            <w:tcW w:w="80" w:type="dxa"/>
            <w:vAlign w:val="bottom"/>
          </w:tcPr>
          <w:p>
            <w:pPr>
              <w:spacing w:after="0"/>
              <w:rPr>
                <w:sz w:val="20"/>
                <w:szCs w:val="20"/>
                <w:color w:val="auto"/>
              </w:rPr>
            </w:pPr>
          </w:p>
        </w:tc>
      </w:tr>
      <w:tr>
        <w:trPr>
          <w:trHeight w:val="245"/>
        </w:trPr>
        <w:tc>
          <w:tcPr>
            <w:tcW w:w="5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Dependent Loans</w:t>
            </w:r>
          </w:p>
        </w:tc>
      </w:tr>
      <w:tr>
        <w:trPr>
          <w:trHeight w:val="24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80" w:type="dxa"/>
            <w:vAlign w:val="bottom"/>
            <w:shd w:val="clear" w:color="auto" w:fill="CFF0FC"/>
          </w:tcPr>
          <w:p>
            <w:pPr>
              <w:spacing w:after="0"/>
              <w:rPr>
                <w:sz w:val="21"/>
                <w:szCs w:val="21"/>
                <w:color w:val="auto"/>
              </w:rPr>
            </w:pP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3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0"/>
                <w:szCs w:val="20"/>
                <w:color w:val="auto"/>
              </w:rPr>
            </w:pPr>
          </w:p>
        </w:tc>
      </w:tr>
      <w:tr>
        <w:trPr>
          <w:trHeight w:val="247"/>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380" w:type="dxa"/>
            <w:vAlign w:val="bottom"/>
            <w:shd w:val="clear" w:color="auto" w:fill="CFF0FC"/>
          </w:tcPr>
          <w:p>
            <w:pPr>
              <w:spacing w:after="0"/>
              <w:rPr>
                <w:sz w:val="21"/>
                <w:szCs w:val="21"/>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21"/>
                <w:szCs w:val="21"/>
                <w:color w:val="auto"/>
              </w:rPr>
            </w:pP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Pr>
          <w:p>
            <w:pPr>
              <w:spacing w:after="0"/>
              <w:rPr>
                <w:sz w:val="20"/>
                <w:szCs w:val="20"/>
                <w:color w:val="auto"/>
              </w:rPr>
            </w:pPr>
          </w:p>
        </w:tc>
      </w:tr>
      <w:tr>
        <w:trPr>
          <w:trHeight w:val="247"/>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80" w:type="dxa"/>
            <w:vAlign w:val="bottom"/>
            <w:shd w:val="clear" w:color="auto" w:fill="CFF0FC"/>
          </w:tcPr>
          <w:p>
            <w:pPr>
              <w:spacing w:after="0"/>
              <w:rPr>
                <w:sz w:val="21"/>
                <w:szCs w:val="21"/>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FF0FC"/>
          </w:tcPr>
          <w:p>
            <w:pPr>
              <w:spacing w:after="0"/>
              <w:rPr>
                <w:sz w:val="21"/>
                <w:szCs w:val="21"/>
                <w:color w:val="auto"/>
              </w:rPr>
            </w:pPr>
          </w:p>
        </w:tc>
      </w:tr>
      <w:tr>
        <w:trPr>
          <w:trHeight w:val="24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3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77"/>
        </w:trPr>
        <w:tc>
          <w:tcPr>
            <w:tcW w:w="50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80" w:type="dxa"/>
            <w:vAlign w:val="bottom"/>
            <w:tcBorders>
              <w:bottom w:val="single" w:sz="8" w:color="CFF0FC"/>
            </w:tcBorders>
            <w:shd w:val="clear" w:color="auto" w:fill="CFF0FC"/>
          </w:tcPr>
          <w:p>
            <w:pPr>
              <w:spacing w:after="0"/>
              <w:rPr>
                <w:sz w:val="24"/>
                <w:szCs w:val="24"/>
                <w:color w:val="auto"/>
              </w:rPr>
            </w:pPr>
          </w:p>
        </w:tc>
      </w:tr>
      <w:tr>
        <w:trPr>
          <w:trHeight w:val="649"/>
        </w:trPr>
        <w:tc>
          <w:tcPr>
            <w:tcW w:w="5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9"/>
        </w:trPr>
        <w:tc>
          <w:tcPr>
            <w:tcW w:w="504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2360" w:type="dxa"/>
            <w:vAlign w:val="bottom"/>
            <w:tcBorders>
              <w:top w:val="single" w:sz="8" w:color="auto"/>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December 31, 2023</w:t>
            </w:r>
          </w:p>
        </w:tc>
        <w:tc>
          <w:tcPr>
            <w:tcW w:w="80" w:type="dxa"/>
            <w:vAlign w:val="bottom"/>
          </w:tcPr>
          <w:p>
            <w:pPr>
              <w:spacing w:after="0"/>
              <w:rPr>
                <w:sz w:val="20"/>
                <w:szCs w:val="20"/>
                <w:color w:val="auto"/>
              </w:rPr>
            </w:pPr>
          </w:p>
        </w:tc>
      </w:tr>
      <w:tr>
        <w:trPr>
          <w:trHeight w:val="232"/>
        </w:trPr>
        <w:tc>
          <w:tcPr>
            <w:tcW w:w="5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Collateral</w:t>
            </w:r>
          </w:p>
        </w:tc>
        <w:tc>
          <w:tcPr>
            <w:tcW w:w="80" w:type="dxa"/>
            <w:vAlign w:val="bottom"/>
          </w:tcPr>
          <w:p>
            <w:pPr>
              <w:spacing w:after="0"/>
              <w:rPr>
                <w:sz w:val="20"/>
                <w:szCs w:val="20"/>
                <w:color w:val="auto"/>
              </w:rPr>
            </w:pPr>
          </w:p>
        </w:tc>
      </w:tr>
      <w:tr>
        <w:trPr>
          <w:trHeight w:val="245"/>
        </w:trPr>
        <w:tc>
          <w:tcPr>
            <w:tcW w:w="5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Dependent Loans</w:t>
            </w:r>
          </w:p>
        </w:tc>
      </w:tr>
      <w:tr>
        <w:trPr>
          <w:trHeight w:val="24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80" w:type="dxa"/>
            <w:vAlign w:val="bottom"/>
            <w:shd w:val="clear" w:color="auto" w:fill="CFF0FC"/>
          </w:tcPr>
          <w:p>
            <w:pPr>
              <w:spacing w:after="0"/>
              <w:rPr>
                <w:sz w:val="21"/>
                <w:szCs w:val="21"/>
                <w:color w:val="auto"/>
              </w:rPr>
            </w:pP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3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80" w:type="dxa"/>
            <w:vAlign w:val="bottom"/>
          </w:tcPr>
          <w:p>
            <w:pPr>
              <w:spacing w:after="0"/>
              <w:rPr>
                <w:sz w:val="20"/>
                <w:szCs w:val="20"/>
                <w:color w:val="auto"/>
              </w:rPr>
            </w:pPr>
          </w:p>
        </w:tc>
      </w:tr>
      <w:tr>
        <w:trPr>
          <w:trHeight w:val="247"/>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380" w:type="dxa"/>
            <w:vAlign w:val="bottom"/>
            <w:shd w:val="clear" w:color="auto" w:fill="CFF0FC"/>
          </w:tcPr>
          <w:p>
            <w:pPr>
              <w:spacing w:after="0"/>
              <w:rPr>
                <w:sz w:val="21"/>
                <w:szCs w:val="21"/>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80" w:type="dxa"/>
            <w:vAlign w:val="bottom"/>
            <w:shd w:val="clear" w:color="auto" w:fill="CFF0FC"/>
          </w:tcPr>
          <w:p>
            <w:pPr>
              <w:spacing w:after="0"/>
              <w:rPr>
                <w:sz w:val="21"/>
                <w:szCs w:val="21"/>
                <w:color w:val="auto"/>
              </w:rPr>
            </w:pPr>
          </w:p>
        </w:tc>
      </w:tr>
      <w:tr>
        <w:trPr>
          <w:trHeight w:val="23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8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20"/>
                <w:szCs w:val="20"/>
                <w:color w:val="auto"/>
              </w:rPr>
            </w:pPr>
          </w:p>
        </w:tc>
      </w:tr>
      <w:tr>
        <w:trPr>
          <w:trHeight w:val="247"/>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&amp; Industrial</w:t>
            </w:r>
          </w:p>
        </w:tc>
        <w:tc>
          <w:tcPr>
            <w:tcW w:w="380" w:type="dxa"/>
            <w:vAlign w:val="bottom"/>
            <w:shd w:val="clear" w:color="auto" w:fill="CFF0FC"/>
          </w:tcPr>
          <w:p>
            <w:pPr>
              <w:spacing w:after="0"/>
              <w:rPr>
                <w:sz w:val="21"/>
                <w:szCs w:val="21"/>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21"/>
                <w:szCs w:val="21"/>
                <w:color w:val="auto"/>
              </w:rPr>
            </w:pPr>
          </w:p>
        </w:tc>
      </w:tr>
      <w:tr>
        <w:trPr>
          <w:trHeight w:val="24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3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77"/>
        </w:trPr>
        <w:tc>
          <w:tcPr>
            <w:tcW w:w="50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-2056765</wp:posOffset>
            </wp:positionV>
            <wp:extent cx="431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-2039620</wp:posOffset>
            </wp:positionV>
            <wp:extent cx="431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Modification programs focus on payment pattern changes and/or modified maturity dates with most receiving a combination of the two concessions. The modifications normally do not result in the contractual forgiveness of principal. During the three and nine months ended September 30, 2024, there were no new loan modifications to borrowers experiencing financial difficulty. One modified loan previous to 2024 was partially charged off during the first quarter of 2024 while one modified loan previous to 2024 was paid off during the first quarter of 2024.</w:t>
      </w:r>
    </w:p>
    <w:p>
      <w:pPr>
        <w:spacing w:after="0" w:line="180"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2023, one new loan was considered a modification to a borrower experiencing financial difficulty. The modification during the second quarter of 2023 consisted of refinancing at a higher balance to a borrower experiencing financial difficulty that would not have otherwise been granted to a borrower. The amount of the new money increase to the loan balance was $411 thousand. No additional funds are being advanced.</w:t>
      </w:r>
    </w:p>
    <w:p>
      <w:pPr>
        <w:spacing w:after="0" w:line="139"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and 2023, there were no modifications to borrowers experiencing financial difficulty that subsequently defaulted after modification.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For the Bank’s collateral dependent loans, the Bank applied the fair value of collateral. To determine fair value of collateral, collateral asset values securing a collateral dependent loan were periodically evaluated. Maximum time of re-evaluation was every 12 months for chattels and titled vehicles and every two years for real estate. In this process, third party evaluations were obtained. Until such time that updated appraisals were received, the Bank may have discounted the collateral value used.</w:t>
      </w:r>
    </w:p>
    <w:p>
      <w:pPr>
        <w:spacing w:after="0" w:line="153" w:lineRule="exact"/>
        <w:rPr>
          <w:sz w:val="20"/>
          <w:szCs w:val="20"/>
          <w:color w:val="auto"/>
        </w:rPr>
      </w:pPr>
    </w:p>
    <w:p>
      <w:pPr>
        <w:jc w:val="both"/>
        <w:ind w:left="760"/>
        <w:spacing w:after="0" w:line="272" w:lineRule="auto"/>
        <w:rPr>
          <w:sz w:val="20"/>
          <w:szCs w:val="20"/>
          <w:color w:val="auto"/>
        </w:rPr>
      </w:pPr>
      <w:r>
        <w:rPr>
          <w:rFonts w:ascii="Times New Roman" w:cs="Times New Roman" w:eastAsia="Times New Roman" w:hAnsi="Times New Roman"/>
          <w:sz w:val="17"/>
          <w:szCs w:val="17"/>
          <w:color w:val="auto"/>
        </w:rPr>
        <w:t>The Bank used the following guidelines as stated in policy to determine when to realize a charge-off, whether a partial or full loan balance. A charge-off in whole or in part was realized when unsecured consumer loans and overdraft lines of credit reached 90 days delinquency. At 90 days delinquent, secured consumer loans were charged down to the value of the collateral, if repossession of the collateral was assured and/or in the process of repossession. Consumer mortgage loan deficiencies were charged down upon the sale of the collateral or sooner upon the recognition of collateral deficiency. A broker’s price opinion or appraisal was completed on all home loans in litigation and any deficiency was charged off before reaching 150 days delinquent. Commercial and agricultural credits were charged down/allocated at 120 days delinquency, unless an established and approved work-out plan was in place or litigation of the credit was likely to result in recovery of the loan balance. Upon notification of bankruptcy, unsecured debt was charged off. Additional charge-off was realized as further unsecured positions were recognized.</w:t>
      </w:r>
    </w:p>
    <w:p>
      <w:pPr>
        <w:spacing w:after="0" w:line="172"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As of September 30, 2024, the Company had no foreclosed residential real estate property obtained by physical possession and $755 thousand of consumer mortgage loans secured by residential real estate properties for which foreclosure proceedings are in process according to local jurisdictions. This compares to the Company having no foreclosed residential real estate property obtained by physical possession and $679 thousand of consumer mortgage loans secured by residential real estate properties for which foreclosure proceeding were in process according to local jurisdictions as of December 31, 2023. As of September 30, 2023, the Company had no foreclosed residential real estate property obtained by physical possession and $92 thousand of consumer mortgage loans secured by residential real estate properties for which foreclosure proceedings were in process according to local jurisdictions.</w:t>
      </w:r>
    </w:p>
    <w:p>
      <w:pPr>
        <w:spacing w:after="0" w:line="14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On January 1, 2023, the Company adopted Accounting Standards Update ("ASU") No. 2016-13 - "Financial Instruments - Credit Losses (Topic 326): Measurement of Credit Losses on Financial Instruments" and implemented the current expected credit losses accounting standard. As a result, the Company recorded a one-time adjustment from equity into the allowance for credit losses on loans and unfunded commitments in the amount of $4.5 million, or $3.4 million, net of tax.</w:t>
      </w:r>
    </w:p>
    <w:p>
      <w:pPr>
        <w:spacing w:after="0" w:line="13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Allowance for Credit Losses (ACL) has a direct impact on the provision expense. An increase in the ACL is funded through recoveries and provision expense.</w:t>
      </w:r>
    </w:p>
    <w:p>
      <w:pPr>
        <w:spacing w:after="0" w:line="16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Company segregates its allowance into two reserves: The Allowance for Credit Losses (ACL) and the Allowance for Unfunded Loan Commitments and Letters of Credit (AULC). When combined, these reserves constitute the total Current Expected Credit Losses (CECL).</w:t>
      </w:r>
    </w:p>
    <w:p>
      <w:pPr>
        <w:spacing w:after="0" w:line="162"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allowance does not include an accretable yield of $2.4 million and $4.0 million as of September 30, 2024 and December 31, 2023, respectively, related to the acquisitions of Bank of Geneva in 2019 and Ossian State Bank and Perpetual Federal Savings Bank in 2021 and Peoples Federal Savings and Loan Bank in 2022 as previously discussed in Note 2.</w:t>
      </w:r>
    </w:p>
    <w:p>
      <w:pPr>
        <w:spacing w:after="0" w:line="149"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AULC is reported within other liabilities while the ACL portion associated with loans is netted within the loans, net asset line on the condensed consolidated balance sheets.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following tables break down the activity within ACL for each loan portfolio classification and shows the contribution provided by both the recoveries and the provision along with the reduction of the allowance caused by charge-offs for the three and nine months ended September 30, 2024 and September 30, 2023 in addition to the ending balances as of 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4"/>
              </w:rPr>
              <w:t>(In Thousands)</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11"/>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Consumer</w:t>
            </w:r>
          </w:p>
        </w:tc>
        <w:tc>
          <w:tcPr>
            <w:tcW w:w="12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Agricultural</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Commercial</w:t>
            </w:r>
          </w:p>
        </w:tc>
        <w:tc>
          <w:tcPr>
            <w:tcW w:w="20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and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00" w:type="dxa"/>
            <w:vAlign w:val="bottom"/>
          </w:tcPr>
          <w:p>
            <w:pPr>
              <w:spacing w:after="0"/>
              <w:rPr>
                <w:sz w:val="20"/>
                <w:szCs w:val="20"/>
                <w:color w:val="auto"/>
              </w:rPr>
            </w:pPr>
          </w:p>
        </w:tc>
        <w:tc>
          <w:tcPr>
            <w:tcW w:w="1140" w:type="dxa"/>
            <w:vAlign w:val="bottom"/>
            <w:tcBorders>
              <w:bottom w:val="single" w:sz="8" w:color="auto"/>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24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Real Estate</w:t>
            </w:r>
          </w:p>
        </w:tc>
        <w:tc>
          <w:tcPr>
            <w:tcW w:w="1220" w:type="dxa"/>
            <w:vAlign w:val="bottom"/>
            <w:tcBorders>
              <w:bottom w:val="single" w:sz="8" w:color="auto"/>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Agricultural</w:t>
            </w:r>
          </w:p>
        </w:tc>
        <w:tc>
          <w:tcPr>
            <w:tcW w:w="120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Real Estate</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Consumer</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07"/>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52"/>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7"/>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40" w:type="dxa"/>
            <w:vAlign w:val="bottom"/>
            <w:tcBorders>
              <w:right w:val="single" w:sz="8" w:color="auto"/>
            </w:tcBorders>
            <w:shd w:val="clear" w:color="auto" w:fill="CFF0FC"/>
          </w:tcPr>
          <w:p>
            <w:pPr>
              <w:spacing w:after="0"/>
              <w:rPr>
                <w:sz w:val="21"/>
                <w:szCs w:val="21"/>
                <w:color w:val="auto"/>
              </w:rPr>
            </w:pPr>
          </w:p>
        </w:tc>
        <w:tc>
          <w:tcPr>
            <w:tcW w:w="5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16,319</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25,270</w:t>
            </w:r>
          </w:p>
        </w:tc>
        <w:tc>
          <w:tcPr>
            <w:tcW w:w="100" w:type="dxa"/>
            <w:vAlign w:val="bottom"/>
            <w:shd w:val="clear" w:color="auto" w:fill="CFF0FC"/>
          </w:tcPr>
          <w:p>
            <w:pPr>
              <w:spacing w:after="0"/>
              <w:rPr>
                <w:sz w:val="21"/>
                <w:szCs w:val="21"/>
                <w:color w:val="auto"/>
              </w:rPr>
            </w:pPr>
          </w:p>
        </w:tc>
      </w:tr>
      <w:tr>
        <w:trPr>
          <w:trHeight w:val="23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credit losses - loans</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(12 )</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0"/>
                <w:szCs w:val="20"/>
                <w:color w:val="auto"/>
              </w:rPr>
            </w:pPr>
          </w:p>
        </w:tc>
      </w:tr>
      <w:tr>
        <w:trPr>
          <w:trHeight w:val="247"/>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2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200" w:type="dxa"/>
            <w:vAlign w:val="bottom"/>
            <w:shd w:val="clear" w:color="auto" w:fill="CFF0FC"/>
          </w:tcPr>
          <w:p>
            <w:pPr>
              <w:spacing w:after="0"/>
              <w:rPr>
                <w:sz w:val="21"/>
                <w:szCs w:val="21"/>
                <w:color w:val="auto"/>
              </w:rPr>
            </w:pPr>
          </w:p>
        </w:tc>
        <w:tc>
          <w:tcPr>
            <w:tcW w:w="100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shd w:val="clear" w:color="auto" w:fill="CFF0FC"/>
          </w:tcPr>
          <w:p>
            <w:pPr>
              <w:spacing w:after="0"/>
              <w:rPr>
                <w:sz w:val="21"/>
                <w:szCs w:val="21"/>
                <w:color w:val="auto"/>
              </w:rPr>
            </w:pPr>
          </w:p>
        </w:tc>
        <w:tc>
          <w:tcPr>
            <w:tcW w:w="100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(103 )</w:t>
            </w:r>
          </w:p>
        </w:tc>
        <w:tc>
          <w:tcPr>
            <w:tcW w:w="2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(123 )</w:t>
            </w:r>
          </w:p>
        </w:tc>
      </w:tr>
      <w:tr>
        <w:trPr>
          <w:trHeight w:val="239"/>
        </w:trPr>
        <w:tc>
          <w:tcPr>
            <w:tcW w:w="290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auto"/>
            </w:tcBorders>
          </w:tcPr>
          <w:p>
            <w:pPr>
              <w:spacing w:after="0"/>
              <w:rPr>
                <w:sz w:val="20"/>
                <w:szCs w:val="20"/>
                <w:color w:val="auto"/>
              </w:rPr>
            </w:pPr>
          </w:p>
        </w:tc>
      </w:tr>
      <w:tr>
        <w:trPr>
          <w:trHeight w:val="281"/>
        </w:trPr>
        <w:tc>
          <w:tcPr>
            <w:tcW w:w="2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40" w:type="dxa"/>
            <w:vAlign w:val="bottom"/>
            <w:tcBorders>
              <w:bottom w:val="single" w:sz="8" w:color="auto"/>
              <w:right w:val="single" w:sz="8" w:color="auto"/>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40" w:type="dxa"/>
            <w:vAlign w:val="bottom"/>
            <w:tcBorders>
              <w:bottom w:val="single" w:sz="8" w:color="auto"/>
              <w:right w:val="single" w:sz="8" w:color="auto"/>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bottom w:val="single" w:sz="8" w:color="auto"/>
              <w:right w:val="single" w:sz="8" w:color="auto"/>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16,455</w:t>
            </w:r>
          </w:p>
        </w:tc>
        <w:tc>
          <w:tcPr>
            <w:tcW w:w="140" w:type="dxa"/>
            <w:vAlign w:val="bottom"/>
            <w:tcBorders>
              <w:bottom w:val="single" w:sz="8" w:color="auto"/>
              <w:right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40" w:type="dxa"/>
            <w:vAlign w:val="bottom"/>
            <w:tcBorders>
              <w:bottom w:val="single" w:sz="8" w:color="auto"/>
              <w:right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40" w:type="dxa"/>
            <w:vAlign w:val="bottom"/>
            <w:tcBorders>
              <w:bottom w:val="single" w:sz="8" w:color="auto"/>
              <w:right w:val="single" w:sz="8" w:color="auto"/>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100" w:type="dxa"/>
            <w:vAlign w:val="bottom"/>
            <w:tcBorders>
              <w:bottom w:val="single" w:sz="8" w:color="auto"/>
            </w:tcBorders>
            <w:shd w:val="clear" w:color="auto" w:fill="CFF0FC"/>
          </w:tcPr>
          <w:p>
            <w:pPr>
              <w:spacing w:after="0"/>
              <w:rPr>
                <w:sz w:val="24"/>
                <w:szCs w:val="24"/>
                <w:color w:val="auto"/>
              </w:rPr>
            </w:pPr>
          </w:p>
        </w:tc>
      </w:tr>
      <w:tr>
        <w:trPr>
          <w:trHeight w:val="649"/>
        </w:trPr>
        <w:tc>
          <w:tcPr>
            <w:tcW w:w="2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4"/>
              </w:rPr>
              <w:t>(In Thousands)</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Consumer</w:t>
            </w:r>
          </w:p>
        </w:tc>
        <w:tc>
          <w:tcPr>
            <w:tcW w:w="12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Agricultural</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Commercial</w:t>
            </w:r>
          </w:p>
        </w:tc>
        <w:tc>
          <w:tcPr>
            <w:tcW w:w="20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and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00" w:type="dxa"/>
            <w:vAlign w:val="bottom"/>
          </w:tcPr>
          <w:p>
            <w:pPr>
              <w:spacing w:after="0"/>
              <w:rPr>
                <w:sz w:val="20"/>
                <w:szCs w:val="20"/>
                <w:color w:val="auto"/>
              </w:rPr>
            </w:pPr>
          </w:p>
        </w:tc>
        <w:tc>
          <w:tcPr>
            <w:tcW w:w="114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2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Real Estate</w:t>
            </w:r>
          </w:p>
        </w:tc>
        <w:tc>
          <w:tcPr>
            <w:tcW w:w="1220" w:type="dxa"/>
            <w:vAlign w:val="bottom"/>
            <w:tcBorders>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Agricultural</w:t>
            </w:r>
          </w:p>
        </w:tc>
        <w:tc>
          <w:tcPr>
            <w:tcW w:w="12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Real Estate</w:t>
            </w: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Consumer</w:t>
            </w:r>
          </w:p>
        </w:tc>
        <w:tc>
          <w:tcPr>
            <w:tcW w:w="28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07"/>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52"/>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7"/>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40" w:type="dxa"/>
            <w:vAlign w:val="bottom"/>
            <w:tcBorders>
              <w:right w:val="single" w:sz="8" w:color="auto"/>
            </w:tcBorders>
            <w:shd w:val="clear" w:color="auto" w:fill="CFF0FC"/>
          </w:tcPr>
          <w:p>
            <w:pPr>
              <w:spacing w:after="0"/>
              <w:rPr>
                <w:sz w:val="21"/>
                <w:szCs w:val="21"/>
                <w:color w:val="auto"/>
              </w:rPr>
            </w:pPr>
          </w:p>
        </w:tc>
        <w:tc>
          <w:tcPr>
            <w:tcW w:w="5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100" w:type="dxa"/>
            <w:vAlign w:val="bottom"/>
            <w:shd w:val="clear" w:color="auto" w:fill="CFF0FC"/>
          </w:tcPr>
          <w:p>
            <w:pPr>
              <w:spacing w:after="0"/>
              <w:rPr>
                <w:sz w:val="21"/>
                <w:szCs w:val="21"/>
                <w:color w:val="auto"/>
              </w:rPr>
            </w:pPr>
          </w:p>
        </w:tc>
      </w:tr>
      <w:tr>
        <w:trPr>
          <w:trHeight w:val="23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credit losses-loans</w:t>
            </w:r>
          </w:p>
        </w:tc>
        <w:tc>
          <w:tcPr>
            <w:tcW w:w="1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(211 )</w:t>
            </w:r>
          </w:p>
        </w:tc>
        <w:tc>
          <w:tcPr>
            <w:tcW w:w="5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(75 )</w:t>
            </w:r>
          </w:p>
        </w:tc>
        <w:tc>
          <w:tcPr>
            <w:tcW w:w="38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(937 )</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(72 )</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0"/>
                <w:szCs w:val="20"/>
                <w:color w:val="auto"/>
              </w:rPr>
            </w:pPr>
          </w:p>
        </w:tc>
      </w:tr>
      <w:tr>
        <w:trPr>
          <w:trHeight w:val="247"/>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120" w:type="dxa"/>
            <w:vAlign w:val="bottom"/>
            <w:shd w:val="clear" w:color="auto" w:fill="CFF0FC"/>
          </w:tcPr>
          <w:p>
            <w:pPr>
              <w:spacing w:after="0"/>
              <w:rPr>
                <w:sz w:val="21"/>
                <w:szCs w:val="21"/>
                <w:color w:val="auto"/>
              </w:rPr>
            </w:pPr>
          </w:p>
        </w:tc>
        <w:tc>
          <w:tcPr>
            <w:tcW w:w="102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(13 )</w:t>
            </w:r>
          </w:p>
        </w:tc>
        <w:tc>
          <w:tcPr>
            <w:tcW w:w="5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2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200" w:type="dxa"/>
            <w:vAlign w:val="bottom"/>
            <w:shd w:val="clear" w:color="auto" w:fill="CFF0FC"/>
          </w:tcPr>
          <w:p>
            <w:pPr>
              <w:spacing w:after="0"/>
              <w:rPr>
                <w:sz w:val="21"/>
                <w:szCs w:val="21"/>
                <w:color w:val="auto"/>
              </w:rPr>
            </w:pPr>
          </w:p>
        </w:tc>
        <w:tc>
          <w:tcPr>
            <w:tcW w:w="1000" w:type="dxa"/>
            <w:vAlign w:val="bottom"/>
            <w:tcBorders>
              <w:right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(106 )</w:t>
            </w:r>
          </w:p>
        </w:tc>
        <w:tc>
          <w:tcPr>
            <w:tcW w:w="180" w:type="dxa"/>
            <w:vAlign w:val="bottom"/>
            <w:shd w:val="clear" w:color="auto" w:fill="CFF0FC"/>
          </w:tcPr>
          <w:p>
            <w:pPr>
              <w:spacing w:after="0"/>
              <w:rPr>
                <w:sz w:val="21"/>
                <w:szCs w:val="21"/>
                <w:color w:val="auto"/>
              </w:rPr>
            </w:pPr>
          </w:p>
        </w:tc>
        <w:tc>
          <w:tcPr>
            <w:tcW w:w="100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(266 )</w:t>
            </w:r>
          </w:p>
        </w:tc>
        <w:tc>
          <w:tcPr>
            <w:tcW w:w="2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(400 )</w:t>
            </w:r>
          </w:p>
        </w:tc>
      </w:tr>
      <w:tr>
        <w:trPr>
          <w:trHeight w:val="239"/>
        </w:trPr>
        <w:tc>
          <w:tcPr>
            <w:tcW w:w="290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FF0FC"/>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Borders>
              <w:bottom w:val="single" w:sz="8" w:color="CFF0FC"/>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Borders>
              <w:bottom w:val="single" w:sz="8" w:color="CFF0FC"/>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FF0FC"/>
            </w:tcBorders>
          </w:tcPr>
          <w:p>
            <w:pPr>
              <w:spacing w:after="0"/>
              <w:rPr>
                <w:sz w:val="20"/>
                <w:szCs w:val="20"/>
                <w:color w:val="auto"/>
              </w:rPr>
            </w:pPr>
          </w:p>
        </w:tc>
      </w:tr>
      <w:tr>
        <w:trPr>
          <w:trHeight w:val="281"/>
        </w:trPr>
        <w:tc>
          <w:tcPr>
            <w:tcW w:w="2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bottom w:val="single" w:sz="8" w:color="CFF0FC"/>
              <w:right w:val="single" w:sz="8" w:color="auto"/>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16,455</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40" w:type="dxa"/>
            <w:vAlign w:val="bottom"/>
            <w:tcBorders>
              <w:bottom w:val="single" w:sz="8" w:color="CFF0FC"/>
              <w:right w:val="single" w:sz="8" w:color="auto"/>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49"/>
        </w:trPr>
        <w:tc>
          <w:tcPr>
            <w:tcW w:w="2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4"/>
              </w:rPr>
              <w:t>(In Thousands)</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Consumer</w:t>
            </w:r>
          </w:p>
        </w:tc>
        <w:tc>
          <w:tcPr>
            <w:tcW w:w="12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Agricultural</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Commercial</w:t>
            </w:r>
          </w:p>
        </w:tc>
        <w:tc>
          <w:tcPr>
            <w:tcW w:w="200" w:type="dxa"/>
            <w:vAlign w:val="bottom"/>
          </w:tcPr>
          <w:p>
            <w:pPr>
              <w:spacing w:after="0"/>
              <w:rPr>
                <w:sz w:val="18"/>
                <w:szCs w:val="18"/>
                <w:color w:val="auto"/>
              </w:rPr>
            </w:pPr>
          </w:p>
        </w:tc>
        <w:tc>
          <w:tcPr>
            <w:tcW w:w="10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and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00" w:type="dxa"/>
            <w:vAlign w:val="bottom"/>
          </w:tcPr>
          <w:p>
            <w:pPr>
              <w:spacing w:after="0"/>
              <w:rPr>
                <w:sz w:val="20"/>
                <w:szCs w:val="20"/>
                <w:color w:val="auto"/>
              </w:rPr>
            </w:pPr>
          </w:p>
        </w:tc>
        <w:tc>
          <w:tcPr>
            <w:tcW w:w="114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Real Estate</w:t>
            </w:r>
          </w:p>
        </w:tc>
        <w:tc>
          <w:tcPr>
            <w:tcW w:w="12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Real Estate</w:t>
            </w:r>
          </w:p>
        </w:tc>
        <w:tc>
          <w:tcPr>
            <w:tcW w:w="1220" w:type="dxa"/>
            <w:vAlign w:val="bottom"/>
            <w:tcBorders>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Agricultural</w:t>
            </w:r>
          </w:p>
        </w:tc>
        <w:tc>
          <w:tcPr>
            <w:tcW w:w="12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Real Estate</w:t>
            </w: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Consumer</w:t>
            </w:r>
          </w:p>
        </w:tc>
        <w:tc>
          <w:tcPr>
            <w:tcW w:w="28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07"/>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52"/>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7"/>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40" w:type="dxa"/>
            <w:vAlign w:val="bottom"/>
            <w:tcBorders>
              <w:right w:val="single" w:sz="8" w:color="auto"/>
            </w:tcBorders>
            <w:shd w:val="clear" w:color="auto" w:fill="CFF0FC"/>
          </w:tcPr>
          <w:p>
            <w:pPr>
              <w:spacing w:after="0"/>
              <w:rPr>
                <w:sz w:val="21"/>
                <w:szCs w:val="21"/>
                <w:color w:val="auto"/>
              </w:rPr>
            </w:pPr>
          </w:p>
        </w:tc>
        <w:tc>
          <w:tcPr>
            <w:tcW w:w="5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16,681</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24,910</w:t>
            </w:r>
          </w:p>
        </w:tc>
        <w:tc>
          <w:tcPr>
            <w:tcW w:w="100" w:type="dxa"/>
            <w:vAlign w:val="bottom"/>
            <w:shd w:val="clear" w:color="auto" w:fill="CFF0FC"/>
          </w:tcPr>
          <w:p>
            <w:pPr>
              <w:spacing w:after="0"/>
              <w:rPr>
                <w:sz w:val="21"/>
                <w:szCs w:val="21"/>
                <w:color w:val="auto"/>
              </w:rPr>
            </w:pPr>
          </w:p>
        </w:tc>
      </w:tr>
      <w:tr>
        <w:trPr>
          <w:trHeight w:val="23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credit losses - loans</w:t>
            </w:r>
          </w:p>
        </w:tc>
        <w:tc>
          <w:tcPr>
            <w:tcW w:w="1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(170 )</w:t>
            </w:r>
          </w:p>
        </w:tc>
        <w:tc>
          <w:tcPr>
            <w:tcW w:w="5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(65 )</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r>
      <w:tr>
        <w:trPr>
          <w:trHeight w:val="247"/>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(148 )</w:t>
            </w:r>
          </w:p>
        </w:tc>
        <w:tc>
          <w:tcPr>
            <w:tcW w:w="2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(148 )</w:t>
            </w:r>
          </w:p>
        </w:tc>
      </w:tr>
      <w:tr>
        <w:trPr>
          <w:trHeight w:val="264"/>
        </w:trPr>
        <w:tc>
          <w:tcPr>
            <w:tcW w:w="290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FF0FC"/>
              <w:right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right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right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right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bottom w:val="single" w:sz="8" w:color="CFF0FC"/>
              <w:right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FF0FC"/>
            </w:tcBorders>
          </w:tcPr>
          <w:p>
            <w:pPr>
              <w:spacing w:after="0"/>
              <w:rPr>
                <w:sz w:val="22"/>
                <w:szCs w:val="22"/>
                <w:color w:val="auto"/>
              </w:rPr>
            </w:pPr>
          </w:p>
        </w:tc>
      </w:tr>
      <w:tr>
        <w:trPr>
          <w:trHeight w:val="261"/>
        </w:trPr>
        <w:tc>
          <w:tcPr>
            <w:tcW w:w="29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140" w:type="dxa"/>
            <w:vAlign w:val="bottom"/>
            <w:tcBorders>
              <w:top w:val="single" w:sz="8" w:color="CFF0FC"/>
              <w:bottom w:val="single" w:sz="8" w:color="CFF0FC"/>
              <w:right w:val="single" w:sz="8" w:color="auto"/>
            </w:tcBorders>
            <w:shd w:val="clear" w:color="auto" w:fill="CFF0FC"/>
          </w:tcPr>
          <w:p>
            <w:pPr>
              <w:spacing w:after="0"/>
              <w:rPr>
                <w:sz w:val="22"/>
                <w:szCs w:val="22"/>
                <w:color w:val="auto"/>
              </w:rPr>
            </w:pPr>
          </w:p>
        </w:tc>
        <w:tc>
          <w:tcPr>
            <w:tcW w:w="500" w:type="dxa"/>
            <w:vAlign w:val="bottom"/>
            <w:tcBorders>
              <w:top w:val="single" w:sz="8" w:color="CFF0FC"/>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tcBorders>
              <w:top w:val="single" w:sz="8" w:color="CFF0FC"/>
              <w:bottom w:val="single" w:sz="8" w:color="CFF0FC"/>
              <w:right w:val="single" w:sz="8" w:color="auto"/>
            </w:tcBorders>
            <w:shd w:val="clear" w:color="auto" w:fill="CFF0FC"/>
          </w:tcPr>
          <w:p>
            <w:pPr>
              <w:spacing w:after="0"/>
              <w:rPr>
                <w:sz w:val="22"/>
                <w:szCs w:val="22"/>
                <w:color w:val="auto"/>
              </w:rPr>
            </w:pPr>
          </w:p>
        </w:tc>
        <w:tc>
          <w:tcPr>
            <w:tcW w:w="2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Borders>
              <w:top w:val="single" w:sz="8" w:color="CFF0FC"/>
              <w:bottom w:val="single" w:sz="8" w:color="CFF0FC"/>
              <w:right w:val="single" w:sz="8" w:color="auto"/>
            </w:tcBorders>
            <w:shd w:val="clear" w:color="auto" w:fill="CFF0FC"/>
          </w:tcPr>
          <w:p>
            <w:pPr>
              <w:spacing w:after="0"/>
              <w:rPr>
                <w:sz w:val="22"/>
                <w:szCs w:val="22"/>
                <w:color w:val="auto"/>
              </w:rPr>
            </w:pPr>
          </w:p>
        </w:tc>
        <w:tc>
          <w:tcPr>
            <w:tcW w:w="380" w:type="dxa"/>
            <w:vAlign w:val="bottom"/>
            <w:tcBorders>
              <w:top w:val="single" w:sz="8" w:color="CFF0FC"/>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16,805</w:t>
            </w:r>
          </w:p>
        </w:tc>
        <w:tc>
          <w:tcPr>
            <w:tcW w:w="140" w:type="dxa"/>
            <w:vAlign w:val="bottom"/>
            <w:tcBorders>
              <w:top w:val="single" w:sz="8" w:color="CFF0FC"/>
              <w:bottom w:val="single" w:sz="8" w:color="CFF0FC"/>
              <w:right w:val="single" w:sz="8" w:color="auto"/>
            </w:tcBorders>
            <w:shd w:val="clear" w:color="auto" w:fill="CFF0FC"/>
          </w:tcPr>
          <w:p>
            <w:pPr>
              <w:spacing w:after="0"/>
              <w:rPr>
                <w:sz w:val="22"/>
                <w:szCs w:val="22"/>
                <w:color w:val="auto"/>
              </w:rPr>
            </w:pPr>
          </w:p>
        </w:tc>
        <w:tc>
          <w:tcPr>
            <w:tcW w:w="2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40" w:type="dxa"/>
            <w:vAlign w:val="bottom"/>
            <w:tcBorders>
              <w:top w:val="single" w:sz="8" w:color="CFF0FC"/>
              <w:bottom w:val="single" w:sz="8" w:color="CFF0FC"/>
              <w:right w:val="single" w:sz="8" w:color="auto"/>
            </w:tcBorders>
            <w:shd w:val="clear" w:color="auto" w:fill="CFF0FC"/>
          </w:tcPr>
          <w:p>
            <w:pPr>
              <w:spacing w:after="0"/>
              <w:rPr>
                <w:sz w:val="22"/>
                <w:szCs w:val="22"/>
                <w:color w:val="auto"/>
              </w:rPr>
            </w:pPr>
          </w:p>
        </w:tc>
        <w:tc>
          <w:tcPr>
            <w:tcW w:w="18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40" w:type="dxa"/>
            <w:vAlign w:val="bottom"/>
            <w:tcBorders>
              <w:top w:val="single" w:sz="8" w:color="CFF0FC"/>
              <w:bottom w:val="single" w:sz="8" w:color="CFF0FC"/>
              <w:right w:val="single" w:sz="8" w:color="auto"/>
            </w:tcBorders>
            <w:shd w:val="clear" w:color="auto" w:fill="CFF0FC"/>
          </w:tcPr>
          <w:p>
            <w:pPr>
              <w:spacing w:after="0"/>
              <w:rPr>
                <w:sz w:val="22"/>
                <w:szCs w:val="22"/>
                <w:color w:val="auto"/>
              </w:rPr>
            </w:pPr>
          </w:p>
        </w:tc>
        <w:tc>
          <w:tcPr>
            <w:tcW w:w="280" w:type="dxa"/>
            <w:vAlign w:val="bottom"/>
            <w:tcBorders>
              <w:top w:val="single" w:sz="8" w:color="CFF0FC"/>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25,277</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r>
      <w:tr>
        <w:trPr>
          <w:trHeight w:val="520"/>
        </w:trPr>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-3128010</wp:posOffset>
            </wp:positionV>
            <wp:extent cx="7683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-3110865</wp:posOffset>
            </wp:positionV>
            <wp:extent cx="7683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-3291205</wp:posOffset>
            </wp:positionV>
            <wp:extent cx="7683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-3128010</wp:posOffset>
            </wp:positionV>
            <wp:extent cx="7747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-3110865</wp:posOffset>
            </wp:positionV>
            <wp:extent cx="7747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-3291205</wp:posOffset>
            </wp:positionV>
            <wp:extent cx="7747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-3128010</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-3110865</wp:posOffset>
            </wp:positionV>
            <wp:extent cx="685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-3291205</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-3128010</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-3110865</wp:posOffset>
            </wp:positionV>
            <wp:extent cx="6858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-3291205</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-3128010</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-3110865</wp:posOffset>
            </wp:positionV>
            <wp:extent cx="6858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-3291205</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-3128010</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-3110865</wp:posOffset>
            </wp:positionV>
            <wp:extent cx="6858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-3291205</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-3128010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-864870</wp:posOffset>
            </wp:positionV>
            <wp:extent cx="7683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-847725</wp:posOffset>
            </wp:positionV>
            <wp:extent cx="7683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-1028065</wp:posOffset>
            </wp:positionV>
            <wp:extent cx="7683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-864870</wp:posOffset>
            </wp:positionV>
            <wp:extent cx="7747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-847725</wp:posOffset>
            </wp:positionV>
            <wp:extent cx="7747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-1028065</wp:posOffset>
            </wp:positionV>
            <wp:extent cx="7747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-864870</wp:posOffset>
            </wp:positionV>
            <wp:extent cx="6858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-847725</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-1028065</wp:posOffset>
            </wp:positionV>
            <wp:extent cx="6858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-864870</wp:posOffset>
            </wp:positionV>
            <wp:extent cx="6858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-847725</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-1028065</wp:posOffset>
            </wp:positionV>
            <wp:extent cx="6858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-864870</wp:posOffset>
            </wp:positionV>
            <wp:extent cx="6858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-847725</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-1028065</wp:posOffset>
            </wp:positionV>
            <wp:extent cx="6858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-864870</wp:posOffset>
            </wp:positionV>
            <wp:extent cx="6858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-847725</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-1028065</wp:posOffset>
            </wp:positionV>
            <wp:extent cx="6858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88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0"/>
        </w:trPr>
        <w:tc>
          <w:tcPr>
            <w:tcW w:w="2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(In Thousands)</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2900" w:type="dxa"/>
            <w:vAlign w:val="bottom"/>
          </w:tcPr>
          <w:p>
            <w:pPr>
              <w:spacing w:after="0"/>
              <w:rPr>
                <w:sz w:val="18"/>
                <w:szCs w:val="18"/>
                <w:color w:val="auto"/>
              </w:rPr>
            </w:pPr>
          </w:p>
        </w:tc>
        <w:tc>
          <w:tcPr>
            <w:tcW w:w="9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Real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9"/>
              </w:rPr>
              <w:t>Agricultural</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and</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Estate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8"/>
                <w:szCs w:val="18"/>
                <w:color w:val="auto"/>
              </w:rPr>
              <w:t>Real Estate</w:t>
            </w:r>
          </w:p>
        </w:tc>
        <w:tc>
          <w:tcPr>
            <w:tcW w:w="1200" w:type="dxa"/>
            <w:vAlign w:val="bottom"/>
            <w:tcBorders>
              <w:right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Agricultural</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Consumer</w:t>
            </w:r>
          </w:p>
        </w:tc>
        <w:tc>
          <w:tcPr>
            <w:tcW w:w="28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07"/>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right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52"/>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7"/>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40" w:type="dxa"/>
            <w:vAlign w:val="bottom"/>
            <w:tcBorders>
              <w:right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5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2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100" w:type="dxa"/>
            <w:vAlign w:val="bottom"/>
            <w:shd w:val="clear" w:color="auto" w:fill="CFF0FC"/>
          </w:tcPr>
          <w:p>
            <w:pPr>
              <w:spacing w:after="0"/>
              <w:rPr>
                <w:sz w:val="21"/>
                <w:szCs w:val="21"/>
                <w:color w:val="auto"/>
              </w:rPr>
            </w:pPr>
          </w:p>
        </w:tc>
      </w:tr>
      <w:tr>
        <w:trPr>
          <w:trHeight w:val="23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Adoption of ASU 2016-13</w:t>
            </w:r>
          </w:p>
        </w:tc>
        <w:tc>
          <w:tcPr>
            <w:tcW w:w="120" w:type="dxa"/>
            <w:vAlign w:val="bottom"/>
          </w:tcPr>
          <w:p>
            <w:pPr>
              <w:spacing w:after="0"/>
              <w:rPr>
                <w:sz w:val="20"/>
                <w:szCs w:val="20"/>
                <w:color w:val="auto"/>
              </w:rPr>
            </w:pPr>
          </w:p>
        </w:tc>
        <w:tc>
          <w:tcPr>
            <w:tcW w:w="8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Borders>
              <w:right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(166 )</w:t>
            </w:r>
          </w:p>
        </w:tc>
        <w:tc>
          <w:tcPr>
            <w:tcW w:w="22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(650 )</w:t>
            </w: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(2,165 )</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tcPr>
          <w:p>
            <w:pPr>
              <w:spacing w:after="0"/>
              <w:rPr>
                <w:sz w:val="20"/>
                <w:szCs w:val="20"/>
                <w:color w:val="auto"/>
              </w:rPr>
            </w:pPr>
          </w:p>
        </w:tc>
      </w:tr>
      <w:tr>
        <w:trPr>
          <w:trHeight w:val="247"/>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credit losses-loans</w:t>
            </w:r>
          </w:p>
        </w:tc>
        <w:tc>
          <w:tcPr>
            <w:tcW w:w="120" w:type="dxa"/>
            <w:vAlign w:val="bottom"/>
            <w:shd w:val="clear" w:color="auto" w:fill="CFF0FC"/>
          </w:tcPr>
          <w:p>
            <w:pPr>
              <w:spacing w:after="0"/>
              <w:rPr>
                <w:sz w:val="21"/>
                <w:szCs w:val="21"/>
                <w:color w:val="auto"/>
              </w:rPr>
            </w:pPr>
          </w:p>
        </w:tc>
        <w:tc>
          <w:tcPr>
            <w:tcW w:w="80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(527 )</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shd w:val="clear" w:color="auto" w:fill="CFF0FC"/>
          </w:tcPr>
          <w:p>
            <w:pPr>
              <w:spacing w:after="0"/>
              <w:rPr>
                <w:sz w:val="21"/>
                <w:szCs w:val="21"/>
                <w:color w:val="auto"/>
              </w:rPr>
            </w:pPr>
          </w:p>
        </w:tc>
      </w:tr>
      <w:tr>
        <w:trPr>
          <w:trHeight w:val="23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(330 )</w:t>
            </w:r>
          </w:p>
        </w:tc>
        <w:tc>
          <w:tcPr>
            <w:tcW w:w="2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(330 )</w:t>
            </w:r>
          </w:p>
        </w:tc>
      </w:tr>
      <w:tr>
        <w:trPr>
          <w:trHeight w:val="267"/>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120" w:type="dxa"/>
            <w:vAlign w:val="bottom"/>
            <w:tcBorders>
              <w:bottom w:val="single" w:sz="8" w:color="auto"/>
            </w:tcBorders>
            <w:shd w:val="clear" w:color="auto" w:fill="CFF0FC"/>
          </w:tcPr>
          <w:p>
            <w:pPr>
              <w:spacing w:after="0"/>
              <w:rPr>
                <w:sz w:val="23"/>
                <w:szCs w:val="2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right w:val="single" w:sz="8" w:color="auto"/>
            </w:tcBorders>
            <w:shd w:val="clear" w:color="auto" w:fill="CFF0FC"/>
          </w:tcPr>
          <w:p>
            <w:pPr>
              <w:spacing w:after="0"/>
              <w:rPr>
                <w:sz w:val="23"/>
                <w:szCs w:val="23"/>
                <w:color w:val="auto"/>
              </w:rPr>
            </w:pPr>
          </w:p>
        </w:tc>
        <w:tc>
          <w:tcPr>
            <w:tcW w:w="80" w:type="dxa"/>
            <w:vAlign w:val="bottom"/>
            <w:tcBorders>
              <w:bottom w:val="single" w:sz="8" w:color="auto"/>
            </w:tcBorders>
            <w:shd w:val="clear" w:color="auto" w:fill="CFF0FC"/>
          </w:tcPr>
          <w:p>
            <w:pPr>
              <w:spacing w:after="0"/>
              <w:rPr>
                <w:sz w:val="23"/>
                <w:szCs w:val="23"/>
                <w:color w:val="auto"/>
              </w:rPr>
            </w:pPr>
          </w:p>
        </w:tc>
        <w:tc>
          <w:tcPr>
            <w:tcW w:w="140" w:type="dxa"/>
            <w:vAlign w:val="bottom"/>
            <w:tcBorders>
              <w:bottom w:val="single" w:sz="8" w:color="auto"/>
              <w:right w:val="single" w:sz="8" w:color="CFF0FC"/>
            </w:tcBorders>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spacing w:after="0"/>
              <w:rPr>
                <w:sz w:val="23"/>
                <w:szCs w:val="23"/>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right w:val="single" w:sz="8" w:color="auto"/>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spacing w:after="0"/>
              <w:rPr>
                <w:sz w:val="23"/>
                <w:szCs w:val="2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right w:val="single" w:sz="8" w:color="auto"/>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right w:val="single" w:sz="8" w:color="auto"/>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Borders>
              <w:right w:val="single" w:sz="8" w:color="auto"/>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spacing w:after="0"/>
              <w:rPr>
                <w:sz w:val="23"/>
                <w:szCs w:val="2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FF0FC"/>
          </w:tcPr>
          <w:p>
            <w:pPr>
              <w:spacing w:after="0"/>
              <w:rPr>
                <w:sz w:val="23"/>
                <w:szCs w:val="23"/>
                <w:color w:val="auto"/>
              </w:rPr>
            </w:pP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140" w:type="dxa"/>
            <w:vAlign w:val="bottom"/>
            <w:tcBorders>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tcBorders>
              <w:right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Borders>
              <w:right w:val="single" w:sz="8" w:color="auto"/>
            </w:tcBorders>
          </w:tcPr>
          <w:p>
            <w:pPr>
              <w:spacing w:after="0"/>
              <w:rPr>
                <w:sz w:val="18"/>
                <w:szCs w:val="18"/>
                <w:color w:val="auto"/>
              </w:rPr>
            </w:pP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16,805</w:t>
            </w:r>
          </w:p>
        </w:tc>
        <w:tc>
          <w:tcPr>
            <w:tcW w:w="140" w:type="dxa"/>
            <w:vAlign w:val="bottom"/>
            <w:tcBorders>
              <w:right w:val="single" w:sz="8" w:color="auto"/>
            </w:tcBorders>
          </w:tcPr>
          <w:p>
            <w:pPr>
              <w:spacing w:after="0"/>
              <w:rPr>
                <w:sz w:val="18"/>
                <w:szCs w:val="18"/>
                <w:color w:val="auto"/>
              </w:rPr>
            </w:pP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20" w:type="dxa"/>
            <w:vAlign w:val="bottom"/>
            <w:tcBorders>
              <w:right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40" w:type="dxa"/>
            <w:vAlign w:val="bottom"/>
            <w:tcBorders>
              <w:right w:val="single" w:sz="8" w:color="auto"/>
            </w:tcBorders>
          </w:tcPr>
          <w:p>
            <w:pPr>
              <w:spacing w:after="0"/>
              <w:rPr>
                <w:sz w:val="18"/>
                <w:szCs w:val="18"/>
                <w:color w:val="auto"/>
              </w:rPr>
            </w:pP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25,277</w:t>
            </w:r>
          </w:p>
        </w:tc>
        <w:tc>
          <w:tcPr>
            <w:tcW w:w="100" w:type="dxa"/>
            <w:vAlign w:val="bottom"/>
          </w:tcPr>
          <w:p>
            <w:pPr>
              <w:spacing w:after="0"/>
              <w:rPr>
                <w:sz w:val="18"/>
                <w:szCs w:val="18"/>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9"/>
        </w:trPr>
        <w:tc>
          <w:tcPr>
            <w:tcW w:w="2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(In Thousands)</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right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color w:val="auto"/>
                <w:w w:val="97"/>
              </w:rPr>
              <w:t>Consumer</w:t>
            </w:r>
          </w:p>
        </w:tc>
        <w:tc>
          <w:tcPr>
            <w:tcW w:w="120" w:type="dxa"/>
            <w:vAlign w:val="bottom"/>
          </w:tcPr>
          <w:p>
            <w:pPr>
              <w:spacing w:after="0"/>
              <w:rPr>
                <w:sz w:val="18"/>
                <w:szCs w:val="18"/>
                <w:color w:val="auto"/>
              </w:rPr>
            </w:pPr>
          </w:p>
        </w:tc>
        <w:tc>
          <w:tcPr>
            <w:tcW w:w="1140" w:type="dxa"/>
            <w:vAlign w:val="bottom"/>
            <w:tcBorders>
              <w:right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9"/>
              </w:rPr>
              <w:t>Agricultural</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and</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00" w:type="dxa"/>
            <w:vAlign w:val="bottom"/>
          </w:tcPr>
          <w:p>
            <w:pPr>
              <w:spacing w:after="0"/>
              <w:rPr>
                <w:sz w:val="20"/>
                <w:szCs w:val="20"/>
                <w:color w:val="auto"/>
              </w:rPr>
            </w:pPr>
          </w:p>
        </w:tc>
        <w:tc>
          <w:tcPr>
            <w:tcW w:w="114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0"/>
                <w:szCs w:val="20"/>
                <w:color w:val="auto"/>
              </w:rPr>
            </w:pPr>
          </w:p>
        </w:tc>
        <w:tc>
          <w:tcPr>
            <w:tcW w:w="1140" w:type="dxa"/>
            <w:vAlign w:val="bottom"/>
            <w:tcBorders>
              <w:right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8"/>
              </w:rPr>
              <w:t>Real Estate</w:t>
            </w:r>
          </w:p>
        </w:tc>
        <w:tc>
          <w:tcPr>
            <w:tcW w:w="1200" w:type="dxa"/>
            <w:vAlign w:val="bottom"/>
            <w:tcBorders>
              <w:right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Agricultural</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Consumer</w:t>
            </w:r>
          </w:p>
        </w:tc>
        <w:tc>
          <w:tcPr>
            <w:tcW w:w="280" w:type="dxa"/>
            <w:vAlign w:val="bottom"/>
          </w:tcPr>
          <w:p>
            <w:pPr>
              <w:spacing w:after="0"/>
              <w:rPr>
                <w:sz w:val="20"/>
                <w:szCs w:val="20"/>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20" w:type="dxa"/>
            <w:vAlign w:val="bottom"/>
            <w:tcBorders>
              <w:top w:val="single" w:sz="8" w:color="auto"/>
            </w:tcBorders>
            <w:shd w:val="clear" w:color="auto" w:fill="CFF0FC"/>
          </w:tcPr>
          <w:p>
            <w:pPr>
              <w:spacing w:after="0"/>
              <w:rPr>
                <w:sz w:val="21"/>
                <w:szCs w:val="21"/>
                <w:color w:val="auto"/>
              </w:rPr>
            </w:pPr>
          </w:p>
        </w:tc>
        <w:tc>
          <w:tcPr>
            <w:tcW w:w="66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right w:val="single" w:sz="8" w:color="CFF0FC"/>
            </w:tcBorders>
            <w:shd w:val="clear" w:color="auto" w:fill="CFF0FC"/>
          </w:tcPr>
          <w:p>
            <w:pPr>
              <w:spacing w:after="0"/>
              <w:rPr>
                <w:sz w:val="21"/>
                <w:szCs w:val="21"/>
                <w:color w:val="auto"/>
              </w:rPr>
            </w:pPr>
          </w:p>
        </w:tc>
        <w:tc>
          <w:tcPr>
            <w:tcW w:w="8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120" w:type="dxa"/>
            <w:vAlign w:val="bottom"/>
            <w:tcBorders>
              <w:right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07"/>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40" w:type="dxa"/>
            <w:vAlign w:val="bottom"/>
            <w:tcBorders>
              <w:right w:val="single" w:sz="8" w:color="auto"/>
            </w:tcBorders>
            <w:shd w:val="clear" w:color="auto" w:fill="CFF0FC"/>
          </w:tcPr>
          <w:p>
            <w:pPr>
              <w:spacing w:after="0"/>
              <w:rPr>
                <w:sz w:val="21"/>
                <w:szCs w:val="21"/>
                <w:color w:val="auto"/>
              </w:rPr>
            </w:pPr>
          </w:p>
        </w:tc>
        <w:tc>
          <w:tcPr>
            <w:tcW w:w="5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2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100" w:type="dxa"/>
            <w:vAlign w:val="bottom"/>
            <w:shd w:val="clear" w:color="auto" w:fill="CFF0FC"/>
          </w:tcPr>
          <w:p>
            <w:pPr>
              <w:spacing w:after="0"/>
              <w:rPr>
                <w:sz w:val="21"/>
                <w:szCs w:val="21"/>
                <w:color w:val="auto"/>
              </w:rPr>
            </w:pPr>
          </w:p>
        </w:tc>
      </w:tr>
      <w:tr>
        <w:trPr>
          <w:trHeight w:val="23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Adoption of ASU 2016-13</w:t>
            </w:r>
          </w:p>
        </w:tc>
        <w:tc>
          <w:tcPr>
            <w:tcW w:w="1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Borders>
              <w:right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(166 )</w:t>
            </w:r>
          </w:p>
        </w:tc>
        <w:tc>
          <w:tcPr>
            <w:tcW w:w="22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(650 )</w:t>
            </w: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(2,165 )</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tcPr>
          <w:p>
            <w:pPr>
              <w:spacing w:after="0"/>
              <w:rPr>
                <w:sz w:val="20"/>
                <w:szCs w:val="20"/>
                <w:color w:val="auto"/>
              </w:rPr>
            </w:pPr>
          </w:p>
        </w:tc>
      </w:tr>
      <w:tr>
        <w:trPr>
          <w:trHeight w:val="247"/>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credit losses - loans</w:t>
            </w:r>
          </w:p>
        </w:tc>
        <w:tc>
          <w:tcPr>
            <w:tcW w:w="120" w:type="dxa"/>
            <w:vAlign w:val="bottom"/>
            <w:shd w:val="clear" w:color="auto" w:fill="CFF0FC"/>
          </w:tcPr>
          <w:p>
            <w:pPr>
              <w:spacing w:after="0"/>
              <w:rPr>
                <w:sz w:val="21"/>
                <w:szCs w:val="21"/>
                <w:color w:val="auto"/>
              </w:rPr>
            </w:pPr>
          </w:p>
        </w:tc>
        <w:tc>
          <w:tcPr>
            <w:tcW w:w="1020" w:type="dxa"/>
            <w:vAlign w:val="bottom"/>
            <w:tcBorders>
              <w:right w:val="single" w:sz="8" w:color="auto"/>
            </w:tcBorders>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(326 )</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(643 )</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shd w:val="clear" w:color="auto" w:fill="CFF0FC"/>
          </w:tcPr>
          <w:p>
            <w:pPr>
              <w:spacing w:after="0"/>
              <w:rPr>
                <w:sz w:val="21"/>
                <w:szCs w:val="21"/>
                <w:color w:val="auto"/>
              </w:rPr>
            </w:pPr>
          </w:p>
        </w:tc>
      </w:tr>
      <w:tr>
        <w:trPr>
          <w:trHeight w:val="239"/>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Charge-offs</w:t>
            </w:r>
          </w:p>
        </w:tc>
        <w:tc>
          <w:tcPr>
            <w:tcW w:w="12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(565 )</w:t>
            </w:r>
          </w:p>
        </w:tc>
        <w:tc>
          <w:tcPr>
            <w:tcW w:w="20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(425 )</w:t>
            </w:r>
          </w:p>
        </w:tc>
        <w:tc>
          <w:tcPr>
            <w:tcW w:w="2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(990 )</w:t>
            </w:r>
          </w:p>
        </w:tc>
      </w:tr>
      <w:tr>
        <w:trPr>
          <w:trHeight w:val="247"/>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right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shd w:val="clear" w:color="auto" w:fill="CFF0FC"/>
          </w:tcPr>
          <w:p>
            <w:pPr>
              <w:spacing w:after="0"/>
              <w:rPr>
                <w:sz w:val="21"/>
                <w:szCs w:val="21"/>
                <w:color w:val="auto"/>
              </w:rPr>
            </w:pPr>
          </w:p>
        </w:tc>
        <w:tc>
          <w:tcPr>
            <w:tcW w:w="140" w:type="dxa"/>
            <w:vAlign w:val="bottom"/>
            <w:tcBorders>
              <w:right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right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right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right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FF0FC"/>
          </w:tcPr>
          <w:p>
            <w:pPr>
              <w:spacing w:after="0"/>
              <w:rPr>
                <w:sz w:val="21"/>
                <w:szCs w:val="21"/>
                <w:color w:val="auto"/>
              </w:rPr>
            </w:pPr>
          </w:p>
        </w:tc>
      </w:tr>
      <w:tr>
        <w:trPr>
          <w:trHeight w:val="23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40" w:type="dxa"/>
            <w:vAlign w:val="bottom"/>
            <w:tcBorders>
              <w:right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right w:val="single" w:sz="8" w:color="auto"/>
            </w:tcBorders>
          </w:tcPr>
          <w:p>
            <w:pPr>
              <w:spacing w:after="0"/>
              <w:rPr>
                <w:sz w:val="20"/>
                <w:szCs w:val="20"/>
                <w:color w:val="auto"/>
              </w:rPr>
            </w:pPr>
          </w:p>
        </w:tc>
        <w:tc>
          <w:tcPr>
            <w:tcW w:w="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2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100" w:type="dxa"/>
            <w:vAlign w:val="bottom"/>
          </w:tcPr>
          <w:p>
            <w:pPr>
              <w:spacing w:after="0"/>
              <w:rPr>
                <w:sz w:val="20"/>
                <w:szCs w:val="20"/>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1"/>
        </w:trPr>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9"/>
              </w:rPr>
              <w:t>33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break down the activity in the AULC for the three and nine months ended September 30, 2024 and September 30, 2023 in addition to the ending balances as of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 Thousands)</w:t>
            </w:r>
          </w:p>
        </w:tc>
        <w:tc>
          <w:tcPr>
            <w:tcW w:w="1120" w:type="dxa"/>
            <w:vAlign w:val="bottom"/>
          </w:tcPr>
          <w:p>
            <w:pPr>
              <w:spacing w:after="0"/>
              <w:rPr>
                <w:sz w:val="20"/>
                <w:szCs w:val="20"/>
                <w:color w:val="auto"/>
              </w:rPr>
            </w:pPr>
          </w:p>
        </w:tc>
      </w:tr>
      <w:tr>
        <w:trPr>
          <w:trHeight w:val="211"/>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Unfunded</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Loan</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Commitment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&amp; Letters of</w:t>
            </w:r>
          </w:p>
        </w:tc>
        <w:tc>
          <w:tcPr>
            <w:tcW w:w="1120" w:type="dxa"/>
            <w:vAlign w:val="bottom"/>
          </w:tcPr>
          <w:p>
            <w:pPr>
              <w:spacing w:after="0"/>
              <w:rPr>
                <w:sz w:val="18"/>
                <w:szCs w:val="18"/>
                <w:color w:val="auto"/>
              </w:rPr>
            </w:pPr>
          </w:p>
        </w:tc>
      </w:tr>
      <w:tr>
        <w:trPr>
          <w:trHeight w:val="241"/>
        </w:trPr>
        <w:tc>
          <w:tcPr>
            <w:tcW w:w="114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Credit</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240" w:type="dxa"/>
            <w:vAlign w:val="bottom"/>
            <w:tcBorders>
              <w:top w:val="single" w:sz="8" w:color="auto"/>
            </w:tcBorders>
            <w:shd w:val="clear" w:color="auto" w:fill="CFF0FC"/>
          </w:tcPr>
          <w:p>
            <w:pPr>
              <w:spacing w:after="0"/>
              <w:rPr>
                <w:sz w:val="21"/>
                <w:szCs w:val="21"/>
                <w:color w:val="auto"/>
              </w:rPr>
            </w:pPr>
          </w:p>
        </w:tc>
        <w:tc>
          <w:tcPr>
            <w:tcW w:w="16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07"/>
        </w:trPr>
        <w:tc>
          <w:tcPr>
            <w:tcW w:w="11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5"/>
        </w:trPr>
        <w:tc>
          <w:tcPr>
            <w:tcW w:w="114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credit losses - off balance sheet credit exposures</w:t>
            </w:r>
          </w:p>
        </w:tc>
        <w:tc>
          <w:tcPr>
            <w:tcW w:w="24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(267 )</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70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678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20"/>
                <w:szCs w:val="20"/>
                <w:color w:val="auto"/>
              </w:rPr>
            </w:pPr>
          </w:p>
        </w:tc>
        <w:tc>
          <w:tcPr>
            <w:tcW w:w="1120" w:type="dxa"/>
            <w:vAlign w:val="bottom"/>
          </w:tcPr>
          <w:p>
            <w:pPr>
              <w:spacing w:after="0"/>
              <w:rPr>
                <w:sz w:val="20"/>
                <w:szCs w:val="20"/>
                <w:color w:val="auto"/>
              </w:rPr>
            </w:pPr>
          </w:p>
        </w:tc>
      </w:tr>
      <w:tr>
        <w:trPr>
          <w:trHeight w:val="281"/>
        </w:trPr>
        <w:tc>
          <w:tcPr>
            <w:tcW w:w="1140" w:type="dxa"/>
            <w:vAlign w:val="bottom"/>
          </w:tcPr>
          <w:p>
            <w:pPr>
              <w:spacing w:after="0"/>
              <w:rPr>
                <w:sz w:val="24"/>
                <w:szCs w:val="24"/>
                <w:color w:val="auto"/>
              </w:rPr>
            </w:pPr>
          </w:p>
        </w:tc>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49"/>
        </w:trPr>
        <w:tc>
          <w:tcPr>
            <w:tcW w:w="114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 Thousands)</w:t>
            </w:r>
          </w:p>
        </w:tc>
        <w:tc>
          <w:tcPr>
            <w:tcW w:w="1120" w:type="dxa"/>
            <w:vAlign w:val="bottom"/>
          </w:tcPr>
          <w:p>
            <w:pPr>
              <w:spacing w:after="0"/>
              <w:rPr>
                <w:sz w:val="24"/>
                <w:szCs w:val="24"/>
                <w:color w:val="auto"/>
              </w:rPr>
            </w:pPr>
          </w:p>
        </w:tc>
      </w:tr>
      <w:tr>
        <w:trPr>
          <w:trHeight w:val="211"/>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Unfunded</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Loan</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Commitment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&amp; Letters of</w:t>
            </w:r>
          </w:p>
        </w:tc>
        <w:tc>
          <w:tcPr>
            <w:tcW w:w="1120" w:type="dxa"/>
            <w:vAlign w:val="bottom"/>
          </w:tcPr>
          <w:p>
            <w:pPr>
              <w:spacing w:after="0"/>
              <w:rPr>
                <w:sz w:val="18"/>
                <w:szCs w:val="18"/>
                <w:color w:val="auto"/>
              </w:rPr>
            </w:pPr>
          </w:p>
        </w:tc>
      </w:tr>
      <w:tr>
        <w:trPr>
          <w:trHeight w:val="241"/>
        </w:trPr>
        <w:tc>
          <w:tcPr>
            <w:tcW w:w="114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Credit</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40" w:type="dxa"/>
            <w:vAlign w:val="bottom"/>
            <w:tcBorders>
              <w:top w:val="single" w:sz="8" w:color="auto"/>
            </w:tcBorders>
            <w:shd w:val="clear" w:color="auto" w:fill="CFF0FC"/>
          </w:tcPr>
          <w:p>
            <w:pPr>
              <w:spacing w:after="0"/>
              <w:rPr>
                <w:sz w:val="21"/>
                <w:szCs w:val="21"/>
                <w:color w:val="auto"/>
              </w:rPr>
            </w:pPr>
          </w:p>
        </w:tc>
        <w:tc>
          <w:tcPr>
            <w:tcW w:w="16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07"/>
        </w:trPr>
        <w:tc>
          <w:tcPr>
            <w:tcW w:w="11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5"/>
        </w:trPr>
        <w:tc>
          <w:tcPr>
            <w:tcW w:w="114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credit losses-off balance sheet credit exposures</w:t>
            </w:r>
          </w:p>
        </w:tc>
        <w:tc>
          <w:tcPr>
            <w:tcW w:w="24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(551 )</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70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678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20"/>
                <w:szCs w:val="20"/>
                <w:color w:val="auto"/>
              </w:rPr>
            </w:pPr>
          </w:p>
        </w:tc>
        <w:tc>
          <w:tcPr>
            <w:tcW w:w="1120" w:type="dxa"/>
            <w:vAlign w:val="bottom"/>
          </w:tcPr>
          <w:p>
            <w:pPr>
              <w:spacing w:after="0"/>
              <w:rPr>
                <w:sz w:val="20"/>
                <w:szCs w:val="20"/>
                <w:color w:val="auto"/>
              </w:rPr>
            </w:pPr>
          </w:p>
        </w:tc>
      </w:tr>
      <w:tr>
        <w:trPr>
          <w:trHeight w:val="281"/>
        </w:trPr>
        <w:tc>
          <w:tcPr>
            <w:tcW w:w="1140" w:type="dxa"/>
            <w:vAlign w:val="bottom"/>
          </w:tcPr>
          <w:p>
            <w:pPr>
              <w:spacing w:after="0"/>
              <w:rPr>
                <w:sz w:val="24"/>
                <w:szCs w:val="24"/>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80" w:type="dxa"/>
            <w:vAlign w:val="bottom"/>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521"/>
        </w:trPr>
        <w:tc>
          <w:tcPr>
            <w:tcW w:w="1140" w:type="dxa"/>
            <w:vAlign w:val="bottom"/>
          </w:tcPr>
          <w:p>
            <w:pPr>
              <w:spacing w:after="0"/>
              <w:rPr>
                <w:sz w:val="24"/>
                <w:szCs w:val="24"/>
                <w:color w:val="auto"/>
              </w:rPr>
            </w:pPr>
          </w:p>
        </w:tc>
        <w:tc>
          <w:tcPr>
            <w:tcW w:w="6780" w:type="dxa"/>
            <w:vAlign w:val="bottom"/>
            <w:tcBorders>
              <w:top w:val="single" w:sz="8" w:color="CFF0FC"/>
            </w:tcBorders>
          </w:tcPr>
          <w:p>
            <w:pPr>
              <w:ind w:left="440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-3265170</wp:posOffset>
            </wp:positionV>
            <wp:extent cx="5143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-3248025</wp:posOffset>
            </wp:positionV>
            <wp:extent cx="5143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-3428365</wp:posOffset>
            </wp:positionV>
            <wp:extent cx="5143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-864870</wp:posOffset>
            </wp:positionV>
            <wp:extent cx="5143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-847725</wp:posOffset>
            </wp:positionV>
            <wp:extent cx="5143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-1028065</wp:posOffset>
            </wp:positionV>
            <wp:extent cx="5143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 Thousands)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Unfunded</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Loan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Commitment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&amp; Letters of</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Credit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240" w:type="dxa"/>
            <w:vAlign w:val="bottom"/>
            <w:tcBorders>
              <w:top w:val="single" w:sz="8" w:color="auto"/>
            </w:tcBorders>
            <w:shd w:val="clear" w:color="auto" w:fill="CFF0FC"/>
          </w:tcPr>
          <w:p>
            <w:pPr>
              <w:spacing w:after="0"/>
              <w:rPr>
                <w:sz w:val="21"/>
                <w:szCs w:val="21"/>
                <w:color w:val="auto"/>
              </w:rPr>
            </w:pPr>
          </w:p>
        </w:tc>
        <w:tc>
          <w:tcPr>
            <w:tcW w:w="16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credit losses - off balance sheet credit exposures</w:t>
            </w:r>
          </w:p>
        </w:tc>
        <w:tc>
          <w:tcPr>
            <w:tcW w:w="240" w:type="dxa"/>
            <w:vAlign w:val="bottom"/>
          </w:tcPr>
          <w:p>
            <w:pPr>
              <w:spacing w:after="0"/>
              <w:rPr>
                <w:sz w:val="20"/>
                <w:szCs w:val="20"/>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70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78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140" w:type="dxa"/>
            <w:vAlign w:val="bottom"/>
          </w:tcPr>
          <w:p>
            <w:pPr>
              <w:spacing w:after="0"/>
              <w:rPr>
                <w:sz w:val="24"/>
                <w:szCs w:val="24"/>
                <w:color w:val="auto"/>
              </w:rPr>
            </w:pPr>
          </w:p>
        </w:tc>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9"/>
        </w:trPr>
        <w:tc>
          <w:tcPr>
            <w:tcW w:w="114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 Thousands)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Unfunded</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Loan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Commitment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&amp; Letters of</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Credit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240" w:type="dxa"/>
            <w:vAlign w:val="bottom"/>
            <w:tcBorders>
              <w:top w:val="single" w:sz="8" w:color="auto"/>
            </w:tcBorders>
            <w:shd w:val="clear" w:color="auto" w:fill="CFF0FC"/>
          </w:tcPr>
          <w:p>
            <w:pPr>
              <w:spacing w:after="0"/>
              <w:rPr>
                <w:sz w:val="21"/>
                <w:szCs w:val="21"/>
                <w:color w:val="auto"/>
              </w:rPr>
            </w:pPr>
          </w:p>
        </w:tc>
        <w:tc>
          <w:tcPr>
            <w:tcW w:w="16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Adoption of ASU 2016-13</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70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for credit losses-off balance sheet credit exposures</w:t>
            </w:r>
          </w:p>
        </w:tc>
        <w:tc>
          <w:tcPr>
            <w:tcW w:w="24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80" w:type="dxa"/>
            <w:vAlign w:val="bottom"/>
            <w:vMerge w:val="restart"/>
          </w:tcPr>
          <w:p>
            <w:pPr>
              <w:ind w:left="440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40" w:type="dxa"/>
            <w:vAlign w:val="bottom"/>
          </w:tcPr>
          <w:p>
            <w:pPr>
              <w:spacing w:after="0"/>
              <w:rPr>
                <w:sz w:val="24"/>
                <w:szCs w:val="24"/>
                <w:color w:val="auto"/>
              </w:rPr>
            </w:pPr>
          </w:p>
        </w:tc>
        <w:tc>
          <w:tcPr>
            <w:tcW w:w="6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-3419475</wp:posOffset>
            </wp:positionV>
            <wp:extent cx="5143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-3402330</wp:posOffset>
            </wp:positionV>
            <wp:extent cx="5143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-3582670</wp:posOffset>
            </wp:positionV>
            <wp:extent cx="5143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(In Thousands)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Unfunded</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Loan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Commitment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&amp; Letters of</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Credit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40" w:type="dxa"/>
            <w:vAlign w:val="bottom"/>
            <w:tcBorders>
              <w:top w:val="single" w:sz="8" w:color="auto"/>
            </w:tcBorders>
            <w:shd w:val="clear" w:color="auto" w:fill="CFF0FC"/>
          </w:tcPr>
          <w:p>
            <w:pPr>
              <w:spacing w:after="0"/>
              <w:rPr>
                <w:sz w:val="21"/>
                <w:szCs w:val="21"/>
                <w:color w:val="auto"/>
              </w:rPr>
            </w:pPr>
          </w:p>
        </w:tc>
        <w:tc>
          <w:tcPr>
            <w:tcW w:w="166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 UNFUNDED LOAN COMMITMENTS AND LETTERS OF</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Adoption of ASU 2016-13</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70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for credit losses - off balance sheet credit exposures</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80" w:type="dxa"/>
            <w:vAlign w:val="bottom"/>
            <w:vMerge w:val="restart"/>
          </w:tcPr>
          <w:p>
            <w:pPr>
              <w:ind w:left="440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140" w:type="dxa"/>
            <w:vAlign w:val="bottom"/>
          </w:tcPr>
          <w:p>
            <w:pPr>
              <w:spacing w:after="0"/>
              <w:rPr>
                <w:sz w:val="24"/>
                <w:szCs w:val="24"/>
                <w:color w:val="auto"/>
              </w:rPr>
            </w:pPr>
          </w:p>
        </w:tc>
        <w:tc>
          <w:tcPr>
            <w:tcW w:w="6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5 SERVICING</w:t>
      </w:r>
    </w:p>
    <w:p>
      <w:pPr>
        <w:spacing w:after="0" w:line="185"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Loans serviced for others are not included in the accompanying Company's consolidated balance sheets. The unpaid principal balances of 1-4 family real estate loans serviced for others were $366.0, $368.2 and $367.8 million at September 30, 2024 and 2023 and at December 31, 2023, respectively. Unpaid principal balances of agricultural real estate loans serviced for others were $140.3, $137.1 and $135.8 million at September 30, 2024 and 2023 and at December 31, 2023, respectively.</w:t>
      </w:r>
    </w:p>
    <w:p>
      <w:pPr>
        <w:spacing w:after="0" w:line="153"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The balance of capitalized servicing rights included in assets at September 30, 2024 and December 31, 2023 for 1-4 family real estate loans, was $3.5 million for both periods. Agricultural real estate loan servicing rights, established in 2023, were $2.2 million and $2.2 million at September 30, 2024 and December 31, 2023, respectively. The capitalized addition of servicing rights is included in loan servicing income on the Company's consolidated statement of income.</w:t>
      </w:r>
    </w:p>
    <w:p>
      <w:pPr>
        <w:spacing w:after="0" w:line="139"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The fair value of the capitalized servicing rights for 1-4 family real estate loans as of September 30, 2024 and 2023 was $5.2 million and $5.3 million, respectively, and at December 31, 2023 was $5.5 million. Capitalized servicing rights for agricultural real estate loans had a fair value of $2.7 million and $2.3 million as of September 30, 2024 and 2023, respectively, and was $2.2 million at December 31, 2023. The valuations were completed by stratifying the loans into like groups based on loan type and term. Impairment was measured by estimating the fair value of each stratum, taking into consideration an estimated level of prepayment based upon current market conditions. An average constant prepayment rate for 1-4 family real estate loans of 7.2% and 6.5% were utilized at September 30, 2024 and 2023, respectively, and 6.3% at December 31, 2023. Agricultural real estate loans utilize an average constant prepayment rate based on the Bank's last twelve months of data. The average constant prepayment rate was 0.156% and 1.209% for fixed rate agricultural real estate loans at September 30, 2024 and 2023, respectively, compared to 0.894% at December 31, 2023. At September 30, 2024, two 1-4 family real estate strata, which included 87 of the total 3,695 loans, were slightly below the carrying value using a discount yield of 5.27% which resulted in the need to establish a $2 thousand valuation allowance. At September 30, 2024, the carrying value of twelve agricultural real estate strata, which included 33 of the total 613 loans, using an approximate discount rate of 8.51% were lower than fair value requiring a $47 thousand valuation allowance to be established.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5"/>
          </w:tcPr>
          <w:p>
            <w:pPr>
              <w:jc w:val="right"/>
              <w:ind w:right="118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288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9"/>
        </w:trPr>
        <w:tc>
          <w:tcPr>
            <w:tcW w:w="50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820" w:type="dxa"/>
            <w:vAlign w:val="bottom"/>
            <w:tcBorders>
              <w:top w:val="single" w:sz="8" w:color="auto"/>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780" w:type="dxa"/>
            <w:vAlign w:val="bottom"/>
            <w:tcBorders>
              <w:top w:val="single" w:sz="8" w:color="auto"/>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20"/>
                <w:szCs w:val="20"/>
                <w:color w:val="auto"/>
              </w:rPr>
            </w:pPr>
          </w:p>
        </w:tc>
      </w:tr>
      <w:tr>
        <w:trPr>
          <w:trHeight w:val="209"/>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8"/>
              </w:rPr>
              <w:t>September 30,</w:t>
            </w:r>
          </w:p>
        </w:tc>
        <w:tc>
          <w:tcPr>
            <w:tcW w:w="1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September 30,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8"/>
              </w:rPr>
              <w:t>September 30,</w:t>
            </w:r>
          </w:p>
        </w:tc>
        <w:tc>
          <w:tcPr>
            <w:tcW w:w="1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September 30,</w:t>
            </w:r>
          </w:p>
        </w:tc>
        <w:tc>
          <w:tcPr>
            <w:tcW w:w="100" w:type="dxa"/>
            <w:vAlign w:val="bottom"/>
          </w:tcPr>
          <w:p>
            <w:pPr>
              <w:spacing w:after="0"/>
              <w:rPr>
                <w:sz w:val="18"/>
                <w:szCs w:val="18"/>
                <w:color w:val="auto"/>
              </w:rPr>
            </w:pPr>
          </w:p>
        </w:tc>
      </w:tr>
      <w:tr>
        <w:trPr>
          <w:trHeight w:val="241"/>
        </w:trPr>
        <w:tc>
          <w:tcPr>
            <w:tcW w:w="5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43"/>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shd w:val="clear" w:color="auto" w:fill="CFF0FC"/>
          </w:tcPr>
          <w:p>
            <w:pPr>
              <w:spacing w:after="0"/>
              <w:rPr>
                <w:sz w:val="21"/>
                <w:szCs w:val="21"/>
                <w:color w:val="auto"/>
              </w:rPr>
            </w:pP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Additions</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Pr>
          <w:p>
            <w:pPr>
              <w:spacing w:after="0"/>
              <w:rPr>
                <w:sz w:val="20"/>
                <w:szCs w:val="20"/>
                <w:color w:val="auto"/>
              </w:rPr>
            </w:pPr>
          </w:p>
        </w:tc>
      </w:tr>
      <w:tr>
        <w:trPr>
          <w:trHeight w:val="243"/>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(177 )</w:t>
            </w:r>
          </w:p>
        </w:tc>
        <w:tc>
          <w:tcPr>
            <w:tcW w:w="1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(105 )</w:t>
            </w:r>
          </w:p>
        </w:tc>
        <w:tc>
          <w:tcPr>
            <w:tcW w:w="1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(532 )</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(426 )</w:t>
            </w:r>
          </w:p>
        </w:tc>
      </w:tr>
      <w:tr>
        <w:trPr>
          <w:trHeight w:val="236"/>
        </w:trPr>
        <w:tc>
          <w:tcPr>
            <w:tcW w:w="5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Ending Balance, September 30,</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100" w:type="dxa"/>
            <w:vAlign w:val="bottom"/>
            <w:tcBorders>
              <w:top w:val="single" w:sz="8" w:color="CFF0FC"/>
            </w:tcBorders>
          </w:tcPr>
          <w:p>
            <w:pPr>
              <w:spacing w:after="0"/>
              <w:rPr>
                <w:sz w:val="20"/>
                <w:szCs w:val="20"/>
                <w:color w:val="auto"/>
              </w:rPr>
            </w:pPr>
          </w:p>
        </w:tc>
      </w:tr>
      <w:tr>
        <w:trPr>
          <w:trHeight w:val="243"/>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41"/>
        </w:trPr>
        <w:tc>
          <w:tcPr>
            <w:tcW w:w="5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Servicing Rights net, September 30,</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00" w:type="dxa"/>
            <w:vAlign w:val="bottom"/>
            <w:tcBorders>
              <w:top w:val="single" w:sz="8" w:color="CFF0FC"/>
            </w:tcBorders>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-504825</wp:posOffset>
            </wp:positionV>
            <wp:extent cx="7683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-504825</wp:posOffset>
            </wp:positionV>
            <wp:extent cx="685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-504825</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-187960</wp:posOffset>
            </wp:positionV>
            <wp:extent cx="7683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6858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6 EARNINGS PER SHARE</w:t>
      </w:r>
    </w:p>
    <w:p>
      <w:pPr>
        <w:spacing w:after="0" w:line="185" w:lineRule="exact"/>
        <w:rPr>
          <w:sz w:val="20"/>
          <w:szCs w:val="20"/>
          <w:color w:val="auto"/>
        </w:rPr>
      </w:pPr>
    </w:p>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in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employee stock based compensation plans.</w:t>
      </w:r>
    </w:p>
    <w:p>
      <w:pPr>
        <w:spacing w:after="0" w:line="167" w:lineRule="exact"/>
        <w:rPr>
          <w:sz w:val="20"/>
          <w:szCs w:val="20"/>
          <w:color w:val="auto"/>
        </w:rPr>
      </w:pPr>
    </w:p>
    <w:p>
      <w:pPr>
        <w:jc w:val="both"/>
        <w:ind w:left="840"/>
        <w:spacing w:after="0" w:line="258" w:lineRule="auto"/>
        <w:rPr>
          <w:sz w:val="20"/>
          <w:szCs w:val="20"/>
          <w:color w:val="auto"/>
        </w:rPr>
      </w:pPr>
      <w:r>
        <w:rPr>
          <w:rFonts w:ascii="Times New Roman" w:cs="Times New Roman" w:eastAsia="Times New Roman" w:hAnsi="Times New Roman"/>
          <w:sz w:val="18"/>
          <w:szCs w:val="18"/>
          <w:color w:val="auto"/>
        </w:rPr>
        <w:t>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 specific dollar amount, rounded to the nearest whole share on an annual basis commencing on June 5, 2020 and thereafter on the first Friday of June in each year.</w:t>
      </w:r>
    </w:p>
    <w:p>
      <w:pPr>
        <w:sectPr>
          <w:pgSz w:w="11900" w:h="16838" w:orient="portrait"/>
          <w:cols w:equalWidth="0" w:num="1">
            <w:col w:w="11240"/>
          </w:cols>
          <w:pgMar w:left="320" w:top="769" w:right="339" w:bottom="1440" w:gutter="0" w:footer="0" w:header="0"/>
        </w:sectPr>
      </w:pP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jc w:val="both"/>
        <w:ind w:left="840"/>
        <w:spacing w:after="0" w:line="258" w:lineRule="auto"/>
        <w:rPr>
          <w:sz w:val="20"/>
          <w:szCs w:val="20"/>
          <w:color w:val="auto"/>
        </w:rPr>
      </w:pPr>
      <w:r>
        <w:rPr>
          <w:rFonts w:ascii="Times New Roman" w:cs="Times New Roman" w:eastAsia="Times New Roman" w:hAnsi="Times New Roman"/>
          <w:sz w:val="18"/>
          <w:szCs w:val="18"/>
          <w:color w:val="auto"/>
        </w:rPr>
        <w:t>Directors receive a prorated dollar value of shares for a partial year of service. The value for the shares is to be based upon the closing price for shares on June 4, 2020 and thereafter on the first Thursday in June in each year. On June 6, 2024, twelve directors each received $15,007 which equated to 716 shares and one director received $5,911 which equated to 282 shares. On June 2, 2023, twelve Directors each received $14,997 which equated to 754 shares. The use of stock for Directors’ retainer, does not have an effect on diluted earnings per share as it is immediately vested.</w:t>
      </w:r>
    </w:p>
    <w:p>
      <w:pPr>
        <w:spacing w:after="0" w:line="156"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Any stock awards to senior management are made in March with officers receiving any awards in August. On March 1, 2024, senior management received stock awards of 23,369 shares worth $472,054 while other officers received stock awards of 36,800 shares worth $979,616 during third quarter 2024. On March 1, 2023, senior management received stock awards of 21,700 shares worth $562,030 while other officers received stock awards of 41,225 shares worth $844,018 during third quarter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6"/>
          </w:tcPr>
          <w:p>
            <w:pPr>
              <w:jc w:val="right"/>
              <w:ind w:right="106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20"/>
                <w:szCs w:val="20"/>
                <w:color w:val="auto"/>
              </w:rPr>
            </w:pPr>
          </w:p>
        </w:tc>
        <w:tc>
          <w:tcPr>
            <w:tcW w:w="2740" w:type="dxa"/>
            <w:vAlign w:val="bottom"/>
            <w:gridSpan w:val="5"/>
          </w:tcPr>
          <w:p>
            <w:pPr>
              <w:jc w:val="right"/>
              <w:ind w:right="610"/>
              <w:spacing w:after="0"/>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September 30,</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8"/>
              </w:rPr>
              <w:t>September 30,</w:t>
            </w: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September 30,</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8"/>
              </w:rPr>
              <w:t>September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FF0FC"/>
          </w:tcPr>
          <w:p>
            <w:pPr>
              <w:ind w:left="17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1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3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17,557</w:t>
            </w:r>
          </w:p>
        </w:tc>
        <w:tc>
          <w:tcPr>
            <w:tcW w:w="10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distributed earnings allocated to participating</w:t>
            </w:r>
          </w:p>
        </w:tc>
        <w:tc>
          <w:tcPr>
            <w:tcW w:w="120" w:type="dxa"/>
            <w:vAlign w:val="bottom"/>
            <w:shd w:val="clear" w:color="auto" w:fill="CFF0FC"/>
          </w:tcPr>
          <w:p>
            <w:pPr>
              <w:spacing w:after="0"/>
              <w:rPr>
                <w:sz w:val="18"/>
                <w:szCs w:val="18"/>
                <w:color w:val="auto"/>
              </w:rPr>
            </w:pPr>
          </w:p>
        </w:tc>
        <w:tc>
          <w:tcPr>
            <w:tcW w:w="13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shd w:val="clear" w:color="auto" w:fill="CFF0FC"/>
          </w:tcPr>
          <w:p>
            <w:pPr>
              <w:spacing w:after="0"/>
              <w:rPr>
                <w:sz w:val="18"/>
                <w:szCs w:val="18"/>
                <w:color w:val="auto"/>
              </w:rPr>
            </w:pPr>
          </w:p>
        </w:tc>
        <w:tc>
          <w:tcPr>
            <w:tcW w:w="13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126"/>
        </w:trPr>
        <w:tc>
          <w:tcPr>
            <w:tcW w:w="502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shd w:val="clear" w:color="auto" w:fill="CFF0FC"/>
          </w:tcPr>
          <w:p>
            <w:pPr>
              <w:spacing w:after="0"/>
              <w:rPr>
                <w:sz w:val="10"/>
                <w:szCs w:val="10"/>
                <w:color w:val="auto"/>
              </w:rPr>
            </w:pPr>
          </w:p>
        </w:tc>
        <w:tc>
          <w:tcPr>
            <w:tcW w:w="134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56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0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undistributed earnings allocated to participating</w:t>
            </w:r>
          </w:p>
        </w:tc>
        <w:tc>
          <w:tcPr>
            <w:tcW w:w="120" w:type="dxa"/>
            <w:vAlign w:val="bottom"/>
          </w:tcPr>
          <w:p>
            <w:pPr>
              <w:spacing w:after="0"/>
              <w:rPr>
                <w:sz w:val="18"/>
                <w:szCs w:val="18"/>
                <w:color w:val="auto"/>
              </w:rPr>
            </w:pPr>
          </w:p>
        </w:tc>
        <w:tc>
          <w:tcPr>
            <w:tcW w:w="13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8"/>
                <w:szCs w:val="18"/>
                <w:color w:val="auto"/>
              </w:rPr>
            </w:pPr>
          </w:p>
        </w:tc>
        <w:tc>
          <w:tcPr>
            <w:tcW w:w="1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(97 )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113"/>
        </w:trPr>
        <w:tc>
          <w:tcPr>
            <w:tcW w:w="5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02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120" w:type="dxa"/>
            <w:vAlign w:val="bottom"/>
            <w:shd w:val="clear" w:color="auto" w:fill="CFF0FC"/>
          </w:tcPr>
          <w:p>
            <w:pPr>
              <w:spacing w:after="0"/>
              <w:rPr>
                <w:sz w:val="24"/>
                <w:szCs w:val="24"/>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3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17,352</w:t>
            </w:r>
          </w:p>
        </w:tc>
        <w:tc>
          <w:tcPr>
            <w:tcW w:w="100" w:type="dxa"/>
            <w:vAlign w:val="bottom"/>
            <w:shd w:val="clear" w:color="auto" w:fill="CFF0FC"/>
          </w:tcPr>
          <w:p>
            <w:pPr>
              <w:spacing w:after="0"/>
              <w:rPr>
                <w:sz w:val="24"/>
                <w:szCs w:val="24"/>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17,059</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including</w:t>
            </w:r>
          </w:p>
        </w:tc>
        <w:tc>
          <w:tcPr>
            <w:tcW w:w="12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13,687,119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13,650,823</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13,679,955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13,633,101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5020" w:type="dxa"/>
            <w:vAlign w:val="bottom"/>
            <w:vMerge w:val="restart"/>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participating securities</w:t>
            </w:r>
          </w:p>
        </w:tc>
        <w:tc>
          <w:tcPr>
            <w:tcW w:w="120" w:type="dxa"/>
            <w:vAlign w:val="bottom"/>
            <w:shd w:val="clear" w:color="auto" w:fill="CFF0FC"/>
          </w:tcPr>
          <w:p>
            <w:pPr>
              <w:spacing w:after="0"/>
              <w:rPr>
                <w:sz w:val="10"/>
                <w:szCs w:val="10"/>
                <w:color w:val="auto"/>
              </w:rPr>
            </w:pPr>
          </w:p>
        </w:tc>
        <w:tc>
          <w:tcPr>
            <w:tcW w:w="12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vMerge w:val="continue"/>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average unvested restricted shares</w:t>
            </w:r>
          </w:p>
        </w:tc>
        <w:tc>
          <w:tcPr>
            <w:tcW w:w="12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(158,748 )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(152,127 )</w:t>
            </w:r>
          </w:p>
        </w:tc>
        <w:tc>
          <w:tcPr>
            <w:tcW w:w="1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(159,823 )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(146,184 )</w:t>
            </w:r>
          </w:p>
        </w:tc>
        <w:tc>
          <w:tcPr>
            <w:tcW w:w="0" w:type="dxa"/>
            <w:vAlign w:val="bottom"/>
          </w:tcPr>
          <w:p>
            <w:pPr>
              <w:spacing w:after="0"/>
              <w:rPr>
                <w:sz w:val="1"/>
                <w:szCs w:val="1"/>
                <w:color w:val="auto"/>
              </w:rPr>
            </w:pPr>
          </w:p>
        </w:tc>
      </w:tr>
      <w:tr>
        <w:trPr>
          <w:trHeight w:val="277"/>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13,528,371</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13,498,696</w:t>
            </w:r>
          </w:p>
        </w:tc>
        <w:tc>
          <w:tcPr>
            <w:tcW w:w="3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13,520,132</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13,486,917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5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-2108200</wp:posOffset>
            </wp:positionV>
            <wp:extent cx="7747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-2091055</wp:posOffset>
            </wp:positionV>
            <wp:extent cx="7747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-2108200</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-2091055</wp:posOffset>
            </wp:positionV>
            <wp:extent cx="685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-2108200</wp:posOffset>
            </wp:positionV>
            <wp:extent cx="685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-2091055</wp:posOffset>
            </wp:positionV>
            <wp:extent cx="6858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-2091055</wp:posOffset>
            </wp:positionV>
            <wp:extent cx="685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-1319530</wp:posOffset>
            </wp:positionV>
            <wp:extent cx="7747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-1302385</wp:posOffset>
            </wp:positionV>
            <wp:extent cx="7747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-1319530</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-1302385</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-1319530</wp:posOffset>
            </wp:positionV>
            <wp:extent cx="6858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-1302385</wp:posOffset>
            </wp:positionV>
            <wp:extent cx="6858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7 DERIVATIVE FINANCIAL INSTRUMENTS</w:t>
      </w:r>
    </w:p>
    <w:p>
      <w:pPr>
        <w:spacing w:after="0" w:line="185" w:lineRule="exact"/>
        <w:rPr>
          <w:sz w:val="20"/>
          <w:szCs w:val="20"/>
          <w:color w:val="auto"/>
        </w:rPr>
      </w:pPr>
    </w:p>
    <w:p>
      <w:pPr>
        <w:jc w:val="both"/>
        <w:ind w:left="760" w:right="60"/>
        <w:spacing w:after="0" w:line="266" w:lineRule="auto"/>
        <w:rPr>
          <w:sz w:val="20"/>
          <w:szCs w:val="20"/>
          <w:color w:val="auto"/>
        </w:rPr>
      </w:pPr>
      <w:r>
        <w:rPr>
          <w:rFonts w:ascii="Times New Roman" w:cs="Times New Roman" w:eastAsia="Times New Roman" w:hAnsi="Times New Roman"/>
          <w:sz w:val="18"/>
          <w:szCs w:val="18"/>
          <w:color w:val="auto"/>
        </w:rPr>
        <w:t>The Bank uses derivative financial instruments to help manage exposure to interest rate risk and the effects that changes in interest rates may have on net income and the fair value of assets and liabilities. The Bank enters into interest rate swap agreements as part of its asset/liability management strategy to help manage its interest rate risk position.</w:t>
      </w:r>
    </w:p>
    <w:p>
      <w:pPr>
        <w:spacing w:after="0" w:line="149" w:lineRule="exact"/>
        <w:rPr>
          <w:sz w:val="20"/>
          <w:szCs w:val="20"/>
          <w:color w:val="auto"/>
        </w:rPr>
      </w:pPr>
    </w:p>
    <w:p>
      <w:pPr>
        <w:jc w:val="both"/>
        <w:ind w:left="760" w:right="60"/>
        <w:spacing w:after="0" w:line="255" w:lineRule="auto"/>
        <w:rPr>
          <w:sz w:val="20"/>
          <w:szCs w:val="20"/>
          <w:color w:val="auto"/>
        </w:rPr>
      </w:pPr>
      <w:r>
        <w:rPr>
          <w:rFonts w:ascii="Times New Roman" w:cs="Times New Roman" w:eastAsia="Times New Roman" w:hAnsi="Times New Roman"/>
          <w:sz w:val="18"/>
          <w:szCs w:val="18"/>
          <w:color w:val="auto"/>
        </w:rPr>
        <w:t>The Bank entered into three pay-fixed receive variable interest rate swap transactions, with a combined notional value of $100 million, designated and qualifying as accounting hedges during the last quarter of 2023. Designating an interest rate swap as an accounting hedge allows the Company to recognize gains and losses, less any ineffectiveness, in the Company's consolidated statement of income within the same period that the hedged item affects earnings. The Company includes the gain or loss on the hedged items in the same line item as the offsetting loss or gain on the related interest rate swaps. The fair value of interest rate swaps with a positive fair value are reported in other assets in the Company's consolidated balance sheets while interest rate swaps with a negative fair value are reported in accrued expenses and other liabilities in the Company's consolidated balance sheets.</w:t>
      </w:r>
    </w:p>
    <w:p>
      <w:pPr>
        <w:spacing w:after="0" w:line="148" w:lineRule="exact"/>
        <w:rPr>
          <w:sz w:val="20"/>
          <w:szCs w:val="20"/>
          <w:color w:val="auto"/>
        </w:rPr>
      </w:pPr>
    </w:p>
    <w:p>
      <w:pPr>
        <w:jc w:val="both"/>
        <w:ind w:left="760" w:right="80"/>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that were recorded on the Company's consolidated balance sheets related to cumulative basis adjustments for interest rate swap derivatives designated as fair value accounting hedges as of September 30, 2024 and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8"/>
                <w:szCs w:val="18"/>
                <w:color w:val="auto"/>
              </w:rPr>
              <w:t>September 30, 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Pr>
          <w:p>
            <w:pPr>
              <w:spacing w:after="0"/>
              <w:rPr>
                <w:sz w:val="20"/>
                <w:szCs w:val="20"/>
                <w:color w:val="auto"/>
              </w:rPr>
            </w:pPr>
          </w:p>
        </w:tc>
      </w:tr>
      <w:tr>
        <w:trPr>
          <w:trHeight w:val="209"/>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Cumulative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Cumulative</w:t>
            </w:r>
          </w:p>
        </w:tc>
        <w:tc>
          <w:tcPr>
            <w:tcW w:w="10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Amount of Fair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Amount of Fair</w:t>
            </w: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Value Hedging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Value Hedging</w:t>
            </w: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Adjustment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Adjustment</w:t>
            </w: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Included in the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Included in the</w:t>
            </w: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Carrying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 of</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Amount of</w:t>
            </w:r>
          </w:p>
        </w:tc>
      </w:tr>
      <w:tr>
        <w:trPr>
          <w:trHeight w:val="216"/>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Line Item in the Consolidated Balance Sheets in which the Hedged Item</w:t>
            </w:r>
          </w:p>
        </w:tc>
        <w:tc>
          <w:tcPr>
            <w:tcW w:w="16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the Hedged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the Hedged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the Hedged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the Hedged</w:t>
            </w:r>
          </w:p>
        </w:tc>
      </w:tr>
      <w:tr>
        <w:trPr>
          <w:trHeight w:val="241"/>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 Included</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7"/>
              </w:rPr>
              <w:t>Assets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7"/>
              </w:rPr>
              <w:t>Assets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20"/>
                <w:szCs w:val="20"/>
                <w:color w:val="auto"/>
              </w:rPr>
            </w:pPr>
          </w:p>
        </w:tc>
      </w:tr>
      <w:tr>
        <w:trPr>
          <w:trHeight w:val="243"/>
        </w:trPr>
        <w:tc>
          <w:tcPr>
            <w:tcW w:w="54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255,291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276,991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jc w:val="both"/>
        <w:ind w:left="760" w:right="60"/>
        <w:spacing w:after="0" w:line="266" w:lineRule="auto"/>
        <w:rPr>
          <w:sz w:val="20"/>
          <w:szCs w:val="20"/>
          <w:color w:val="auto"/>
        </w:rPr>
      </w:pPr>
      <w:r>
        <w:rPr>
          <w:rFonts w:ascii="Times New Roman" w:cs="Times New Roman" w:eastAsia="Times New Roman" w:hAnsi="Times New Roman"/>
          <w:sz w:val="18"/>
          <w:szCs w:val="18"/>
          <w:color w:val="auto"/>
        </w:rPr>
        <w:t>The following tables present a summary of interest rate swap derivatives designated as fair value accounting hedges of fixed-rate receivables used in the Bank's asset/liability management activities at September 30, 2024 and December 31, 2023, identified by the underlying interest rate-sensitive instruments.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Notional</w:t>
            </w:r>
          </w:p>
        </w:tc>
        <w:tc>
          <w:tcPr>
            <w:tcW w:w="2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gridSpan w:val="4"/>
            <w:vMerge w:val="restart"/>
          </w:tcPr>
          <w:p>
            <w:pPr>
              <w:ind w:left="340"/>
              <w:spacing w:after="0"/>
              <w:rPr>
                <w:sz w:val="20"/>
                <w:szCs w:val="20"/>
                <w:color w:val="auto"/>
              </w:rPr>
            </w:pPr>
            <w:r>
              <w:rPr>
                <w:rFonts w:ascii="Times New Roman" w:cs="Times New Roman" w:eastAsia="Times New Roman" w:hAnsi="Times New Roman"/>
                <w:sz w:val="18"/>
                <w:szCs w:val="18"/>
                <w:color w:val="auto"/>
              </w:rPr>
              <w:t>Weighted Average Rate</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Value (In</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 (In</w:t>
            </w:r>
          </w:p>
        </w:tc>
        <w:tc>
          <w:tcPr>
            <w:tcW w:w="25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 Associated With</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Thousands)</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 Years)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Thousands)</w:t>
            </w:r>
          </w:p>
        </w:tc>
        <w:tc>
          <w:tcPr>
            <w:tcW w:w="11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Receive</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Pay</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USD-SOFR-</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(2,943 )</w:t>
            </w: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OIS</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7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 swap portfolio at September 30, 2024</w:t>
            </w:r>
          </w:p>
        </w:tc>
        <w:tc>
          <w:tcPr>
            <w:tcW w:w="120" w:type="dxa"/>
            <w:vAlign w:val="bottom"/>
            <w:vMerge w:val="restart"/>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vMerge w:val="restart"/>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vMerge w:val="restart"/>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(2,943 )</w:t>
            </w:r>
          </w:p>
        </w:tc>
        <w:tc>
          <w:tcPr>
            <w:tcW w:w="114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USD-SOFR-</w:t>
            </w: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0" w:type="dxa"/>
            <w:vAlign w:val="bottom"/>
          </w:tcPr>
          <w:p>
            <w:pPr>
              <w:spacing w:after="0"/>
              <w:rPr>
                <w:sz w:val="1"/>
                <w:szCs w:val="1"/>
                <w:color w:val="auto"/>
              </w:rPr>
            </w:pPr>
          </w:p>
        </w:tc>
      </w:tr>
      <w:tr>
        <w:trPr>
          <w:trHeight w:val="241"/>
        </w:trPr>
        <w:tc>
          <w:tcPr>
            <w:tcW w:w="47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OIS</w:t>
            </w:r>
          </w:p>
        </w:tc>
        <w:tc>
          <w:tcPr>
            <w:tcW w:w="14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Notional</w:t>
            </w:r>
          </w:p>
        </w:tc>
        <w:tc>
          <w:tcPr>
            <w:tcW w:w="2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40" w:type="dxa"/>
            <w:vAlign w:val="bottom"/>
            <w:gridSpan w:val="4"/>
            <w:vMerge w:val="restart"/>
          </w:tcPr>
          <w:p>
            <w:pPr>
              <w:ind w:left="340"/>
              <w:spacing w:after="0"/>
              <w:rPr>
                <w:sz w:val="20"/>
                <w:szCs w:val="20"/>
                <w:color w:val="auto"/>
              </w:rPr>
            </w:pPr>
            <w:r>
              <w:rPr>
                <w:rFonts w:ascii="Times New Roman" w:cs="Times New Roman" w:eastAsia="Times New Roman" w:hAnsi="Times New Roman"/>
                <w:sz w:val="18"/>
                <w:szCs w:val="18"/>
                <w:color w:val="auto"/>
              </w:rPr>
              <w:t>Weighted Average Rate</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Value (In</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 (In</w:t>
            </w:r>
          </w:p>
        </w:tc>
        <w:tc>
          <w:tcPr>
            <w:tcW w:w="25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 Associated With</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Thousands)</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 Years)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Thousands)</w:t>
            </w:r>
          </w:p>
        </w:tc>
        <w:tc>
          <w:tcPr>
            <w:tcW w:w="11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Receive</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Pay</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USD-SOFR-</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(2,679 )</w:t>
            </w: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OIS</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7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 swap portfolio at December 31, 2023</w:t>
            </w:r>
          </w:p>
        </w:tc>
        <w:tc>
          <w:tcPr>
            <w:tcW w:w="120" w:type="dxa"/>
            <w:vAlign w:val="bottom"/>
            <w:vMerge w:val="restart"/>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vMerge w:val="restart"/>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vMerge w:val="restart"/>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(2,679 )</w:t>
            </w:r>
          </w:p>
        </w:tc>
        <w:tc>
          <w:tcPr>
            <w:tcW w:w="114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auto"/>
              </w:rPr>
              <w:t>USD-SOFR-</w:t>
            </w: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0" w:type="dxa"/>
            <w:vAlign w:val="bottom"/>
          </w:tcPr>
          <w:p>
            <w:pPr>
              <w:spacing w:after="0"/>
              <w:rPr>
                <w:sz w:val="1"/>
                <w:szCs w:val="1"/>
                <w:color w:val="auto"/>
              </w:rPr>
            </w:pPr>
          </w:p>
        </w:tc>
      </w:tr>
      <w:tr>
        <w:trPr>
          <w:trHeight w:val="241"/>
        </w:trPr>
        <w:tc>
          <w:tcPr>
            <w:tcW w:w="47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OIS</w:t>
            </w:r>
          </w:p>
        </w:tc>
        <w:tc>
          <w:tcPr>
            <w:tcW w:w="14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-2116455</wp:posOffset>
            </wp:positionV>
            <wp:extent cx="7132320" cy="3003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3003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ectPr>
          <w:pgSz w:w="11900" w:h="16838" w:orient="portrait"/>
          <w:cols w:equalWidth="0" w:num="1">
            <w:col w:w="11300"/>
          </w:cols>
          <w:pgMar w:left="320" w:top="769" w:right="279" w:bottom="1440" w:gutter="0" w:footer="0" w:header="0"/>
        </w:sectPr>
      </w:pP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9" w:right="27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These derivative financial instruments were entered into for the purpose of managing the interest rate risk of certain assets and liabilities. The Bank pledged $3.1million and $2.8 million of cash collateral to counterparties as security for its obligations related to these interest rate swap transactions at September 30, 2024 and December 31, 2023, respectively. Collateral posted and received is dependent on the market valuation of the underlying hedges.</w:t>
      </w:r>
    </w:p>
    <w:p>
      <w:pPr>
        <w:spacing w:after="0" w:line="13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notional amount and fair value of interest rate swaps utilized by the Bank at September 30, 2024 and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rPr>
              <w:t>September 30, 2024</w:t>
            </w:r>
          </w:p>
        </w:tc>
        <w:tc>
          <w:tcPr>
            <w:tcW w:w="200" w:type="dxa"/>
            <w:vAlign w:val="bottom"/>
          </w:tcPr>
          <w:p>
            <w:pPr>
              <w:spacing w:after="0"/>
              <w:rPr>
                <w:sz w:val="20"/>
                <w:szCs w:val="20"/>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Pr>
          <w:p>
            <w:pPr>
              <w:spacing w:after="0"/>
              <w:rPr>
                <w:sz w:val="20"/>
                <w:szCs w:val="20"/>
                <w:color w:val="auto"/>
              </w:rPr>
            </w:pPr>
          </w:p>
        </w:tc>
      </w:tr>
      <w:tr>
        <w:trPr>
          <w:trHeight w:val="209"/>
        </w:trPr>
        <w:tc>
          <w:tcPr>
            <w:tcW w:w="5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Notional</w:t>
            </w: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Notional</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Fair Value</w:t>
            </w:r>
          </w:p>
        </w:tc>
        <w:tc>
          <w:tcPr>
            <w:tcW w:w="20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Fair Value</w:t>
            </w:r>
          </w:p>
        </w:tc>
      </w:tr>
      <w:tr>
        <w:trPr>
          <w:trHeight w:val="243"/>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Derivatives</w:t>
            </w:r>
          </w:p>
        </w:tc>
        <w:tc>
          <w:tcPr>
            <w:tcW w:w="20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rate swaps associated with loans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61"/>
        </w:trPr>
        <w:tc>
          <w:tcPr>
            <w:tcW w:w="5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contracts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r>
      <w:tr>
        <w:trPr>
          <w:trHeight w:val="243"/>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Derivatives</w:t>
            </w:r>
          </w:p>
        </w:tc>
        <w:tc>
          <w:tcPr>
            <w:tcW w:w="20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rate swaps associated with loans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(2,943 )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(2,679 )</w:t>
            </w:r>
          </w:p>
        </w:tc>
      </w:tr>
      <w:tr>
        <w:trPr>
          <w:trHeight w:val="20"/>
        </w:trPr>
        <w:tc>
          <w:tcPr>
            <w:tcW w:w="54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5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contracts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(2,943 )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(2,679 )</w:t>
            </w:r>
          </w:p>
        </w:tc>
      </w:tr>
      <w:tr>
        <w:trPr>
          <w:trHeight w:val="40"/>
        </w:trPr>
        <w:tc>
          <w:tcPr>
            <w:tcW w:w="546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-839470</wp:posOffset>
            </wp:positionV>
            <wp:extent cx="7683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-839470</wp:posOffset>
            </wp:positionV>
            <wp:extent cx="68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-839470</wp:posOffset>
            </wp:positionV>
            <wp:extent cx="6858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-187960</wp:posOffset>
            </wp:positionV>
            <wp:extent cx="7683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-187960</wp:posOffset>
            </wp:positionV>
            <wp:extent cx="685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685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effects of the Bank's interest rate swap agreements on the Company’s consolidated statement of income during the three and nine month period ended September 30, 2024 and September 30, 2023. The $2.8 million average balance of cash collateral pledged to counterparties for the year yielded $208 and $635 thousand of other interest income for the three and nine months ended September 30, 2024,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September 30,</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Line Item in the Consolidated Statements of Income</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4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Loans, including fees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38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36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3"/>
        </w:trPr>
        <w:tc>
          <w:tcPr>
            <w:tcW w:w="540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61"/>
        </w:trPr>
        <w:tc>
          <w:tcPr>
            <w:tcW w:w="5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interest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60" w:type="dxa"/>
            <w:vAlign w:val="bottom"/>
          </w:tcPr>
          <w:p>
            <w:pPr>
              <w:spacing w:after="0"/>
              <w:rPr>
                <w:sz w:val="22"/>
                <w:szCs w:val="22"/>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40" w:type="dxa"/>
            <w:vAlign w:val="bottom"/>
          </w:tcPr>
          <w:p>
            <w:pPr>
              <w:spacing w:after="0"/>
              <w:rPr>
                <w:sz w:val="22"/>
                <w:szCs w:val="22"/>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-187960</wp:posOffset>
            </wp:positionV>
            <wp:extent cx="7747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-187960</wp:posOffset>
            </wp:positionV>
            <wp:extent cx="6858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-187960</wp:posOffset>
            </wp:positionV>
            <wp:extent cx="6858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8 QUALIFIED AFFORDABLE HOUSING PROJECT INVESTMENTS</w:t>
      </w:r>
    </w:p>
    <w:p>
      <w:pPr>
        <w:spacing w:after="0" w:line="18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Company invests in certain qualified affordable housing projects. The Company has elected to account for its investment in qualified affordable housing projects using the proportional amortization method described in FASB ASU 2014-01, "Investments - Equity Method and Joint Ventures (Topic 323): Accounting for Investments in Low-Income housing Tax Credit Projects (A Consensus of the FASB Emerging Issues Task Force)", which was updated in March 2023 and released as FASB ASU 2023-02. Under the proportional amortization method, an investor amortizes the initial cost of the investment to income tax expense in proportion to the tax credits and other tax benefits received and recognizes the net investment performance in the income statement as a component of income tax expense.</w:t>
      </w:r>
    </w:p>
    <w:p>
      <w:pPr>
        <w:spacing w:after="0" w:line="147"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At September 30, 2024, the balance of the Company's investments in qualified affordable housing projects was $3.7 million. This balance is reflected in the other assets line on the condensed consolidated balance sheets. The unfunded commitments related to the investments in qualified affordable housing projects totaled $991 thousand at September 30, 2024. This balance is reflected in the accrued expense and other liabilities line on the condensed consolidated balance sheets.</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funded balance in qualified affordable housing projects was $2.4 million out of a total of $4.0 million committed at December 31, 2023.</w:t>
      </w:r>
    </w:p>
    <w:p>
      <w:pPr>
        <w:spacing w:after="0" w:line="18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recognized amortization expense with respect to its investments in qualified affordable housing projects of $111 thousand and $331 thousand, respectively, partially offset by tax credits and other benefits from its investments in affordable housing tax credits of $111 thousand and $329 thousand,</w:t>
      </w:r>
    </w:p>
    <w:p>
      <w:pPr>
        <w:sectPr>
          <w:pgSz w:w="11900" w:h="16838" w:orient="portrait"/>
          <w:cols w:equalWidth="0" w:num="1">
            <w:col w:w="11240"/>
          </w:cols>
          <w:pgMar w:left="320" w:top="769" w:right="339" w:bottom="1440" w:gutter="0" w:footer="0" w:header="0"/>
        </w:sectPr>
      </w:pP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respectively. The Company did not incur any impairment losses related to its investments in qualified affordable housing projects in 2024.</w:t>
      </w:r>
    </w:p>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9 FAIR VALUE OF FINANCIAL INSTRUMENTS</w:t>
      </w:r>
    </w:p>
    <w:p>
      <w:pPr>
        <w:spacing w:after="0" w:line="18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Fair Value Measurements:</w:t>
      </w:r>
    </w:p>
    <w:p>
      <w:pPr>
        <w:spacing w:after="0" w:line="198"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 general, fair values determined by Level 1 inputs use quoted prices in active markets for identical assets or liabilities in active markets that the Company has the ability to access.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Available-for-sale securities, when quoted prices are available in an active market, are valued using the quoted price and are classified as Level 1.</w:t>
      </w:r>
    </w:p>
    <w:p>
      <w:pPr>
        <w:spacing w:after="0" w:line="196"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4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4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4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summarizes financial assets measured at fair value on a recurring basis as of September 30, 2024 and December 31, 2023, segregated by level or the valuation inputs within the fair value hierarchy utilized to measure fair value:</w:t>
      </w:r>
    </w:p>
    <w:p>
      <w:pPr>
        <w:spacing w:after="0" w:line="17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00" w:type="dxa"/>
            <w:vAlign w:val="bottom"/>
          </w:tcPr>
          <w:p>
            <w:pPr>
              <w:spacing w:after="0"/>
              <w:rPr>
                <w:sz w:val="21"/>
                <w:szCs w:val="21"/>
                <w:color w:val="auto"/>
              </w:rPr>
            </w:pPr>
          </w:p>
        </w:tc>
        <w:tc>
          <w:tcPr>
            <w:tcW w:w="402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09"/>
        </w:trPr>
        <w:tc>
          <w:tcPr>
            <w:tcW w:w="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Significant</w:t>
            </w: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Significant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Active Markets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Observable</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 Identical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Inputs</w:t>
            </w: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Inputs</w:t>
            </w:r>
          </w:p>
        </w:tc>
        <w:tc>
          <w:tcPr>
            <w:tcW w:w="280" w:type="dxa"/>
            <w:vAlign w:val="bottom"/>
          </w:tcPr>
          <w:p>
            <w:pPr>
              <w:spacing w:after="0"/>
              <w:rPr>
                <w:sz w:val="18"/>
                <w:szCs w:val="18"/>
                <w:color w:val="auto"/>
              </w:rPr>
            </w:pPr>
          </w:p>
        </w:tc>
      </w:tr>
      <w:tr>
        <w:trPr>
          <w:trHeight w:val="241"/>
        </w:trPr>
        <w:tc>
          <w:tcPr>
            <w:tcW w:w="3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Assets (Level 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(Level 3)</w:t>
            </w:r>
          </w:p>
        </w:tc>
        <w:tc>
          <w:tcPr>
            <w:tcW w:w="280" w:type="dxa"/>
            <w:vAlign w:val="bottom"/>
          </w:tcPr>
          <w:p>
            <w:pPr>
              <w:spacing w:after="0"/>
              <w:rPr>
                <w:sz w:val="20"/>
                <w:szCs w:val="20"/>
                <w:color w:val="auto"/>
              </w:rPr>
            </w:pPr>
          </w:p>
        </w:tc>
      </w:tr>
      <w:tr>
        <w:trPr>
          <w:trHeight w:val="243"/>
        </w:trPr>
        <w:tc>
          <w:tcPr>
            <w:tcW w:w="300" w:type="dxa"/>
            <w:vAlign w:val="bottom"/>
          </w:tcPr>
          <w:p>
            <w:pPr>
              <w:spacing w:after="0"/>
              <w:rPr>
                <w:sz w:val="21"/>
                <w:szCs w:val="21"/>
                <w:color w:val="auto"/>
              </w:rPr>
            </w:pPr>
          </w:p>
        </w:tc>
        <w:tc>
          <w:tcPr>
            <w:tcW w:w="40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 (Securities Available-for-Sale)</w:t>
            </w:r>
          </w:p>
        </w:tc>
        <w:tc>
          <w:tcPr>
            <w:tcW w:w="202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9"/>
        </w:trPr>
        <w:tc>
          <w:tcPr>
            <w:tcW w:w="3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U.S. Treasury</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105,133</w:t>
            </w:r>
          </w:p>
        </w:tc>
        <w:tc>
          <w:tcPr>
            <w:tcW w:w="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7"/>
        </w:trPr>
        <w:tc>
          <w:tcPr>
            <w:tcW w:w="300" w:type="dxa"/>
            <w:vAlign w:val="bottom"/>
          </w:tcPr>
          <w:p>
            <w:pPr>
              <w:spacing w:after="0"/>
              <w:rPr>
                <w:sz w:val="21"/>
                <w:szCs w:val="21"/>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20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116,097</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9"/>
        </w:trPr>
        <w:tc>
          <w:tcPr>
            <w:tcW w:w="3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96,693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3"/>
        </w:trPr>
        <w:tc>
          <w:tcPr>
            <w:tcW w:w="300" w:type="dxa"/>
            <w:vAlign w:val="bottom"/>
          </w:tcPr>
          <w:p>
            <w:pPr>
              <w:spacing w:after="0"/>
              <w:rPr>
                <w:sz w:val="21"/>
                <w:szCs w:val="21"/>
                <w:color w:val="auto"/>
              </w:rPr>
            </w:pPr>
          </w:p>
        </w:tc>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20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65,049</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236"/>
        </w:trPr>
        <w:tc>
          <w:tcPr>
            <w:tcW w:w="300" w:type="dxa"/>
            <w:vAlign w:val="bottom"/>
          </w:tcPr>
          <w:p>
            <w:pPr>
              <w:spacing w:after="0"/>
              <w:rPr>
                <w:sz w:val="20"/>
                <w:szCs w:val="20"/>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125,396</w:t>
            </w:r>
          </w:p>
        </w:tc>
        <w:tc>
          <w:tcPr>
            <w:tcW w:w="4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277,839</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7"/>
        </w:trPr>
        <w:tc>
          <w:tcPr>
            <w:tcW w:w="300" w:type="dxa"/>
            <w:vAlign w:val="bottom"/>
          </w:tcPr>
          <w:p>
            <w:pPr>
              <w:spacing w:after="0"/>
              <w:rPr>
                <w:sz w:val="21"/>
                <w:szCs w:val="21"/>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 liabilities</w:t>
            </w:r>
          </w:p>
        </w:tc>
        <w:tc>
          <w:tcPr>
            <w:tcW w:w="2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(2,943 )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r>
        <w:trPr>
          <w:trHeight w:val="540"/>
        </w:trPr>
        <w:tc>
          <w:tcPr>
            <w:tcW w:w="3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763"/>
        </w:trPr>
        <w:tc>
          <w:tcPr>
            <w:tcW w:w="30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-1156970</wp:posOffset>
            </wp:positionV>
            <wp:extent cx="6858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-1156970</wp:posOffset>
            </wp:positionV>
            <wp:extent cx="6858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-1156970</wp:posOffset>
            </wp:positionV>
            <wp:extent cx="6032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47"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6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Significant</w:t>
            </w: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Significant</w:t>
            </w:r>
          </w:p>
        </w:tc>
        <w:tc>
          <w:tcPr>
            <w:tcW w:w="100" w:type="dxa"/>
            <w:vAlign w:val="bottom"/>
          </w:tcPr>
          <w:p>
            <w:pPr>
              <w:spacing w:after="0"/>
              <w:rPr>
                <w:sz w:val="18"/>
                <w:szCs w:val="18"/>
                <w:color w:val="auto"/>
              </w:rPr>
            </w:pPr>
          </w:p>
        </w:tc>
      </w:tr>
      <w:tr>
        <w:trPr>
          <w:trHeight w:val="216"/>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Active Markets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Observable</w:t>
            </w: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 Identical</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Inputs</w:t>
            </w: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Inputs</w:t>
            </w:r>
          </w:p>
        </w:tc>
      </w:tr>
      <w:tr>
        <w:trPr>
          <w:trHeight w:val="241"/>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Pr>
          <w:p>
            <w:pPr>
              <w:spacing w:after="0"/>
              <w:rPr>
                <w:sz w:val="20"/>
                <w:szCs w:val="20"/>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Assets (Level 1)</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(Level 3)</w:t>
            </w:r>
          </w:p>
        </w:tc>
        <w:tc>
          <w:tcPr>
            <w:tcW w:w="100" w:type="dxa"/>
            <w:vAlign w:val="bottom"/>
          </w:tcPr>
          <w:p>
            <w:pPr>
              <w:spacing w:after="0"/>
              <w:rPr>
                <w:sz w:val="20"/>
                <w:szCs w:val="20"/>
                <w:color w:val="auto"/>
              </w:rPr>
            </w:pPr>
          </w:p>
        </w:tc>
      </w:tr>
      <w:tr>
        <w:trPr>
          <w:trHeight w:val="243"/>
        </w:trPr>
        <w:tc>
          <w:tcPr>
            <w:tcW w:w="6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 (Securities Available-for-Sale)</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80,270</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108,592</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62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65,394</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99,900</w:t>
            </w:r>
          </w:p>
        </w:tc>
        <w:tc>
          <w:tcPr>
            <w:tcW w:w="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256,118</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Pr>
          <w:p>
            <w:pPr>
              <w:spacing w:after="0"/>
              <w:rPr>
                <w:sz w:val="20"/>
                <w:szCs w:val="20"/>
                <w:color w:val="auto"/>
              </w:rPr>
            </w:pPr>
          </w:p>
        </w:tc>
      </w:tr>
      <w:tr>
        <w:trPr>
          <w:trHeight w:val="247"/>
        </w:trPr>
        <w:tc>
          <w:tcPr>
            <w:tcW w:w="6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swaps liabilities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(2,679 )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-316230</wp:posOffset>
            </wp:positionV>
            <wp:extent cx="6858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-316230</wp:posOffset>
            </wp:positionV>
            <wp:extent cx="6858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-316230</wp:posOffset>
            </wp:positionV>
            <wp:extent cx="6032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changes in the Level 3 fair-value category of which unobservable inputs are relied upon as of the three and nine month periods ended September 30, 2024 and September 30, 2023.</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July 1, 2024</w:t>
      </w:r>
    </w:p>
    <w:p>
      <w:pPr>
        <w:spacing w:after="0" w:line="2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9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Payments, Maturities &amp; Calls</w:t>
      </w:r>
    </w:p>
    <w:p>
      <w:pPr>
        <w:spacing w:after="0" w:line="3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January 1, 2024</w:t>
      </w:r>
    </w:p>
    <w:p>
      <w:pPr>
        <w:spacing w:after="0" w:line="2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9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Payments, Maturities &amp; Calls</w:t>
      </w:r>
    </w:p>
    <w:p>
      <w:pPr>
        <w:spacing w:after="0" w:line="3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September 30, 2024</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229743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Fair Value Measurements Using Significant</w:t>
      </w:r>
    </w:p>
    <w:p>
      <w:pPr>
        <w:spacing w:after="0" w:line="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Unobservable Inputs (Level 3)</w:t>
      </w:r>
    </w:p>
    <w:p>
      <w:pPr>
        <w:spacing w:after="0" w:line="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State and Local Governments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20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Tax-Exempt</w:t>
            </w: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6"/>
              </w:rPr>
              <w:t>Taxable</w:t>
            </w:r>
          </w:p>
        </w:tc>
        <w:tc>
          <w:tcPr>
            <w:tcW w:w="2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4"/>
              </w:rPr>
              <w:t>Total</w:t>
            </w:r>
          </w:p>
        </w:tc>
        <w:tc>
          <w:tcPr>
            <w:tcW w:w="60" w:type="dxa"/>
            <w:vAlign w:val="bottom"/>
          </w:tcPr>
          <w:p>
            <w:pPr>
              <w:spacing w:after="0"/>
              <w:rPr>
                <w:sz w:val="21"/>
                <w:szCs w:val="21"/>
                <w:color w:val="auto"/>
              </w:rPr>
            </w:pPr>
          </w:p>
        </w:tc>
      </w:tr>
      <w:tr>
        <w:trPr>
          <w:trHeight w:val="232"/>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60" w:type="dxa"/>
            <w:vAlign w:val="bottom"/>
          </w:tcPr>
          <w:p>
            <w:pPr>
              <w:spacing w:after="0"/>
              <w:rPr>
                <w:sz w:val="20"/>
                <w:szCs w:val="20"/>
                <w:color w:val="auto"/>
              </w:rPr>
            </w:pPr>
          </w:p>
        </w:tc>
      </w:tr>
      <w:tr>
        <w:trPr>
          <w:trHeight w:val="481"/>
        </w:trPr>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4"/>
                <w:szCs w:val="24"/>
                <w:color w:val="auto"/>
              </w:rPr>
            </w:pPr>
          </w:p>
        </w:tc>
      </w:tr>
      <w:tr>
        <w:trPr>
          <w:trHeight w:val="493"/>
        </w:trPr>
        <w:tc>
          <w:tcPr>
            <w:tcW w:w="16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(170 )</w:t>
            </w:r>
          </w:p>
        </w:tc>
      </w:tr>
      <w:tr>
        <w:trPr>
          <w:trHeight w:val="480"/>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60" w:type="dxa"/>
            <w:vAlign w:val="bottom"/>
          </w:tcPr>
          <w:p>
            <w:pPr>
              <w:spacing w:after="0"/>
              <w:rPr>
                <w:sz w:val="24"/>
                <w:szCs w:val="24"/>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55"/>
        </w:trPr>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60" w:type="dxa"/>
            <w:vAlign w:val="bottom"/>
          </w:tcPr>
          <w:p>
            <w:pPr>
              <w:spacing w:after="0"/>
              <w:rPr>
                <w:sz w:val="20"/>
                <w:szCs w:val="20"/>
                <w:color w:val="auto"/>
              </w:rPr>
            </w:pPr>
          </w:p>
        </w:tc>
        <w:tc>
          <w:tcPr>
            <w:tcW w:w="3460" w:type="dxa"/>
            <w:vAlign w:val="bottom"/>
            <w:gridSpan w:val="8"/>
          </w:tcPr>
          <w:p>
            <w:pPr>
              <w:jc w:val="center"/>
              <w:ind w:right="90"/>
              <w:spacing w:after="0"/>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60" w:type="dxa"/>
            <w:vAlign w:val="bottom"/>
          </w:tcPr>
          <w:p>
            <w:pPr>
              <w:spacing w:after="0"/>
              <w:rPr>
                <w:sz w:val="20"/>
                <w:szCs w:val="20"/>
                <w:color w:val="auto"/>
              </w:rPr>
            </w:pPr>
          </w:p>
        </w:tc>
      </w:tr>
      <w:tr>
        <w:trPr>
          <w:trHeight w:val="238"/>
        </w:trPr>
        <w:tc>
          <w:tcPr>
            <w:tcW w:w="160" w:type="dxa"/>
            <w:vAlign w:val="bottom"/>
          </w:tcPr>
          <w:p>
            <w:pPr>
              <w:spacing w:after="0"/>
              <w:rPr>
                <w:sz w:val="20"/>
                <w:szCs w:val="20"/>
                <w:color w:val="auto"/>
              </w:rPr>
            </w:pPr>
          </w:p>
        </w:tc>
        <w:tc>
          <w:tcPr>
            <w:tcW w:w="2740" w:type="dxa"/>
            <w:vAlign w:val="bottom"/>
            <w:gridSpan w:val="7"/>
          </w:tcPr>
          <w:p>
            <w:pPr>
              <w:jc w:val="center"/>
              <w:ind w:left="450"/>
              <w:spacing w:after="0"/>
              <w:rPr>
                <w:sz w:val="20"/>
                <w:szCs w:val="20"/>
                <w:color w:val="auto"/>
              </w:rPr>
            </w:pPr>
            <w:r>
              <w:rPr>
                <w:rFonts w:ascii="Times New Roman" w:cs="Times New Roman" w:eastAsia="Times New Roman" w:hAnsi="Times New Roman"/>
                <w:sz w:val="18"/>
                <w:szCs w:val="18"/>
                <w:color w:val="auto"/>
                <w:w w:val="99"/>
              </w:rPr>
              <w:t>Unobservable Inputs (Level 3)</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16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7"/>
          </w:tcPr>
          <w:p>
            <w:pPr>
              <w:jc w:val="center"/>
              <w:ind w:left="450"/>
              <w:spacing w:after="0"/>
              <w:rPr>
                <w:sz w:val="20"/>
                <w:szCs w:val="20"/>
                <w:color w:val="auto"/>
              </w:rPr>
            </w:pPr>
            <w:r>
              <w:rPr>
                <w:rFonts w:ascii="Times New Roman" w:cs="Times New Roman" w:eastAsia="Times New Roman" w:hAnsi="Times New Roman"/>
                <w:sz w:val="18"/>
                <w:szCs w:val="18"/>
                <w:color w:val="auto"/>
                <w:w w:val="99"/>
              </w:rPr>
              <w:t>State and Local Governments</w:t>
            </w:r>
          </w:p>
        </w:tc>
        <w:tc>
          <w:tcPr>
            <w:tcW w:w="7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Tax-Exempt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6"/>
              </w:rPr>
              <w:t>Taxable</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4"/>
              </w:rPr>
              <w:t>Total</w:t>
            </w:r>
          </w:p>
        </w:tc>
        <w:tc>
          <w:tcPr>
            <w:tcW w:w="60" w:type="dxa"/>
            <w:vAlign w:val="bottom"/>
          </w:tcPr>
          <w:p>
            <w:pPr>
              <w:spacing w:after="0"/>
              <w:rPr>
                <w:sz w:val="20"/>
                <w:szCs w:val="20"/>
                <w:color w:val="auto"/>
              </w:rPr>
            </w:pPr>
          </w:p>
        </w:tc>
      </w:tr>
      <w:tr>
        <w:trPr>
          <w:trHeight w:val="232"/>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60" w:type="dxa"/>
            <w:vAlign w:val="bottom"/>
          </w:tcPr>
          <w:p>
            <w:pPr>
              <w:spacing w:after="0"/>
              <w:rPr>
                <w:sz w:val="20"/>
                <w:szCs w:val="20"/>
                <w:color w:val="auto"/>
              </w:rPr>
            </w:pPr>
          </w:p>
        </w:tc>
      </w:tr>
      <w:tr>
        <w:trPr>
          <w:trHeight w:val="481"/>
        </w:trPr>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4"/>
                <w:szCs w:val="24"/>
                <w:color w:val="auto"/>
              </w:rPr>
            </w:pPr>
          </w:p>
        </w:tc>
      </w:tr>
      <w:tr>
        <w:trPr>
          <w:trHeight w:val="493"/>
        </w:trPr>
        <w:tc>
          <w:tcPr>
            <w:tcW w:w="16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(835 )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(835 )</w:t>
            </w:r>
          </w:p>
        </w:tc>
      </w:tr>
      <w:tr>
        <w:trPr>
          <w:trHeight w:val="480"/>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60" w:type="dxa"/>
            <w:vAlign w:val="bottom"/>
          </w:tcPr>
          <w:p>
            <w:pPr>
              <w:spacing w:after="0"/>
              <w:rPr>
                <w:sz w:val="24"/>
                <w:szCs w:val="24"/>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-3300095</wp:posOffset>
            </wp:positionV>
            <wp:extent cx="5700395" cy="15430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-2990850</wp:posOffset>
            </wp:positionV>
            <wp:extent cx="5700395" cy="15430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-2682240</wp:posOffset>
            </wp:positionV>
            <wp:extent cx="5700395" cy="16319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-2365375</wp:posOffset>
            </wp:positionV>
            <wp:extent cx="5700395" cy="18034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5700395" cy="18034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-1113790</wp:posOffset>
            </wp:positionV>
            <wp:extent cx="5700395" cy="15430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-805180</wp:posOffset>
            </wp:positionV>
            <wp:extent cx="5700395" cy="15430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-496570</wp:posOffset>
            </wp:positionV>
            <wp:extent cx="5700395" cy="16256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-179070</wp:posOffset>
            </wp:positionV>
            <wp:extent cx="5700395" cy="17970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720"/>
            <w:col w:w="4820"/>
          </w:cols>
          <w:pgMar w:left="320" w:top="769" w:right="339" w:bottom="144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7"/>
          <w:szCs w:val="17"/>
          <w:color w:val="auto"/>
        </w:rPr>
        <w:t>ITEM 1 NOTES TO CONDENSED CONSOLIDATED UNAUDITED FINANCIAL STATEMENTS (Continued)</w:t>
      </w:r>
    </w:p>
    <w:p>
      <w:pPr>
        <w:sectPr>
          <w:pgSz w:w="11900" w:h="16838" w:orient="portrait"/>
          <w:cols w:equalWidth="0" w:num="1">
            <w:col w:w="10139"/>
          </w:cols>
          <w:pgMar w:left="320" w:top="7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July 1, 2023</w:t>
      </w:r>
    </w:p>
    <w:p>
      <w:pPr>
        <w:spacing w:after="0" w:line="2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9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Payments, Maturities &amp; Calls</w:t>
      </w:r>
    </w:p>
    <w:p>
      <w:pPr>
        <w:spacing w:after="0" w:line="3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January 1, 2023</w:t>
      </w:r>
    </w:p>
    <w:p>
      <w:pPr>
        <w:spacing w:after="0" w:line="2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9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Payments, Maturities &amp; Calls</w:t>
      </w:r>
    </w:p>
    <w:p>
      <w:pPr>
        <w:spacing w:after="0" w:line="3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September 30, 2023</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229743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Fair Value Measurements Using Significant</w:t>
      </w:r>
    </w:p>
    <w:p>
      <w:pPr>
        <w:spacing w:after="0" w:line="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Unobservable Inputs (Level 3)</w:t>
      </w:r>
    </w:p>
    <w:p>
      <w:pPr>
        <w:spacing w:after="0" w:line="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State and Local Governments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20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Tax-Exempt</w:t>
            </w: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Taxable</w:t>
            </w:r>
          </w:p>
        </w:tc>
        <w:tc>
          <w:tcPr>
            <w:tcW w:w="3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4"/>
              </w:rPr>
              <w:t>Total</w:t>
            </w:r>
          </w:p>
        </w:tc>
        <w:tc>
          <w:tcPr>
            <w:tcW w:w="60" w:type="dxa"/>
            <w:vAlign w:val="bottom"/>
          </w:tcPr>
          <w:p>
            <w:pPr>
              <w:spacing w:after="0"/>
              <w:rPr>
                <w:sz w:val="21"/>
                <w:szCs w:val="21"/>
                <w:color w:val="auto"/>
              </w:rPr>
            </w:pPr>
          </w:p>
        </w:tc>
      </w:tr>
      <w:tr>
        <w:trPr>
          <w:trHeight w:val="232"/>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60" w:type="dxa"/>
            <w:vAlign w:val="bottom"/>
          </w:tcPr>
          <w:p>
            <w:pPr>
              <w:spacing w:after="0"/>
              <w:rPr>
                <w:sz w:val="20"/>
                <w:szCs w:val="20"/>
                <w:color w:val="auto"/>
              </w:rPr>
            </w:pPr>
          </w:p>
        </w:tc>
      </w:tr>
      <w:tr>
        <w:trPr>
          <w:trHeight w:val="481"/>
        </w:trPr>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(25 )</w:t>
            </w: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493"/>
        </w:trPr>
        <w:tc>
          <w:tcPr>
            <w:tcW w:w="16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(657 )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(657 )</w:t>
            </w:r>
          </w:p>
        </w:tc>
      </w:tr>
      <w:tr>
        <w:trPr>
          <w:trHeight w:val="480"/>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60" w:type="dxa"/>
            <w:vAlign w:val="bottom"/>
          </w:tcPr>
          <w:p>
            <w:pPr>
              <w:spacing w:after="0"/>
              <w:rPr>
                <w:sz w:val="24"/>
                <w:szCs w:val="24"/>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55"/>
        </w:trPr>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60" w:type="dxa"/>
            <w:vAlign w:val="bottom"/>
          </w:tcPr>
          <w:p>
            <w:pPr>
              <w:spacing w:after="0"/>
              <w:rPr>
                <w:sz w:val="20"/>
                <w:szCs w:val="20"/>
                <w:color w:val="auto"/>
              </w:rPr>
            </w:pPr>
          </w:p>
        </w:tc>
        <w:tc>
          <w:tcPr>
            <w:tcW w:w="3460" w:type="dxa"/>
            <w:vAlign w:val="bottom"/>
            <w:gridSpan w:val="8"/>
          </w:tcPr>
          <w:p>
            <w:pPr>
              <w:jc w:val="center"/>
              <w:ind w:right="90"/>
              <w:spacing w:after="0"/>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60" w:type="dxa"/>
            <w:vAlign w:val="bottom"/>
          </w:tcPr>
          <w:p>
            <w:pPr>
              <w:spacing w:after="0"/>
              <w:rPr>
                <w:sz w:val="20"/>
                <w:szCs w:val="20"/>
                <w:color w:val="auto"/>
              </w:rPr>
            </w:pPr>
          </w:p>
        </w:tc>
      </w:tr>
      <w:tr>
        <w:trPr>
          <w:trHeight w:val="238"/>
        </w:trPr>
        <w:tc>
          <w:tcPr>
            <w:tcW w:w="160" w:type="dxa"/>
            <w:vAlign w:val="bottom"/>
          </w:tcPr>
          <w:p>
            <w:pPr>
              <w:spacing w:after="0"/>
              <w:rPr>
                <w:sz w:val="20"/>
                <w:szCs w:val="20"/>
                <w:color w:val="auto"/>
              </w:rPr>
            </w:pPr>
          </w:p>
        </w:tc>
        <w:tc>
          <w:tcPr>
            <w:tcW w:w="2740" w:type="dxa"/>
            <w:vAlign w:val="bottom"/>
            <w:gridSpan w:val="7"/>
          </w:tcPr>
          <w:p>
            <w:pPr>
              <w:jc w:val="center"/>
              <w:ind w:left="450"/>
              <w:spacing w:after="0"/>
              <w:rPr>
                <w:sz w:val="20"/>
                <w:szCs w:val="20"/>
                <w:color w:val="auto"/>
              </w:rPr>
            </w:pPr>
            <w:r>
              <w:rPr>
                <w:rFonts w:ascii="Times New Roman" w:cs="Times New Roman" w:eastAsia="Times New Roman" w:hAnsi="Times New Roman"/>
                <w:sz w:val="18"/>
                <w:szCs w:val="18"/>
                <w:color w:val="auto"/>
                <w:w w:val="99"/>
              </w:rPr>
              <w:t>Unobservable Inputs (Level 3)</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16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7"/>
          </w:tcPr>
          <w:p>
            <w:pPr>
              <w:jc w:val="center"/>
              <w:ind w:left="450"/>
              <w:spacing w:after="0"/>
              <w:rPr>
                <w:sz w:val="20"/>
                <w:szCs w:val="20"/>
                <w:color w:val="auto"/>
              </w:rPr>
            </w:pPr>
            <w:r>
              <w:rPr>
                <w:rFonts w:ascii="Times New Roman" w:cs="Times New Roman" w:eastAsia="Times New Roman" w:hAnsi="Times New Roman"/>
                <w:sz w:val="18"/>
                <w:szCs w:val="18"/>
                <w:color w:val="auto"/>
                <w:w w:val="99"/>
              </w:rPr>
              <w:t>State and Local Governments</w:t>
            </w:r>
          </w:p>
        </w:tc>
        <w:tc>
          <w:tcPr>
            <w:tcW w:w="7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Tax-Exempt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Taxable</w:t>
            </w: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4"/>
              </w:rPr>
              <w:t>Total</w:t>
            </w:r>
          </w:p>
        </w:tc>
        <w:tc>
          <w:tcPr>
            <w:tcW w:w="60" w:type="dxa"/>
            <w:vAlign w:val="bottom"/>
          </w:tcPr>
          <w:p>
            <w:pPr>
              <w:spacing w:after="0"/>
              <w:rPr>
                <w:sz w:val="20"/>
                <w:szCs w:val="20"/>
                <w:color w:val="auto"/>
              </w:rPr>
            </w:pPr>
          </w:p>
        </w:tc>
      </w:tr>
      <w:tr>
        <w:trPr>
          <w:trHeight w:val="232"/>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60" w:type="dxa"/>
            <w:vAlign w:val="bottom"/>
          </w:tcPr>
          <w:p>
            <w:pPr>
              <w:spacing w:after="0"/>
              <w:rPr>
                <w:sz w:val="20"/>
                <w:szCs w:val="20"/>
                <w:color w:val="auto"/>
              </w:rPr>
            </w:pPr>
          </w:p>
        </w:tc>
      </w:tr>
      <w:tr>
        <w:trPr>
          <w:trHeight w:val="481"/>
        </w:trPr>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(21 )</w:t>
            </w: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493"/>
        </w:trPr>
        <w:tc>
          <w:tcPr>
            <w:tcW w:w="16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(902 )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(902 )</w:t>
            </w:r>
          </w:p>
        </w:tc>
      </w:tr>
      <w:tr>
        <w:trPr>
          <w:trHeight w:val="480"/>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2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60" w:type="dxa"/>
            <w:vAlign w:val="bottom"/>
          </w:tcPr>
          <w:p>
            <w:pPr>
              <w:spacing w:after="0"/>
              <w:rPr>
                <w:sz w:val="24"/>
                <w:szCs w:val="24"/>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-3300095</wp:posOffset>
            </wp:positionV>
            <wp:extent cx="5700395" cy="15430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-2990850</wp:posOffset>
            </wp:positionV>
            <wp:extent cx="5700395" cy="15430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-2682240</wp:posOffset>
            </wp:positionV>
            <wp:extent cx="5700395" cy="16256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-2365375</wp:posOffset>
            </wp:positionV>
            <wp:extent cx="5700395" cy="17970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700395" cy="1797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-1113790</wp:posOffset>
            </wp:positionV>
            <wp:extent cx="5700395" cy="15430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-805180</wp:posOffset>
            </wp:positionV>
            <wp:extent cx="5700395" cy="15430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-496570</wp:posOffset>
            </wp:positionV>
            <wp:extent cx="5700395" cy="16256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5700395" cy="162560"/>
                    </a:xfrm>
                    <a:prstGeom prst="rect">
                      <a:avLst/>
                    </a:prstGeom>
                    <a:noFill/>
                  </pic:spPr>
                </pic:pic>
              </a:graphicData>
            </a:graphic>
          </wp:anchor>
        </w:drawing>
        <w:drawing>
          <wp:anchor simplePos="0" relativeHeight="251657728" behindDoc="1" locked="0" layoutInCell="0" allowOverlap="1">
            <wp:simplePos x="0" y="0"/>
            <wp:positionH relativeFrom="column">
              <wp:posOffset>-3350895</wp:posOffset>
            </wp:positionH>
            <wp:positionV relativeFrom="paragraph">
              <wp:posOffset>-179070</wp:posOffset>
            </wp:positionV>
            <wp:extent cx="5700395" cy="17970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720"/>
            <w:col w:w="3719"/>
          </w:cols>
          <w:pgMar w:left="320" w:top="769" w:right="1440" w:bottom="1440" w:gutter="0" w:footer="0" w:header="0"/>
          <w:type w:val="continuous"/>
        </w:sectPr>
      </w:pPr>
    </w:p>
    <w:p>
      <w:pPr>
        <w:spacing w:after="0" w:line="3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333"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21"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Company also has assets that, under certain conditions, are subject to measurement at fair value on a non-recurring basis. At September 30, 2024 and December 31, 2023, such assets consist primarily of collateral dependent loans. Collateral dependent loans categorized as Level 3 assets consist of non-homogeneous loans that have expected credit losses. The Company may also estimate the fair value of certain nonperforming loans using a discounted cash flow method of future cash flows using management's best estimate of key assumptions. These assumptions include future payment ability, timing of payment streams, and estimated realizable values of available collateral (typically based on outside appraisals.)</w:t>
      </w:r>
    </w:p>
    <w:p>
      <w:pPr>
        <w:spacing w:after="0" w:line="160"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At September 30, 2024 and December 31, 2023, fair value of collateral dependent loans categorized as Level 3 was $2.8 million and $22.7 million, respectively.</w:t>
      </w:r>
    </w:p>
    <w:p>
      <w:pPr>
        <w:spacing w:after="0" w:line="12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During 2024 and 2023, impairment was recognized on loan servicing rights based upon the independent third party's quarterly valuation. A valuation allowance was established by strata to quantify the likely impairment of the value of the loan servicing rights to the Company. If the carrying amount of an individual strata exceeds the fair value, impairment was recorded on that strata so the servicing asset was carried at fair value. Impairment was $49 thousand at September 30, 2024 and $7 thousand at December 31, 2023.</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assets measured at fair value on a nonrecurring basis at September 30, 2024 and December 31,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3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60" w:type="dxa"/>
            <w:vAlign w:val="bottom"/>
            <w:tcBorders>
              <w:bottom w:val="single" w:sz="8" w:color="auto"/>
            </w:tcBorders>
            <w:gridSpan w:val="10"/>
          </w:tcPr>
          <w:p>
            <w:pPr>
              <w:jc w:val="center"/>
              <w:ind w:right="50"/>
              <w:spacing w:after="0"/>
              <w:rPr>
                <w:sz w:val="20"/>
                <w:szCs w:val="20"/>
                <w:color w:val="auto"/>
              </w:rPr>
            </w:pPr>
            <w:r>
              <w:rPr>
                <w:rFonts w:ascii="Times New Roman" w:cs="Times New Roman" w:eastAsia="Times New Roman" w:hAnsi="Times New Roman"/>
                <w:sz w:val="18"/>
                <w:szCs w:val="18"/>
                <w:color w:val="auto"/>
                <w:w w:val="99"/>
              </w:rPr>
              <w:t>Assets Measured at Fair Value on a Nonrecurring Basis at September 30, 2024</w:t>
            </w:r>
          </w:p>
        </w:tc>
        <w:tc>
          <w:tcPr>
            <w:tcW w:w="100" w:type="dxa"/>
            <w:vAlign w:val="bottom"/>
          </w:tcPr>
          <w:p>
            <w:pPr>
              <w:spacing w:after="0"/>
              <w:rPr>
                <w:sz w:val="20"/>
                <w:szCs w:val="20"/>
                <w:color w:val="auto"/>
              </w:rPr>
            </w:pPr>
          </w:p>
        </w:tc>
      </w:tr>
      <w:tr>
        <w:trPr>
          <w:trHeight w:val="209"/>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Quoted Prices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 Active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Markets for</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Balance at</w:t>
            </w: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Identical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Observable Inputs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Unobservable Inputs</w:t>
            </w:r>
          </w:p>
        </w:tc>
      </w:tr>
      <w:tr>
        <w:trPr>
          <w:trHeight w:val="241"/>
        </w:trPr>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1"/>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 dependent</w:t>
            </w:r>
          </w:p>
        </w:tc>
        <w:tc>
          <w:tcPr>
            <w:tcW w:w="12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shd w:val="clear" w:color="auto" w:fill="CFF0FC"/>
          </w:tcPr>
          <w:p>
            <w:pPr>
              <w:spacing w:after="0"/>
              <w:rPr>
                <w:sz w:val="21"/>
                <w:szCs w:val="21"/>
                <w:color w:val="auto"/>
              </w:rPr>
            </w:pP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servicing rights</w:t>
            </w:r>
          </w:p>
        </w:tc>
        <w:tc>
          <w:tcPr>
            <w:tcW w:w="120" w:type="dxa"/>
            <w:vAlign w:val="bottom"/>
          </w:tcPr>
          <w:p>
            <w:pPr>
              <w:spacing w:after="0"/>
              <w:rPr>
                <w:sz w:val="20"/>
                <w:szCs w:val="20"/>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(2 )</w:t>
            </w:r>
          </w:p>
        </w:tc>
        <w:tc>
          <w:tcPr>
            <w:tcW w:w="15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677"/>
        </w:trPr>
        <w:tc>
          <w:tcPr>
            <w:tcW w:w="3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3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60" w:type="dxa"/>
            <w:vAlign w:val="bottom"/>
            <w:tcBorders>
              <w:bottom w:val="single" w:sz="8" w:color="auto"/>
            </w:tcBorders>
            <w:gridSpan w:val="10"/>
          </w:tcPr>
          <w:p>
            <w:pPr>
              <w:jc w:val="center"/>
              <w:ind w:right="30"/>
              <w:spacing w:after="0"/>
              <w:rPr>
                <w:sz w:val="20"/>
                <w:szCs w:val="20"/>
                <w:color w:val="auto"/>
              </w:rPr>
            </w:pPr>
            <w:r>
              <w:rPr>
                <w:rFonts w:ascii="Times New Roman" w:cs="Times New Roman" w:eastAsia="Times New Roman" w:hAnsi="Times New Roman"/>
                <w:sz w:val="18"/>
                <w:szCs w:val="18"/>
                <w:color w:val="auto"/>
                <w:w w:val="99"/>
              </w:rPr>
              <w:t>Assets Measured at Fair Value on a Nonrecurring Basis at December 31, 2023</w:t>
            </w:r>
          </w:p>
        </w:tc>
        <w:tc>
          <w:tcPr>
            <w:tcW w:w="100" w:type="dxa"/>
            <w:vAlign w:val="bottom"/>
          </w:tcPr>
          <w:p>
            <w:pPr>
              <w:spacing w:after="0"/>
              <w:rPr>
                <w:sz w:val="20"/>
                <w:szCs w:val="20"/>
                <w:color w:val="auto"/>
              </w:rPr>
            </w:pPr>
          </w:p>
        </w:tc>
      </w:tr>
      <w:tr>
        <w:trPr>
          <w:trHeight w:val="209"/>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Quoted Prices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 Active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Markets for</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Significant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Significant</w:t>
            </w:r>
          </w:p>
        </w:tc>
      </w:t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Balance at</w:t>
            </w: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Identical</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Observable Inputs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Unobservable Inputs</w:t>
            </w:r>
          </w:p>
        </w:tc>
      </w:tr>
      <w:tr>
        <w:trPr>
          <w:trHeight w:val="241"/>
        </w:trPr>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December 31, 2023</w:t>
            </w: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Assets (Level 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1"/>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 dependent</w:t>
            </w:r>
          </w:p>
        </w:tc>
        <w:tc>
          <w:tcPr>
            <w:tcW w:w="12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22,676</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22,676</w:t>
            </w:r>
          </w:p>
        </w:tc>
        <w:tc>
          <w:tcPr>
            <w:tcW w:w="100" w:type="dxa"/>
            <w:vAlign w:val="bottom"/>
            <w:shd w:val="clear" w:color="auto" w:fill="CFF0FC"/>
          </w:tcPr>
          <w:p>
            <w:pPr>
              <w:spacing w:after="0"/>
              <w:rPr>
                <w:sz w:val="21"/>
                <w:szCs w:val="21"/>
                <w:color w:val="auto"/>
              </w:rPr>
            </w:pP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servicing rights</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r>
      <w:tr>
        <w:trPr>
          <w:trHeight w:val="549"/>
        </w:trPr>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200" w:lineRule="exact"/>
        <w:rPr>
          <w:sz w:val="20"/>
          <w:szCs w:val="20"/>
          <w:color w:val="auto"/>
        </w:rPr>
      </w:pPr>
    </w:p>
    <w:p>
      <w:pPr>
        <w:spacing w:after="0" w:line="349"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unobservable inputs used in recurring and nonrecurring Level 3 fair value measurements: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(In Thousands)</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r>
      <w:tr>
        <w:trPr>
          <w:trHeight w:val="234"/>
        </w:trPr>
        <w:tc>
          <w:tcPr>
            <w:tcW w:w="23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Fair Value at</w:t>
            </w: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45"/>
        </w:trPr>
        <w:tc>
          <w:tcPr>
            <w:tcW w:w="2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September 30, 2024</w:t>
            </w:r>
          </w:p>
        </w:tc>
        <w:tc>
          <w:tcPr>
            <w:tcW w:w="260" w:type="dxa"/>
            <w:vAlign w:val="bottom"/>
          </w:tcPr>
          <w:p>
            <w:pPr>
              <w:spacing w:after="0"/>
              <w:rPr>
                <w:sz w:val="21"/>
                <w:szCs w:val="21"/>
                <w:color w:val="auto"/>
              </w:rPr>
            </w:pPr>
          </w:p>
        </w:tc>
        <w:tc>
          <w:tcPr>
            <w:tcW w:w="1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Valuation Technique</w:t>
            </w:r>
          </w:p>
        </w:tc>
        <w:tc>
          <w:tcPr>
            <w:tcW w:w="120" w:type="dxa"/>
            <w:vAlign w:val="bottom"/>
          </w:tcPr>
          <w:p>
            <w:pPr>
              <w:spacing w:after="0"/>
              <w:rPr>
                <w:sz w:val="21"/>
                <w:szCs w:val="21"/>
                <w:color w:val="auto"/>
              </w:rPr>
            </w:pPr>
          </w:p>
        </w:tc>
        <w:tc>
          <w:tcPr>
            <w:tcW w:w="3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Unobservable Inputs</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1"/>
        </w:trPr>
        <w:tc>
          <w:tcPr>
            <w:tcW w:w="2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strength of underlying project</w:t>
            </w:r>
          </w:p>
        </w:tc>
        <w:tc>
          <w:tcPr>
            <w:tcW w:w="1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3.14-3.95%</w:t>
            </w:r>
          </w:p>
        </w:tc>
      </w:tr>
      <w:tr>
        <w:trPr>
          <w:trHeight w:val="24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60" w:type="dxa"/>
            <w:vAlign w:val="bottom"/>
            <w:shd w:val="clear" w:color="auto" w:fill="CFF0FC"/>
          </w:tcPr>
          <w:p>
            <w:pPr>
              <w:spacing w:after="0"/>
              <w:rPr>
                <w:sz w:val="21"/>
                <w:szCs w:val="21"/>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20" w:type="dxa"/>
            <w:vAlign w:val="bottom"/>
            <w:shd w:val="clear" w:color="auto" w:fill="CFF0FC"/>
          </w:tcPr>
          <w:p>
            <w:pPr>
              <w:spacing w:after="0"/>
              <w:rPr>
                <w:sz w:val="21"/>
                <w:szCs w:val="21"/>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 entity / discount rate</w:t>
            </w:r>
          </w:p>
        </w:tc>
        <w:tc>
          <w:tcPr>
            <w:tcW w:w="16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(3.83%)</w:t>
            </w:r>
          </w:p>
        </w:tc>
      </w:tr>
      <w:tr>
        <w:trPr>
          <w:trHeight w:val="243"/>
        </w:trPr>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11"/>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 dependent</w:t>
            </w: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 based</w:t>
            </w:r>
          </w:p>
        </w:tc>
        <w:tc>
          <w:tcPr>
            <w:tcW w:w="120" w:type="dxa"/>
            <w:vAlign w:val="bottom"/>
            <w:shd w:val="clear" w:color="auto" w:fill="CFF0FC"/>
          </w:tcPr>
          <w:p>
            <w:pPr>
              <w:spacing w:after="0"/>
              <w:rPr>
                <w:sz w:val="18"/>
                <w:szCs w:val="18"/>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to reflect current market</w:t>
            </w:r>
          </w:p>
        </w:tc>
        <w:tc>
          <w:tcPr>
            <w:tcW w:w="1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0.00-22.46%</w:t>
            </w:r>
          </w:p>
        </w:tc>
      </w:tr>
      <w:tr>
        <w:trPr>
          <w:trHeight w:val="248"/>
        </w:trPr>
        <w:tc>
          <w:tcPr>
            <w:tcW w:w="2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60" w:type="dxa"/>
            <w:vAlign w:val="bottom"/>
            <w:shd w:val="clear" w:color="auto" w:fill="CFF0FC"/>
          </w:tcPr>
          <w:p>
            <w:pPr>
              <w:spacing w:after="0"/>
              <w:rPr>
                <w:sz w:val="21"/>
                <w:szCs w:val="21"/>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measurements</w:t>
            </w:r>
          </w:p>
        </w:tc>
        <w:tc>
          <w:tcPr>
            <w:tcW w:w="120" w:type="dxa"/>
            <w:vAlign w:val="bottom"/>
            <w:shd w:val="clear" w:color="auto" w:fill="CFF0FC"/>
          </w:tcPr>
          <w:p>
            <w:pPr>
              <w:spacing w:after="0"/>
              <w:rPr>
                <w:sz w:val="21"/>
                <w:szCs w:val="21"/>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conditions and ultimate collectability</w:t>
            </w:r>
          </w:p>
        </w:tc>
        <w:tc>
          <w:tcPr>
            <w:tcW w:w="16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(4.46%)</w:t>
            </w:r>
          </w:p>
        </w:tc>
      </w:tr>
      <w:tr>
        <w:trPr>
          <w:trHeight w:val="243"/>
        </w:trPr>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11"/>
        </w:trPr>
        <w:tc>
          <w:tcPr>
            <w:tcW w:w="2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Constant prepayment rate and</w:t>
            </w:r>
          </w:p>
        </w:tc>
        <w:tc>
          <w:tcPr>
            <w:tcW w:w="16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9.75-425.44%</w:t>
            </w:r>
          </w:p>
        </w:tc>
      </w:tr>
      <w:tr>
        <w:trPr>
          <w:trHeight w:val="24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 servicing rights</w:t>
            </w:r>
          </w:p>
        </w:tc>
        <w:tc>
          <w:tcPr>
            <w:tcW w:w="12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20" w:type="dxa"/>
            <w:vAlign w:val="bottom"/>
            <w:shd w:val="clear" w:color="auto" w:fill="CFF0FC"/>
          </w:tcPr>
          <w:p>
            <w:pPr>
              <w:spacing w:after="0"/>
              <w:rPr>
                <w:sz w:val="21"/>
                <w:szCs w:val="21"/>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probability of default / discount rate</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(104.97%)</w:t>
            </w:r>
          </w:p>
        </w:tc>
      </w:tr>
      <w:tr>
        <w:trPr>
          <w:trHeight w:val="675"/>
        </w:trPr>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(In Thousands)</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r>
      <w:tr>
        <w:trPr>
          <w:trHeight w:val="228"/>
        </w:trPr>
        <w:tc>
          <w:tcPr>
            <w:tcW w:w="2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Fair Value at</w:t>
            </w: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45"/>
        </w:trPr>
        <w:tc>
          <w:tcPr>
            <w:tcW w:w="2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tcPr>
          <w:p>
            <w:pPr>
              <w:spacing w:after="0"/>
              <w:rPr>
                <w:sz w:val="21"/>
                <w:szCs w:val="21"/>
                <w:color w:val="auto"/>
              </w:rPr>
            </w:pPr>
          </w:p>
        </w:tc>
        <w:tc>
          <w:tcPr>
            <w:tcW w:w="1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Valuation Technique</w:t>
            </w:r>
          </w:p>
        </w:tc>
        <w:tc>
          <w:tcPr>
            <w:tcW w:w="120" w:type="dxa"/>
            <w:vAlign w:val="bottom"/>
          </w:tcPr>
          <w:p>
            <w:pPr>
              <w:spacing w:after="0"/>
              <w:rPr>
                <w:sz w:val="21"/>
                <w:szCs w:val="21"/>
                <w:color w:val="auto"/>
              </w:rPr>
            </w:pPr>
          </w:p>
        </w:tc>
        <w:tc>
          <w:tcPr>
            <w:tcW w:w="32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Unobservable Inputs</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1"/>
        </w:trPr>
        <w:tc>
          <w:tcPr>
            <w:tcW w:w="2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strength of underlying project</w:t>
            </w:r>
          </w:p>
        </w:tc>
        <w:tc>
          <w:tcPr>
            <w:tcW w:w="16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-0.17-4.92%</w:t>
            </w:r>
          </w:p>
        </w:tc>
      </w:tr>
      <w:tr>
        <w:trPr>
          <w:trHeight w:val="24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260" w:type="dxa"/>
            <w:vAlign w:val="bottom"/>
            <w:shd w:val="clear" w:color="auto" w:fill="CFF0FC"/>
          </w:tcPr>
          <w:p>
            <w:pPr>
              <w:spacing w:after="0"/>
              <w:rPr>
                <w:sz w:val="21"/>
                <w:szCs w:val="21"/>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20" w:type="dxa"/>
            <w:vAlign w:val="bottom"/>
            <w:shd w:val="clear" w:color="auto" w:fill="CFF0FC"/>
          </w:tcPr>
          <w:p>
            <w:pPr>
              <w:spacing w:after="0"/>
              <w:rPr>
                <w:sz w:val="21"/>
                <w:szCs w:val="21"/>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 entity / discount rate</w:t>
            </w:r>
          </w:p>
        </w:tc>
        <w:tc>
          <w:tcPr>
            <w:tcW w:w="16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(3.49%)</w:t>
            </w:r>
          </w:p>
        </w:tc>
      </w:tr>
      <w:tr>
        <w:trPr>
          <w:trHeight w:val="243"/>
        </w:trPr>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600" w:type="dxa"/>
            <w:vAlign w:val="bottom"/>
            <w:gridSpan w:val="2"/>
          </w:tcPr>
          <w:p>
            <w:pPr>
              <w:spacing w:after="0"/>
              <w:rPr>
                <w:sz w:val="21"/>
                <w:szCs w:val="21"/>
                <w:color w:val="auto"/>
              </w:rPr>
            </w:pPr>
          </w:p>
        </w:tc>
      </w:tr>
      <w:tr>
        <w:trPr>
          <w:trHeight w:val="211"/>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 dependent</w:t>
            </w: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Collateral based</w:t>
            </w:r>
          </w:p>
        </w:tc>
        <w:tc>
          <w:tcPr>
            <w:tcW w:w="120" w:type="dxa"/>
            <w:vAlign w:val="bottom"/>
            <w:shd w:val="clear" w:color="auto" w:fill="CFF0FC"/>
          </w:tcPr>
          <w:p>
            <w:pPr>
              <w:spacing w:after="0"/>
              <w:rPr>
                <w:sz w:val="18"/>
                <w:szCs w:val="18"/>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to reflect current market</w:t>
            </w:r>
          </w:p>
        </w:tc>
        <w:tc>
          <w:tcPr>
            <w:tcW w:w="1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0.00-50.00%</w:t>
            </w:r>
          </w:p>
        </w:tc>
      </w:tr>
      <w:tr>
        <w:trPr>
          <w:trHeight w:val="248"/>
        </w:trPr>
        <w:tc>
          <w:tcPr>
            <w:tcW w:w="2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1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22,676</w:t>
            </w:r>
          </w:p>
        </w:tc>
        <w:tc>
          <w:tcPr>
            <w:tcW w:w="260" w:type="dxa"/>
            <w:vAlign w:val="bottom"/>
            <w:shd w:val="clear" w:color="auto" w:fill="CFF0FC"/>
          </w:tcPr>
          <w:p>
            <w:pPr>
              <w:spacing w:after="0"/>
              <w:rPr>
                <w:sz w:val="21"/>
                <w:szCs w:val="21"/>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measurements</w:t>
            </w:r>
          </w:p>
        </w:tc>
        <w:tc>
          <w:tcPr>
            <w:tcW w:w="120" w:type="dxa"/>
            <w:vAlign w:val="bottom"/>
            <w:shd w:val="clear" w:color="auto" w:fill="CFF0FC"/>
          </w:tcPr>
          <w:p>
            <w:pPr>
              <w:spacing w:after="0"/>
              <w:rPr>
                <w:sz w:val="21"/>
                <w:szCs w:val="21"/>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conditions and ultimate collectability</w:t>
            </w:r>
          </w:p>
        </w:tc>
        <w:tc>
          <w:tcPr>
            <w:tcW w:w="16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(0.41%)</w:t>
            </w:r>
          </w:p>
        </w:tc>
      </w:tr>
      <w:tr>
        <w:trPr>
          <w:trHeight w:val="243"/>
        </w:trPr>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600" w:type="dxa"/>
            <w:vAlign w:val="bottom"/>
            <w:gridSpan w:val="2"/>
          </w:tcPr>
          <w:p>
            <w:pPr>
              <w:spacing w:after="0"/>
              <w:rPr>
                <w:sz w:val="21"/>
                <w:szCs w:val="21"/>
                <w:color w:val="auto"/>
              </w:rPr>
            </w:pPr>
          </w:p>
        </w:tc>
      </w:tr>
      <w:tr>
        <w:trPr>
          <w:trHeight w:val="211"/>
        </w:trPr>
        <w:tc>
          <w:tcPr>
            <w:tcW w:w="2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Constant prepayment rate and</w:t>
            </w:r>
          </w:p>
        </w:tc>
        <w:tc>
          <w:tcPr>
            <w:tcW w:w="1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5.11-22.80%</w:t>
            </w:r>
          </w:p>
        </w:tc>
      </w:tr>
      <w:tr>
        <w:trPr>
          <w:trHeight w:val="24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 servicing rights</w:t>
            </w:r>
          </w:p>
        </w:tc>
        <w:tc>
          <w:tcPr>
            <w:tcW w:w="1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shd w:val="clear" w:color="auto" w:fill="CFF0FC"/>
          </w:tcPr>
          <w:p>
            <w:pPr>
              <w:spacing w:after="0"/>
              <w:rPr>
                <w:sz w:val="21"/>
                <w:szCs w:val="21"/>
                <w:color w:val="auto"/>
              </w:rPr>
            </w:pPr>
          </w:p>
        </w:tc>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20" w:type="dxa"/>
            <w:vAlign w:val="bottom"/>
            <w:shd w:val="clear" w:color="auto" w:fill="CFF0FC"/>
          </w:tcPr>
          <w:p>
            <w:pPr>
              <w:spacing w:after="0"/>
              <w:rPr>
                <w:sz w:val="21"/>
                <w:szCs w:val="21"/>
                <w:color w:val="auto"/>
              </w:rPr>
            </w:pPr>
          </w:p>
        </w:tc>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probability of default / discount rate</w:t>
            </w:r>
          </w:p>
        </w:tc>
        <w:tc>
          <w:tcPr>
            <w:tcW w:w="1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(10.87%)</w:t>
            </w:r>
          </w:p>
        </w:tc>
      </w:tr>
    </w:tbl>
    <w:p>
      <w:pPr>
        <w:spacing w:after="0" w:line="198"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estimated fair values, and related carrying or notional amounts, for on and off-balance sheet financial instruments as of September 30, 2024 and December 31, 2023 are reflected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8"/>
              </w:rPr>
              <w:t>(In Thousands)</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7"/>
          </w:tcPr>
          <w:p>
            <w:pPr>
              <w:jc w:val="center"/>
              <w:ind w:left="67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3</w:t>
            </w:r>
          </w:p>
        </w:tc>
      </w:tr>
      <w:tr>
        <w:trPr>
          <w:trHeight w:val="24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4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245,504</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245,504</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15,028</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held for sale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2,512,852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2,454,546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2,454,546</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receivable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14,316</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1,527,182</w:t>
            </w:r>
          </w:p>
        </w:tc>
        <w:tc>
          <w:tcPr>
            <w:tcW w:w="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1,526,588</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1,526,588</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676,187</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676,172</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676,172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Deposits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2,684,813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2,684,204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2,202,760</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agreement to repurchase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27,292</w:t>
            </w:r>
          </w:p>
        </w:tc>
        <w:tc>
          <w:tcPr>
            <w:tcW w:w="100" w:type="dxa"/>
            <w:vAlign w:val="bottom"/>
          </w:tcPr>
          <w:p>
            <w:pPr>
              <w:spacing w:after="0"/>
              <w:rPr>
                <w:sz w:val="20"/>
                <w:szCs w:val="20"/>
                <w:color w:val="auto"/>
              </w:rPr>
            </w:pPr>
          </w:p>
        </w:tc>
      </w:tr>
      <w:tr>
        <w:trPr>
          <w:trHeight w:val="250"/>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263,081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249,109</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249,109</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payable</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-1070610</wp:posOffset>
            </wp:positionV>
            <wp:extent cx="7683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-1070610</wp:posOffset>
            </wp:positionV>
            <wp:extent cx="6858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-1070610</wp:posOffset>
            </wp:positionV>
            <wp:extent cx="6858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-1070610</wp:posOffset>
            </wp:positionV>
            <wp:extent cx="6858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8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1"/>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8"/>
              </w:rPr>
              <w:t>(In Thousands)</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8"/>
                <w:szCs w:val="18"/>
                <w:color w:val="auto"/>
                <w:w w:val="98"/>
              </w:rPr>
              <w:t>December 31, 2023</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3</w:t>
            </w:r>
          </w:p>
        </w:tc>
      </w:tr>
      <w:tr>
        <w:trPr>
          <w:trHeight w:val="24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4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142,201</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142,201</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17,138</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held for sale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2,556,167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2,396,540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2,396,540</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receivable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bearing deposits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1,415,981</w:t>
            </w:r>
          </w:p>
        </w:tc>
        <w:tc>
          <w:tcPr>
            <w:tcW w:w="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1,416,007</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1,416,007</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Non-interest bearing deposits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663,017</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656,141</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656,141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Deposits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2,607,463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2,600,613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2,072,148</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funds purchased and securities sold under</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agreement to repurchase</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00" w:type="dxa"/>
            <w:vAlign w:val="bottom"/>
          </w:tcPr>
          <w:p>
            <w:pPr>
              <w:spacing w:after="0"/>
              <w:rPr>
                <w:sz w:val="20"/>
                <w:szCs w:val="20"/>
                <w:color w:val="auto"/>
              </w:rPr>
            </w:pPr>
          </w:p>
        </w:tc>
      </w:tr>
      <w:tr>
        <w:trPr>
          <w:trHeight w:val="250"/>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Home Loan Bank advances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265,750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260,400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260,400</w:t>
            </w:r>
          </w:p>
        </w:tc>
        <w:tc>
          <w:tcPr>
            <w:tcW w:w="100" w:type="dxa"/>
            <w:vAlign w:val="bottom"/>
            <w:shd w:val="clear" w:color="auto" w:fill="CFF0FC"/>
          </w:tcPr>
          <w:p>
            <w:pPr>
              <w:spacing w:after="0"/>
              <w:rPr>
                <w:sz w:val="21"/>
                <w:szCs w:val="2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payable</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00" w:type="dxa"/>
            <w:vAlign w:val="bottom"/>
            <w:shd w:val="clear" w:color="auto" w:fill="CFF0FC"/>
          </w:tcPr>
          <w:p>
            <w:pPr>
              <w:spacing w:after="0"/>
              <w:rPr>
                <w:sz w:val="21"/>
                <w:szCs w:val="21"/>
                <w:color w:val="auto"/>
              </w:rPr>
            </w:pPr>
          </w:p>
        </w:tc>
      </w:tr>
      <w:tr>
        <w:trPr>
          <w:trHeight w:val="540"/>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-1911350</wp:posOffset>
            </wp:positionV>
            <wp:extent cx="7683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-1911350</wp:posOffset>
            </wp:positionV>
            <wp:extent cx="6858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-1911350</wp:posOffset>
            </wp:positionV>
            <wp:extent cx="6858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-1911350</wp:posOffset>
            </wp:positionV>
            <wp:extent cx="6858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-1911350</wp:posOffset>
            </wp:positionV>
            <wp:extent cx="6858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10 FEDERAL FUNDS PURCHASED AND SECURITIES SOLD UNDER AGREEMENTS TO REPURCHASE</w:t>
      </w:r>
    </w:p>
    <w:p>
      <w:pPr>
        <w:spacing w:after="0" w:line="185"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Company had no federal funds purchased at September 30, 2024 or at December 31, 2023. Securities sold under agreement to repurchase were as follows at September 30, 2024 and December 31, 2023.</w:t>
      </w:r>
    </w:p>
    <w:p>
      <w:pPr>
        <w:spacing w:after="0" w:line="175"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99478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30"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99478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30"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8"/>
          <w:szCs w:val="18"/>
          <w:color w:val="auto"/>
        </w:rPr>
        <w:t>Remaining Contractual Maturity of the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99478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agreements</w:t>
      </w:r>
    </w:p>
    <w:p>
      <w:pPr>
        <w:spacing w:after="0" w:line="50" w:lineRule="exact"/>
        <w:rPr>
          <w:sz w:val="20"/>
          <w:szCs w:val="20"/>
          <w:color w:val="auto"/>
        </w:rPr>
      </w:pPr>
    </w:p>
    <w:p>
      <w:pPr>
        <w:ind w:left="20" w:right="1540" w:firstLine="180"/>
        <w:spacing w:after="0" w:line="360" w:lineRule="auto"/>
        <w:rPr>
          <w:sz w:val="20"/>
          <w:szCs w:val="20"/>
          <w:color w:val="auto"/>
        </w:rPr>
      </w:pPr>
      <w:r>
        <w:rPr>
          <w:rFonts w:ascii="Times New Roman" w:cs="Times New Roman" w:eastAsia="Times New Roman" w:hAnsi="Times New Roman"/>
          <w:sz w:val="18"/>
          <w:szCs w:val="18"/>
          <w:color w:val="auto"/>
        </w:rPr>
        <w:t>US Treasury &amp; agency securities Total</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Overnight &amp;</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30-90 days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Greater Than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8"/>
              </w:rPr>
              <w:t>Continuous</w:t>
            </w:r>
          </w:p>
        </w:tc>
        <w:tc>
          <w:tcPr>
            <w:tcW w:w="24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Up to 30 days</w:t>
            </w:r>
          </w:p>
        </w:tc>
        <w:tc>
          <w:tcPr>
            <w:tcW w:w="22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90 days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479"/>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27,292</w:t>
            </w:r>
          </w:p>
        </w:tc>
        <w:tc>
          <w:tcPr>
            <w:tcW w:w="0" w:type="dxa"/>
            <w:vAlign w:val="bottom"/>
          </w:tcPr>
          <w:p>
            <w:pPr>
              <w:spacing w:after="0"/>
              <w:rPr>
                <w:sz w:val="1"/>
                <w:szCs w:val="1"/>
                <w:color w:val="auto"/>
              </w:rPr>
            </w:pPr>
          </w:p>
        </w:tc>
      </w:tr>
      <w:tr>
        <w:trPr>
          <w:trHeight w:val="239"/>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27,292</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-496570</wp:posOffset>
            </wp:positionV>
            <wp:extent cx="7132320" cy="15430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-179705</wp:posOffset>
            </wp:positionV>
            <wp:extent cx="7132320" cy="18034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399478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399478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Remaining Contractual Maturity of the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399478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720"/>
            <w:col w:w="6400"/>
          </w:cols>
          <w:pgMar w:left="320" w:top="769" w:right="33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Overnight &amp;</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30-90 days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Greater Than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Continuous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Up to 30 days</w:t>
            </w:r>
          </w:p>
        </w:tc>
        <w:tc>
          <w:tcPr>
            <w:tcW w:w="22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90 days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43"/>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agreements</w:t>
            </w:r>
          </w:p>
        </w:tc>
        <w:tc>
          <w:tcPr>
            <w:tcW w:w="100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&amp; agency securities</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1"/>
                <w:szCs w:val="21"/>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2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84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-864870</wp:posOffset>
            </wp:positionV>
            <wp:extent cx="7683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-847725</wp:posOffset>
            </wp:positionV>
            <wp:extent cx="7683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-864870</wp:posOffset>
            </wp:positionV>
            <wp:extent cx="7747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-847725</wp:posOffset>
            </wp:positionV>
            <wp:extent cx="7747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-864870</wp:posOffset>
            </wp:positionV>
            <wp:extent cx="6858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-847725</wp:posOffset>
            </wp:positionV>
            <wp:extent cx="6858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-864870</wp:posOffset>
            </wp:positionV>
            <wp:extent cx="6858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-847725</wp:posOffset>
            </wp:positionV>
            <wp:extent cx="6858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11 SUBORDINATED NOTES</w:t>
      </w:r>
    </w:p>
    <w:p>
      <w:pPr>
        <w:spacing w:after="0" w:line="18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On July 30, 2021, the Company completed a private placement of $35 million aggregate principal amount of its 3.25% fixed-to-floating rate subordinated notes due July 30, 2031 (the “Notes”) to various accredited investors (the “Offering”). The price for the Notes was 100% of the principal amount of the Notes. The Notes qualify as Tier 2 capital for regulatory purposes in proportionate amounts until July 30, 2026.</w:t>
      </w:r>
    </w:p>
    <w:p>
      <w:pPr>
        <w:spacing w:after="0" w:line="149"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Interest on the Notes accrues at a rate equal to (i) 3.25% per annum from the original issue date to, but excluding, the five-year anniversary, payable semi-annually in arrears, and (ii) a floating rate per annum equal to a benchmark rate, which is expected to be the Three-Month Term SOFR (as defined in the Notes), plus a spread of 263 basis points from and including the five-year anniversary until maturity, payable quarterly in arrears. Beginning on or after the fifth anniversary of the issue date through maturity, the Notes may be redeemed, at the Company’s option, on any scheduled interest payment date. Any redemption will be at a redemption price equal to 100% of the principal amount of Notes being redeemed, plus accrued and unpaid interest.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6"/>
          </w:tcPr>
          <w:p>
            <w:pPr>
              <w:jc w:val="right"/>
              <w:ind w:right="1220"/>
              <w:spacing w:after="0"/>
              <w:rPr>
                <w:sz w:val="20"/>
                <w:szCs w:val="20"/>
                <w:color w:val="auto"/>
              </w:rPr>
            </w:pPr>
            <w:r>
              <w:rPr>
                <w:rFonts w:ascii="Times New Roman" w:cs="Times New Roman" w:eastAsia="Times New Roman" w:hAnsi="Times New Roman"/>
                <w:sz w:val="18"/>
                <w:szCs w:val="18"/>
                <w:color w:val="auto"/>
              </w:rPr>
              <w:t>September 30, 2024</w:t>
            </w:r>
          </w:p>
        </w:tc>
        <w:tc>
          <w:tcPr>
            <w:tcW w:w="274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color w:val="auto"/>
              </w:rPr>
              <w:t>December 31, 2023</w:t>
            </w:r>
          </w:p>
        </w:tc>
        <w:tc>
          <w:tcPr>
            <w:tcW w:w="1120" w:type="dxa"/>
            <w:vAlign w:val="bottom"/>
          </w:tcPr>
          <w:p>
            <w:pPr>
              <w:spacing w:after="0"/>
              <w:rPr>
                <w:sz w:val="20"/>
                <w:szCs w:val="20"/>
                <w:color w:val="auto"/>
              </w:rPr>
            </w:pPr>
          </w:p>
        </w:tc>
      </w:tr>
      <w:tr>
        <w:trPr>
          <w:trHeight w:val="211"/>
        </w:trPr>
        <w:tc>
          <w:tcPr>
            <w:tcW w:w="11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Unamortized</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Unamortized</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color w:val="auto"/>
              </w:rPr>
              <w:t>Note Issuance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Note Issuance</w:t>
            </w:r>
          </w:p>
        </w:tc>
        <w:tc>
          <w:tcPr>
            <w:tcW w:w="1120" w:type="dxa"/>
            <w:vAlign w:val="bottom"/>
          </w:tcPr>
          <w:p>
            <w:pPr>
              <w:spacing w:after="0"/>
              <w:rPr>
                <w:sz w:val="18"/>
                <w:szCs w:val="18"/>
                <w:color w:val="auto"/>
              </w:rPr>
            </w:pPr>
          </w:p>
        </w:tc>
      </w:tr>
      <w:tr>
        <w:trPr>
          <w:trHeight w:val="241"/>
        </w:trPr>
        <w:tc>
          <w:tcPr>
            <w:tcW w:w="1140" w:type="dxa"/>
            <w:vAlign w:val="bottom"/>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Costs</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Costs</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2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(211 )  $</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(298 )</w:t>
            </w:r>
          </w:p>
        </w:tc>
        <w:tc>
          <w:tcPr>
            <w:tcW w:w="1120" w:type="dxa"/>
            <w:vAlign w:val="bottom"/>
          </w:tcPr>
          <w:p>
            <w:pPr>
              <w:spacing w:after="0"/>
              <w:rPr>
                <w:sz w:val="21"/>
                <w:szCs w:val="21"/>
                <w:color w:val="auto"/>
              </w:rPr>
            </w:pPr>
          </w:p>
        </w:tc>
      </w:tr>
      <w:tr>
        <w:trPr>
          <w:trHeight w:val="715"/>
        </w:trPr>
        <w:tc>
          <w:tcPr>
            <w:tcW w:w="1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NOTE 12 RECENT ACCOUNTING PRONOUNCEMENTS</w:t>
      </w:r>
    </w:p>
    <w:p>
      <w:pPr>
        <w:spacing w:after="0" w:line="185"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In March 2022, the Sixth Circuit issued a ruling in CIC Services LLC v IRS vacating a previously referenced IRS Notice 2016-66. That ruling, as it stood, would remove the requirement of disclosure on Form 8886. However, on April 10, 2023, the IRS issued IR-2023-74 proposing regulations that classify Sec. 831(b) captives with less than a 65% claims loss ratio over a 10-year period as a "listed transaction." This provision would apply to only captives that have been in existence for at least 10 years. This is a change from Notice 2016-66 which classified Sec. 831(b) captives with less than a 70% claims loss ratio as a "transaction of interest." Final regulations are expected to be issued in a future quarter. Management and its advisors are in the process of evaluating the impact of these proposed regulations. The Company dissolved its Captive insurance company, F&amp;M Risk Management, in December 2023.</w:t>
      </w:r>
    </w:p>
    <w:p>
      <w:pPr>
        <w:spacing w:after="0" w:line="160"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 xml:space="preserve">In March 2023, the FASB issued ASU 2023-02 </w:t>
      </w:r>
      <w:r>
        <w:rPr>
          <w:rFonts w:ascii="Times New Roman" w:cs="Times New Roman" w:eastAsia="Times New Roman" w:hAnsi="Times New Roman"/>
          <w:sz w:val="18"/>
          <w:szCs w:val="18"/>
          <w:i w:val="1"/>
          <w:iCs w:val="1"/>
          <w:color w:val="auto"/>
        </w:rPr>
        <w:t>"Investments - Equity Method and Joint Ventures (Topic 323): Accounting for Investments in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Structures Using the Proportional Amortization Method (a Consensus of the Emerging Issues Task Force)." </w:t>
      </w:r>
      <w:r>
        <w:rPr>
          <w:rFonts w:ascii="Times New Roman" w:cs="Times New Roman" w:eastAsia="Times New Roman" w:hAnsi="Times New Roman"/>
          <w:sz w:val="18"/>
          <w:szCs w:val="18"/>
          <w:color w:val="auto"/>
        </w:rPr>
        <w:t>The amendments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 expands the use of the proportional amortization method of accounting to equity investments in tax credit programs beyond those in low-income-housing tax credit (LIHTC) programs. The ASU allows entities to elect the proportional amortization method, on a tax-credit-program-by-tax-credit-program basis, for all equity investments in tax credit programs meeting the eligibility criteria in Accounting Standards Codification (ASC) 323-74-25-1. While the ASU does not significantly alter the existing eligibility criteria, it does address existing interpretive issues. It also prescribes specific information reporting entities must disclose about tax credit investments each period. The ASU is effective for reporting periods beginning after December 15, 2023, for public business entities. Early adoption is permitted. Entities have the option of applying the ASU using either a modified retrospective or retrospective adoption approach. For some changes related to existing LIHTC investments, prospective application is permitted. The Company adopted ASU 2023-02 effective January 1, 2024 using the prospective approach. The financial impact was immaterial to the financial statements.</w:t>
      </w:r>
    </w:p>
    <w:p>
      <w:pPr>
        <w:spacing w:after="0" w:line="15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 Codification Amendments in Response to the SEC’s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Update and Simplification Initiative." </w:t>
      </w:r>
      <w:r>
        <w:rPr>
          <w:rFonts w:ascii="Times New Roman" w:cs="Times New Roman" w:eastAsia="Times New Roman" w:hAnsi="Times New Roman"/>
          <w:sz w:val="18"/>
          <w:szCs w:val="18"/>
          <w:color w:val="auto"/>
        </w:rPr>
        <w:t>The amendments in this Update are the result of the FASB’s decision to incorporate into the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Codification certain disclosure requirements, referred by the SEC, that require incremental information to US GAAP. Topics in the ASU that have applicability to the Company are as follows:</w:t>
      </w:r>
    </w:p>
    <w:p>
      <w:pPr>
        <w:spacing w:after="0" w:line="72" w:lineRule="exact"/>
        <w:rPr>
          <w:sz w:val="20"/>
          <w:szCs w:val="20"/>
          <w:color w:val="auto"/>
        </w:rPr>
      </w:pPr>
    </w:p>
    <w:p>
      <w:pPr>
        <w:ind w:left="1500" w:firstLine="5"/>
        <w:spacing w:after="0" w:line="262" w:lineRule="auto"/>
        <w:tabs>
          <w:tab w:leader="none" w:pos="1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Statement of Cash Flows </w:t>
      </w:r>
      <w:r>
        <w:rPr>
          <w:rFonts w:ascii="Times New Roman" w:cs="Times New Roman" w:eastAsia="Times New Roman" w:hAnsi="Times New Roman"/>
          <w:sz w:val="18"/>
          <w:szCs w:val="18"/>
          <w:color w:val="auto"/>
        </w:rPr>
        <w:t>- requires an accounting policy disclosure in annual periods of where cash flows associated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and their related gains and losses are presented in the statement of cash flows.</w:t>
      </w:r>
    </w:p>
    <w:p>
      <w:pPr>
        <w:ind w:left="1500" w:right="20" w:firstLine="5"/>
        <w:spacing w:after="0" w:line="250" w:lineRule="auto"/>
        <w:tabs>
          <w:tab w:leader="none" w:pos="16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requires disclosure of amounts and terms of unused lines of credit and unfunded commitments and the weighted-average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on outstanding short-term borrowings.</w:t>
      </w:r>
    </w:p>
    <w:p>
      <w:pPr>
        <w:ind w:left="1500" w:firstLine="5"/>
        <w:spacing w:after="0" w:line="260" w:lineRule="auto"/>
        <w:tabs>
          <w:tab w:leader="none" w:pos="16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 adds cross-reference to disclosure requirements related to where cash flows associated with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and their related gains and losses are presented in the statement of cash flows.</w:t>
      </w:r>
    </w:p>
    <w:p>
      <w:pPr>
        <w:spacing w:after="0" w:line="14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effective date for each amendment will be the date on which the SEC’s removal of that related disclosure from Regulation S-X or Regulation S-K becomes effective, with early adoption prohibited. If by June 30, 2027, the SEC has not removed the applicable requirement from Regulation S-X or Regulation S-K, the pending content of the related amendment will be removed from the Accounting Standards Codification and will not become effective for any entity. Management is reviewing the provisions of ASU 2023-06, and does not expect the adoption of the ASU to have a material effect on the Company’s financial statements.</w:t>
      </w:r>
    </w:p>
    <w:p>
      <w:pPr>
        <w:spacing w:after="0" w:line="154"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xml:space="preserve"> The amendments in this Update improve reportable segment disclosure requirements, primarily through enhanced disclosures about significant segment expenses. The amendments in this Update primarily require that a public entity disclose, on an annual and interim basis, significant segment expenses that are regularly provided to the chief operating decision maker; require that a public entity disclose the title and position of the chief operating decision maker and an explanation of how the chief operating decision maker uses the reported measure(s) of segment profit or loss in assessing segment performance and deciding how to allocate resources; require that a public entity that has a single reportable segment provide all the disclosures required by the amendments in this Update and all existing segment disclosures in Topic 280. The amendments in this Update are effective for fiscal years beginning after December 15, 2023, and interim periods within fiscal years beginning after December 15, 2024. Early adoption is permitted. A public entity should apply the amendments in this Update retrospectively to all prior periods presented in the financial statements. Management is evaluating the Update and does not expect adoption of the Update to have a material effect on the Company’s financial position or results of operations.</w:t>
      </w:r>
    </w:p>
    <w:p>
      <w:pPr>
        <w:spacing w:after="0" w:line="15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xml:space="preserve"> The amendments in this Update require that public business entities on an annual basis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ITEM 1 NOTES TO CONDENSED CONSOLIDATED UNAUDITED FINANCIAL STATEMENTS (Continued)</w:t>
      </w:r>
    </w:p>
    <w:p>
      <w:pPr>
        <w:spacing w:after="0" w:line="18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by the applicable statutory income tax rate). The amendments also require disclosure of the amount of income taxes paid (net of refunds received) disaggregated by federal (national) and state jurisdictions. For public business entities, the amendments in this Update are effective for annual periods beginning after December 15, 2024. Early adoption is permitted for annual financial statements that have not yet been issued or made available for issuance. The amendments in this Update should be applied on a prospective basis and retrospective application is permitted. Management is evaluating the Update and does not expect adoption of the Update to have a material effect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18"/>
          <w:szCs w:val="18"/>
          <w:color w:val="auto"/>
        </w:rPr>
        <w:t>The benefits of slowing our growth continue to be evident in the financials as we realized a slight widening of our net interest margin accompanied with continued strong asset quality. Last quarter was aided by the collection of over $6.4 million in funds on nonaccrual loans, accounting for the largest improvement year-to-date. The payment provided for a principal decrease of $5.3 million and the processing of interest and fees of over $1 million. Past due loans over 30 days were 0.21% of total loans as of June 30, 2024, and remained low at 0.20% for September 30, 2024. Our net interest margin improved 2 basis points at 2.68% year-to-date as of September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compared to 2.66% year-to-date as of June 30, 2024. This was accomplished by increasing our asset yield greater than the cost funds increase. We are optimistic about continued improvement in asset yield from loans repricing higher and slowing, with eventually reversing, the direction of our cost of funds.</w:t>
      </w:r>
    </w:p>
    <w:p>
      <w:pPr>
        <w:spacing w:after="0" w:line="17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F&amp;M Commercial Banking Division saw loan demand continue to soften in Q3 2024. Overall lending rates have increased throughout 2024 and expect to retract with the Federal Reserve Board's 50 basis point reduction in the federal funds rate in September. Commercial clients have seen material availability improve, but inflationary impacts remain a concern in 2024. Credit quality of the commercial portfolio remains solid and Q3 collateral values and auction values are still holding consistent with previous quarters. F&amp;M continues to monitor the portfolio closely for the impact of higher rates and inflationary pressures.</w:t>
      </w:r>
    </w:p>
    <w:p>
      <w:pPr>
        <w:spacing w:after="0" w:line="143"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We experienced a minor uptick in Special Mention and Classified loans in the portfolio for the quarter, but criticized assets are still trending down for the year as our asset quality has remained very healthy.</w:t>
      </w:r>
    </w:p>
    <w:p>
      <w:pPr>
        <w:spacing w:after="0" w:line="12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Nonetheless, the Bank is seeing signs in the commercial real estate market that present future challenges as interest rate adjusters reset for adjustable-rate loans and commercial real estate in the office and retail sectors shows increasing vacancy. Asset quality remains very solid with non-performing assets declining, but the Bank continues to stress test its loan portfolio and credit metrics for weakness. The Bank is monitoring its commercial real estate portfolio very carefully and has internal thresholds in place for loan categories including office, retail, hospitality, non-owner occupied, development, and related segments.</w:t>
      </w:r>
    </w:p>
    <w:p>
      <w:pPr>
        <w:spacing w:after="0" w:line="156" w:lineRule="exact"/>
        <w:rPr>
          <w:sz w:val="20"/>
          <w:szCs w:val="20"/>
          <w:color w:val="auto"/>
        </w:rPr>
      </w:pPr>
    </w:p>
    <w:p>
      <w:pPr>
        <w:jc w:val="both"/>
        <w:ind w:left="760" w:right="20"/>
        <w:spacing w:after="0" w:line="266" w:lineRule="auto"/>
        <w:rPr>
          <w:sz w:val="20"/>
          <w:szCs w:val="20"/>
          <w:color w:val="auto"/>
        </w:rPr>
      </w:pPr>
      <w:r>
        <w:rPr>
          <w:rFonts w:ascii="Times New Roman" w:cs="Times New Roman" w:eastAsia="Times New Roman" w:hAnsi="Times New Roman"/>
          <w:sz w:val="18"/>
          <w:szCs w:val="18"/>
          <w:color w:val="auto"/>
        </w:rPr>
        <w:t>The Bank had 18% of its commercial and agricultural loan portfolio reviewed by an independent third-party in the second quarter with no recommended risk rating changes and no material findings. The Bank expects to have a similar review with comparable coverage of the loan portfolio in the fourth quarter as well.</w:t>
      </w:r>
    </w:p>
    <w:p>
      <w:pPr>
        <w:spacing w:after="0" w:line="135"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Bank will benefit in profitability from the repricing loans and will continue to monitor that the tighter cash flows do not become a material issue of concern. For new borrowers, the higher price of credit remains an impediment to borrowing, as the cash flow is negatively impacted which speaks to why loan growth has slowed overall.</w:t>
      </w:r>
    </w:p>
    <w:p>
      <w:pPr>
        <w:spacing w:after="0" w:line="13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F&amp;M Home Loan Team stayed consistent in production. Mortgage rates have recovered and lowered to being in the low 6.00% range. Housing inventory is still low but has seen a slight increase this quarter. The Bank’s Home Loan Team continues to find the best mortgage solutions for all our clients while looking for opportunities to help with housing initiatives in our underserved areas of our communities utilizing our Hometown Advantage Mortgage program. Our gain on sale of loans has exceeded the yearly budget through the nine months ended September 30, 2024.</w:t>
      </w:r>
    </w:p>
    <w:p>
      <w:pPr>
        <w:spacing w:after="0" w:line="156"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Harvest began in the F&amp;M Ag portfolio in Q3 and we will monitor yields and farm income as we enter Q4. The growing conditions throughout our market area generally were favorable but late season dryness will likely reduce production. Commodity prices have declined from prior years highs with an expected decline in net farm income. The performance of our Ag businesses has been solid, but a decline in net farm income can potentially impact their performance. The strong profits realized in prior years has positioned our customer base well for a potential decline in income. Loan demand has been flat. Overall, the performance and financial standing of our agricultural portfolio remains strong.</w:t>
      </w:r>
    </w:p>
    <w:p>
      <w:pPr>
        <w:spacing w:after="0" w:line="143"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The Bank was excited to have become a participant in the OHIO HOMEBUYER PLUS Saver program offered in conjunction with the State of Ohio to future Ohio homeowners to save for a home purchase within the next five years. During the quarter, the State of Ohio changed the terms of the offering due to the extremely unexpected high demand for the program. The Bank suspended offering of the product until such time as we can adjust our offering to the new conditions of the State. We expect to offer again in the fourth quarter under modified terms. The Bank can offer a higher than market interest rate to our depositor with the State placing a lower than market rate CD with the Bank to provide funding. The adjusted program is capped at $100 million in use and an account limitation of $100 thousand with the State only matching the first $25,000 with a lower than market rate.</w:t>
      </w:r>
    </w:p>
    <w:p>
      <w:pPr>
        <w:spacing w:after="0" w:line="148"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Last quarter, the Bank had seen an increase in the number of foreclosure demand notices that needed to be sent. Three quarters of the notices were delivered to in-house customers with the total balance just under $1 million. The borrowers were spread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jc w:val="both"/>
        <w:spacing w:after="0" w:line="261" w:lineRule="auto"/>
        <w:rPr>
          <w:sz w:val="20"/>
          <w:szCs w:val="20"/>
          <w:color w:val="auto"/>
        </w:rPr>
      </w:pPr>
      <w:r>
        <w:rPr>
          <w:rFonts w:ascii="Times New Roman" w:cs="Times New Roman" w:eastAsia="Times New Roman" w:hAnsi="Times New Roman"/>
          <w:sz w:val="18"/>
          <w:szCs w:val="18"/>
          <w:color w:val="auto"/>
        </w:rPr>
        <w:t>throughout our market area and it represented the highest number of notices sent and the highest dollar amount of past due ($3.1 million) in the consumer home loan portfolio since the onset of COVID in 2020. For the current quarter ended, the number of active foreclosure demand notices are down along with the dollar amount of over 30 days past due. The Bank does not have any Other Real Estate Owned and 2 accounts are in the foreclosure process which will likely not be resolved until 2025.</w:t>
      </w:r>
    </w:p>
    <w:p>
      <w:pPr>
        <w:spacing w:after="0" w:line="15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Since the Federal Reserve raised rates the last couple of years, our net interest margin has suffered from our earning assets not repricing as quickly or by as much as our cost of funds. And while we are still not surpassing 2023 levels, we did see improvement in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and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quarters as mentioned previously. It is wonderful to see the expansion of the net interest margin, no matter how slight. The Bank continues to focus on lowering the cost of new funds and is enjoying the benefits of loans repricing higher.</w:t>
      </w:r>
    </w:p>
    <w:p>
      <w:pPr>
        <w:spacing w:after="0" w:line="1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Overall, net income for the quarter was higher than the previous quarter by over $800 thousand and over same quarter last year by $1.7 million. On a year-to-date basis, net income surpassed September 30, 2023’s by $313 thousand. The benefits of adjusting our focus for 2024 has begun to show in the financials. Capital balances as of September 30, 2024, increased $18.8 million over same date 2023. At the same time, the Company continues to increase our dividend for our shareholders, which remains a priority. The declared dividend in September 2024 included matching the previous quarterly declaration and adding a 1/8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of a cent to it. The Company’s annual dividend will have increased from $0.2375 in 2004 to $0.8825 in 2024, reflecting a 6.8% compound annual growth rate over this period. The Company continues to focus on improving our capital and overall financial performance. The steps may be small; however, they are continuing to move in a more positive direction.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ACTIVITIES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Farmers &amp; Merchants Bancorp, Inc. (the “Company”) is a financial holding company incorporated under the laws of Ohio in 1985. Our subsidiary is The Farmers &amp; Merchants State Bank (the “Bank”), a local independent community bank that has been primarily serving Northwest Ohio, Northeast Indiana and Southeast Michigan since 1897. F&amp;M Insurance Agency, LLC was formed in November of 2023. Farmers &amp; Merchants Risk Management, Inc., a captive insurance company formed in December 2014 and located in Nevada was a subsidiary of the Company which was dissolved in December 2023. We report our financial condition and net income on a consolidated basis and we have only one segment.</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offices are located at 307 North Defiance Street, Archbold, Ohio 43502, and our telephone number is (419) 446-2501. The Bank operates thirty-seven full-service banking offices throughout Northwest Ohio, Northeast Indiana and Southeast Michigan along with a drive-up facility in Archbold. The Bank also operates four Loan Production Offices (LPOs), two in Ohio with one in Indiana and one in Michigan.</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Farmers &amp; Merchants State Bank engages in general commercial banking and savings business including commercial, agricultural and residential mortgage as well as consumer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of Ohio, Indiana and Michigan. Because the Bank's offices are primarily located in Northwest Ohio, Northeast Indiana and Southeast Michigan, a substantial amount of the loan portfolio is comprised of loans made to customers in the farming industry for such items as farmland, farm equipment and operating loans for seed, fertilizer, and feed. Other types of lending activities include loans for home improvements, and loans for the purchase of autos, trucks, recreational vehicles, motorcycles, and other consumer goods.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ITMs operate as an ATM with the addition of remote teller access to assist the user.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Mobile banking has been widely accepted and used by consumers. Upgrades to our digital products and services continue to occur in both retail and business lines. The Bank continues to offer new suites of products as customer preferences change and the Bank adapts and adopts new technologies. The Bank continues to offer products that also meet the needs of our more traditional customers.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a five year and a seven year fixed rate mortgage after which the interest rate will adjust annually. In order to offer longer term fixed rate mortgages, the Bank does</w:t>
      </w:r>
    </w:p>
    <w:p>
      <w:pPr>
        <w:spacing w:after="0" w:line="7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2" w:name="page53"/>
    <w:bookmarkEnd w:id="52"/>
    <w:p>
      <w:pPr>
        <w:jc w:val="both"/>
        <w:spacing w:after="0" w:line="256" w:lineRule="auto"/>
        <w:rPr>
          <w:sz w:val="20"/>
          <w:szCs w:val="20"/>
          <w:color w:val="auto"/>
        </w:rPr>
      </w:pPr>
      <w:r>
        <w:rPr>
          <w:rFonts w:ascii="Times New Roman" w:cs="Times New Roman" w:eastAsia="Times New Roman" w:hAnsi="Times New Roman"/>
          <w:sz w:val="18"/>
          <w:szCs w:val="18"/>
          <w:color w:val="auto"/>
        </w:rPr>
        <w:t>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brokers. With the acquisition of Perpetual Federal Savings Bank in the fourth quarter of 2021 and the addition of Peoples Federal Savings in the fourth quarter of 2022, the Bank saw an increase in fixed rate, long-term mortgage loans to our portfolio from that banking service area. The Bank began offering a low income home buyer mortgage program, currently Hometown Advantage Mortgage Program, in November of 2023.</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Loans:</w:t>
      </w:r>
    </w:p>
    <w:p>
      <w:pPr>
        <w:spacing w:after="0" w:line="27" w:lineRule="exact"/>
        <w:rPr>
          <w:sz w:val="20"/>
          <w:szCs w:val="20"/>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loan to value (LTV) for cars, SUVs, and trucks is 110% depending on whether direct or indirect.</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above 100% are generally the result of sales tax.</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Boats, campers, motorcycles, RV's and Motor Coaches range from 80%-90% based on age of vehicle.</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or 2nd mortgages on 1-4 family homes maximum range from 80-85%.</w:t>
      </w:r>
    </w:p>
    <w:p>
      <w:pPr>
        <w:spacing w:after="0" w:line="9" w:lineRule="exact"/>
        <w:rPr>
          <w:rFonts w:ascii="Times New Roman" w:cs="Times New Roman" w:eastAsia="Times New Roman" w:hAnsi="Times New Roman"/>
          <w:sz w:val="18"/>
          <w:szCs w:val="18"/>
          <w:color w:val="auto"/>
        </w:rPr>
      </w:pPr>
    </w:p>
    <w:p>
      <w:pPr>
        <w:ind w:left="660" w:hanging="28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land LTV maximum ranges from 65%-75% depending on whether or not the property has been improved.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Commercial/Agriculture: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7" w:lineRule="exact"/>
        <w:rPr>
          <w:sz w:val="20"/>
          <w:szCs w:val="20"/>
          <w:color w:val="auto"/>
        </w:rPr>
      </w:pPr>
    </w:p>
    <w:p>
      <w:pPr>
        <w:ind w:left="1040" w:hanging="29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80% LTV less retainages and greater than 90 days.</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w:t>
      </w:r>
    </w:p>
    <w:p>
      <w:pPr>
        <w:spacing w:after="0" w:line="27" w:lineRule="exact"/>
        <w:rPr>
          <w:sz w:val="20"/>
          <w:szCs w:val="20"/>
          <w:color w:val="auto"/>
        </w:rPr>
      </w:pPr>
    </w:p>
    <w:p>
      <w:pPr>
        <w:ind w:left="1040" w:hanging="29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Agriculture:</w:t>
      </w:r>
    </w:p>
    <w:p>
      <w:pPr>
        <w:spacing w:after="0" w:line="9" w:lineRule="exact"/>
        <w:rPr>
          <w:sz w:val="20"/>
          <w:szCs w:val="20"/>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Livestock and grain up to 80% LTV, crops (insured) up to 75% and Warehouse Receipts up to 87%.</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 of 50% on raw and finished goods.</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Floor plan:</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New/used vehicles to 100% of wholesale.</w:t>
      </w:r>
    </w:p>
    <w:p>
      <w:pPr>
        <w:spacing w:after="0" w:line="9" w:lineRule="exact"/>
        <w:rPr>
          <w:rFonts w:ascii="Times New Roman" w:cs="Times New Roman" w:eastAsia="Times New Roman" w:hAnsi="Times New Roman"/>
          <w:sz w:val="18"/>
          <w:szCs w:val="18"/>
          <w:color w:val="auto"/>
        </w:rPr>
      </w:pPr>
    </w:p>
    <w:p>
      <w:pPr>
        <w:ind w:left="1780" w:hanging="379"/>
        <w:spacing w:after="0"/>
        <w:tabs>
          <w:tab w:leader="none" w:pos="17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New/Used recreational vehicles and manufactured homes to 80% of wholesale.</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Equipment:</w:t>
      </w:r>
    </w:p>
    <w:p>
      <w:pPr>
        <w:spacing w:after="0" w:line="27" w:lineRule="exact"/>
        <w:rPr>
          <w:sz w:val="20"/>
          <w:szCs w:val="20"/>
          <w:color w:val="auto"/>
        </w:rPr>
      </w:pPr>
    </w:p>
    <w:p>
      <w:pPr>
        <w:ind w:left="1020" w:hanging="275"/>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not to exceed (NTE) 80% of invoice, used NTE 50% of listed book or 75% of appraised value.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equipment up to 35% of market value.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trucks, titled trailers NTE 75% LTV and aircraft up to 75% of appraised value.</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Real Estate:</w:t>
      </w:r>
    </w:p>
    <w:p>
      <w:pPr>
        <w:spacing w:after="0" w:line="27" w:lineRule="exact"/>
        <w:rPr>
          <w:sz w:val="20"/>
          <w:szCs w:val="20"/>
          <w:color w:val="auto"/>
        </w:rPr>
      </w:pPr>
    </w:p>
    <w:p>
      <w:pPr>
        <w:ind w:left="1020" w:hanging="275"/>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LTVs range from 70%-80% depending on type.</w:t>
      </w:r>
    </w:p>
    <w:p>
      <w:pPr>
        <w:spacing w:after="0" w:line="9" w:lineRule="exact"/>
        <w:rPr>
          <w:rFonts w:ascii="Times New Roman" w:cs="Times New Roman" w:eastAsia="Times New Roman" w:hAnsi="Times New Roman"/>
          <w:sz w:val="18"/>
          <w:szCs w:val="18"/>
          <w:color w:val="auto"/>
        </w:rPr>
      </w:pPr>
    </w:p>
    <w:p>
      <w:pPr>
        <w:ind w:left="1020" w:hanging="275"/>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 on non-traditional loan up to 85%.</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FM Investment Services, the brokerage department of the Bank, opened for business in April 1999. Securities are offered through Raymond James Financial Services, Inc. In November of 2020, FM Investment Services purchased the assets and clients of Adams County Financial Resources (ACFR) which is discussed in further detail in Note 2 to the Company’s financial statements.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holding company is regulated and examined by the Federal Reserve.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and dissolved it in December 2023. The Captive was located in Nevada and regulated by the State of Nevada Division of Insurance.</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formed an insurance agency, F&amp;M Insurance Agency, LLC, in November 2023 to offer insurance products to our customers. The insurance agency is organized in Ohio and regulated by the State of Ohio, Division of Insurance.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Bank’s primary market includes communities located in the Ohio counties of Butler, Champaign, Defiance, Fulton, Hancock, Henry, Lucas, Shelby, Williams, Wood and in the Indiana counties of Adams, Allen, DeKalb, Jay, Steuben and</w:t>
      </w:r>
    </w:p>
    <w:p>
      <w:pPr>
        <w:spacing w:after="0" w:line="5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8"/>
          <w:szCs w:val="18"/>
          <w:color w:val="auto"/>
        </w:rPr>
        <w:t>Wells. The Michigan footprint includes Oakland County.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2024, we had 446 full time equivalent employees. The employees are not represented by a collective bargaining unit. We provide our employees with a comprehensive benefit program, some of which is contributory. We consider our employee relations to be good.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REGULATORY DEVELOPMENTS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the Bank remain attentive to the current regulatory environment in light of the regulatory agencies’ risk-based approach to examinations. Regulatory changes and the complexity of new and amended rules have resulted in challenges and uncertainties which could pose an increased risk of noncompliance. Various significant mortgage rules require monitoring by means of testing, validation of results, additional training, and further research or consultation to assist with ongoing compliance.</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Truth in Lending Act (TILA) Ability to Repay requirements, the Bank focuses on Qualified Mortgage (QM) status for mortgage loans originated as they provide certain presumptions of compliance under the Ability to Repay rules adopted under the Dodd-Frank Act. In satisfying QM requirements, any mortgage lender regardless of their size can make loans which are entitled to the QM presumption of compliance. New final rules, effective October 2022, amending the Ability to Repay/Qualified Mortgage Rules were implemented. The General QM Final Rule amended the definition of the QM category to offset the impact of the sunsetting of the temporary Government Sponsored Enterprise (GSE) QMs. Amended General QM loan definition removed the 43% debt-to-income limit, eliminated Appendix Q underwriting standards and any requirement to use them as a qualification for General QM status, and instead implemented price-based thresholds. The Bank complies with the revised price-based new General QM Loan definition and its requirements. Since the Bank sells fixed rate consumer mortgage loans to the Federal Home Loan Mortgage Corporation, it remains attentive to their current loan underwriting requirements. On occasion, the Bank does make Non-Qualified Mortgages. Approvals and originations of both Non-QM loans and Higher Priced Mortgage Loans are periodically reported to the Bank’s Loan Committee.</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30, 2023, the Consumer Financial Protection Bureau (CFPB) issued final rules which amend Regulation B to implement changes to the Equal Credit Opportunity Act (ECOA) as made by Section 1071 of the Dodd-Frank Act. Covered financial institutions are required to collect and report data on covered credit applications involving small businesses, including those businesses owned by women or minorities. Small businesses are defined as those businesses (including agricultural businesses) which had gross annual revenue of $5 million of less during its most recent fiscal year. Data would be reported to the CFPB which would then make aggregated information publicly available. These new final rules have a phased implementation period with the largest lenders being required to collect and report data first.</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Lenders that originated at least 2,500 small business loans annually were originally required to begin data collection on October 1, 2024. Lenders that originated at least 500 small business loans annually were originally required to begin data collection as of April 1, 2025. For those lenders that originated at least 100 small business loans annually, data collection was originally required to begin as of January 1, 2026. The Bank conducted a preliminary assessment based on the number of covered loans originated in 2022. Based on the preliminary assessment, the Bank would be subject to the original data collection requirements as of April 1, 2025. Data collection and reporting of small business loans does not include nonprofit or government entities or businesses with gross annual revenues that exceed $5 million. Additionally, data collection involves demographic information collected from a loan applicant regarding that applicant’s status as a minority-owned business, a women-owned business, and an LGBTQI+-owned business, as well as the applicant’s principal owners’ ethnicity, race, and sex. Applicants can refuse to provide demographic information. Implementation of these final rules will involve significant changes to processes and procedures in conjunction with new software configurations to accommodate and capture required data points regarding applications and final action taken.</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lawsuit filed in April 2023 by the Texas Bankers Association and Rio Bank based in McAllen, Texas in the U.S. District Court for the Southern District of Texas challenged the CFPB's final rule implementing Section 1071 of the Dodd-Frank Act. Shortly thereafter, the American Bankers Association joined the lawsuit as a plaintiff. The argument is the final rule far exceeded the statutory scope of Section 1071, failed to take into consideration relevant industry comments, and did not conduct appropriate cost-benefit analysis. Additionally, the constitutionality of the CFPB was challenged based on its funding structure, and which is based upon another pending lawsuit which is awaiting a hearing by the U.S. Supreme Court regarding CFPB's funding. On July 31, 2023, an injunction was granted by a federal judge in the Southern District of Texas banning the CFPB from requiring Rio Bank, and members of both the Texas Bankers Association and the American Bankers Association from</w:t>
      </w:r>
    </w:p>
    <w:p>
      <w:pPr>
        <w:spacing w:after="0" w:line="8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4" w:name="page55"/>
    <w:bookmarkEnd w:id="54"/>
    <w:p>
      <w:pPr>
        <w:jc w:val="both"/>
        <w:spacing w:after="0" w:line="253" w:lineRule="auto"/>
        <w:rPr>
          <w:sz w:val="20"/>
          <w:szCs w:val="20"/>
          <w:color w:val="auto"/>
        </w:rPr>
      </w:pPr>
      <w:r>
        <w:rPr>
          <w:rFonts w:ascii="Times New Roman" w:cs="Times New Roman" w:eastAsia="Times New Roman" w:hAnsi="Times New Roman"/>
          <w:sz w:val="18"/>
          <w:szCs w:val="18"/>
          <w:color w:val="auto"/>
        </w:rPr>
        <w:t>complying with the final rules implementing Section 1071 of the Dodd-Frank Act until the Supreme Court of the United States rules on the CFPB's funding. On August 4, 2023, a motion was filed by the Independent Community Bankers of America, the Independent Bankers Association of Texas, and Texas First Bank in the U.S. District Court for the Southern District of Texas requesting expansion of the injunction previously granted. In late October 2023, the federal judge granted the expansion of the injunctive relief to provide a nationwide injunction to all community banks and covered financial institutions thus ensuring relief was not limited by trade association membership. The U.S. Supreme Court issued its long-awaited decision on the challenge to the CFPB’s funding mechanism on May 16, 2024. The Supreme Court ruled that the CFPB’s funding does not violate the U.S. Constitution’s Appropriations Clause. Subsequently, the CFPB issued an interim final rule on June 25, 2024, to make date related adjustments on a day for day basis based on recent court orders involving ongoing litigation. This extended compliance dates for beginning data collection by 290 days. As a lender that originates at least 100 small business loans annually, data collection must now begin on January 16, 2026 with a filing deadline of June 1, 2027. The Bank remains attentive to the ongoing arguments, appeals, and related cases in the litigation involving the Section 1071 final rule.</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 final rule with amendments to the Community Reinvestment Act (CRA) was jointly released by the Federal Reserve, the FDIC, and Office of the Comptroller of the Currency on October 24, 2023. These amendments are intended to update how CRA activities qualify for consideration, where CRA activities are considered, and how CRA activities are evaluated. The final rule was effective on April 1, 2024, with certain amendments effective April 1, 2024, through January 1, 2031, and other amendments in the final rule were delayed indefinitely. The final CRA rules were published in the </w:t>
      </w:r>
      <w:r>
        <w:rPr>
          <w:rFonts w:ascii="Times New Roman" w:cs="Times New Roman" w:eastAsia="Times New Roman" w:hAnsi="Times New Roman"/>
          <w:sz w:val="18"/>
          <w:szCs w:val="18"/>
          <w:i w:val="1"/>
          <w:iCs w:val="1"/>
          <w:color w:val="auto"/>
        </w:rPr>
        <w:t>Federal Register</w:t>
      </w:r>
      <w:r>
        <w:rPr>
          <w:rFonts w:ascii="Times New Roman" w:cs="Times New Roman" w:eastAsia="Times New Roman" w:hAnsi="Times New Roman"/>
          <w:sz w:val="18"/>
          <w:szCs w:val="18"/>
          <w:color w:val="auto"/>
        </w:rPr>
        <w:t xml:space="preserve"> on February 1, 2024. On February 5, 2024, the American Bankers Association, the U.S. Chamber of Commerce, the Independent Community Bankers of America, along with four state associations jointly sued the Federal Reserve, FDIC, and Office of Comptroller of the Currency for exceeding their statutory authority. The lawsuit filed in the U.S. District Court for the Northern District of Texas requested the regulatory agencies vacate the rule and sought a preliminary injunction pausing the new rules while the court decided the merits of the case. On March 21, 2024, the Federal Reserve, FDIC, and Office of Comptroller of the Currency issued an interim final rule and a technical corrections final rule related to the CRA final rule both effective on April 1, 2024. The Agencies also requested comments on the interim final rule for a period of 45 days after publication in the </w:t>
      </w:r>
      <w:r>
        <w:rPr>
          <w:rFonts w:ascii="Times New Roman" w:cs="Times New Roman" w:eastAsia="Times New Roman" w:hAnsi="Times New Roman"/>
          <w:sz w:val="18"/>
          <w:szCs w:val="18"/>
          <w:i w:val="1"/>
          <w:iCs w:val="1"/>
          <w:color w:val="auto"/>
        </w:rPr>
        <w:t>Federal Register</w:t>
      </w:r>
      <w:r>
        <w:rPr>
          <w:rFonts w:ascii="Times New Roman" w:cs="Times New Roman" w:eastAsia="Times New Roman" w:hAnsi="Times New Roman"/>
          <w:sz w:val="18"/>
          <w:szCs w:val="18"/>
          <w:color w:val="auto"/>
        </w:rPr>
        <w:t>. The interim final rule extended two provisions of the CRA final rule from April 1, 2024, to January 1, 2026. Then on March 29, 2024, the district court judge granted a temporary injunction to pause the implementation of CRA final rule while the case moves forward. The injunction extended implementation dates on a day for day basis for each day the injunction remains in place. As a large bank examined for its CRA performance, the Bank remains attentive to the outcome of the preliminary injunction granted and the significant impact of the amendments made by the final CRA rules.</w:t>
      </w:r>
    </w:p>
    <w:p>
      <w:pPr>
        <w:spacing w:after="0" w:line="1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regard to all regulatory matters, the Company and the Bank remain committed in making good faith efforts to comply with technical requirements of the laws, rules, regulations, and guidance from both federal and state agencies which govern its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management's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Allowance for Credit Losses (ACL), the valuation of its Loan Servicing Rights (LSR), the valuation of real estate acquired through or in lieu of loan foreclosures (“OREO Property”) and goodwill as the accounting areas that require the most subjective or complex judgments, and as such could be the most subject to revision as new information becomes available.</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OREO Property held for sale is initially recorded at fair value at the date of foreclosure. Subsequent to foreclosure, valuations are periodically performed by management and the assets are carried at the lower of cost or fair value minus estimated costs to sell.</w:t>
      </w:r>
    </w:p>
    <w:p>
      <w:pPr>
        <w:spacing w:after="0" w:line="5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income from operations of foreclosed real estate held for sale is reported either in noninterest income or noninterest expense depending upon whether the property is in a gain or loss position overall. At September 30, 2024, December 31, 2023, and September 30, 2023 there were no OREO property holdings.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that management has the intent and ability to hold for the foreseeable future or until maturity or payoff are reported at amortized cost. Amortized cost is the principal balance outstanding, net of purchase premiums and discounts, deferred loan fees and costs. Accrued interest receivable totaled $12.1 million and $10.1 million at September 30, 2024 and December 31, 2023, respectively, and was reported in Other Assets on the condensed consolidated balance sheets and is excluded from the estimate of credit losses. Interest income is accrued on the unpaid principal balance. Loan origination fees, net of certain direct origination costs, are deferred and recognized in interest income using the level-yield method without anticipation of repayments.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income on mortgage and commercial loans is discontinued and placed on nonaccrual status at the time the loan is 90 days delinquent unless the loan is well secured and in process of collection. Consumer and credit card loans continue to accrue interest until they are charged off no later than 120 days past due unless the loan is in the process of collection. Past-due status is based on the contractual terms of the loan. In all cases, loans are placed on nonaccrual or charged off at an earlier date if collection of principal or interest is considered doubtful.</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interest accrued but not received for loans placed on nonaccrual is reversed against interest income. Interest received on such loans is accounted for on the cash-basis or cost-recovery method, until qualifying for return to accrual. Under the cost-recovery method, interest income is not recognized until the loan balance is reduced to zero. Under the cash-basis method, interest income is recorded when the payment is received in cash. Loans are returned to accrual status when all the principal and interest amounts contractually due are brought current and future payments are reasonably assured.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ACL represents management’s estimate of expected credit losses inherent in the Bank’s loan portfolio and unfunded loan commitments at the report date. The ACL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ACL is a valuation account that is deducted from the loans’ amortized cost basis to present the net amount expected to be collected on the loans. Loans are charged off against the allowance when management believes the uncollectibility of a loan balance is confirmed. Expected recoveries do not exceed the aggregate of amounts previously charged-off and expected to be charged-off. The ACL reflects the Company’s estimated credit losses over the life of the loan. Management assesses changes in prepayment assumptions, interest rates, collateral values, portfolio composition, trends in non-performing loans, and other economic factors. In addition to an extensive internal loan monitoring process, the Company also aims to have an annual external, independent loan review of approximately 35% of its commercial and agricultural loan portfolio. Management in turn assesses the results from the reviews to make changes in internal risk ratings of loans and the related ACL.</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Bank’s methodology provides an estimate of the expected credit losses either by calculating a reserve per credit or by applying our methodology to groupings based on similar risk characteristics. The loan portfolio was grouped based on loans of similar type, including acquired loans. The loan groupings for the CECL calculation consist of Commercial Real Estate, Construction &amp; Land Development, Multi-family real estate, Commercial &amp; Industrial, Farmland, Agriculture, Single Family Real Estate, Home Equity Lines of Credit, and Consumer. All groups use the average charge-off method for calculating the ACL. This incorporates a historical loss period from March 2000, since Call Report data became more granular regarding loan groupings, and includes several economic cycles. As a percentage, the reserves are the highest against construction and development loans, while farmland loans have the lowest overall reserve due to having such low loss rates.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the Company’s loss history not being sufficient enough to predict future losses, the Company is utilizing peer data from a peer group of 307 banks in the region with asset sizes less than $5 billion. The reserves are calculated at the loan level and based on the note characteristics, essentially balances times loss rate + qualitative factors + forward look, with the forward looking forecast eliminated after 12 months. In order to provide a reasonable and supportable forward looking forecast, a regression analysis of the Bank’s historical loss rates against the Federal Open Market Committee (FOMC) quarterly economic projections for National Unemployment is completed. The Bank previously also included the FOMC’s forecasted change in real GDP as a second independent variable in its forward look regression; however, it was removed in the second quarter of 2024 due to reflecting little statistically significant correlation to the Bank’s historical loss rates. The impact of this change to the ACL was immaterial due to the variable having such a low coefficient value at this time. Annual projections are broken down using a straight-line approach for quarterly changes.</w:t>
      </w:r>
    </w:p>
    <w:p>
      <w:pPr>
        <w:spacing w:after="0" w:line="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6" w:name="page57"/>
    <w:bookmarkEnd w:id="56"/>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this quantitative analysis, management also utilizes qualitative analysis each quarter to assess the general reserve on the loan portfolio. The qualitative factors include nine categories: ability of staff, changes in collateral values, changes in loan concentration levels, economic conditions, external factors such as regulatory, level and trends in non-accrual or adversely classified loans, loan review results, nature and volume of the portfolio and loan terms, and changes in lending policies and procedures. The methodology allows for additional qualitative factors as other risks emerge. Items within these categories are ranked as baseline, low, medium, or high levels of risk, and the related risk level per categories dictates the level of qualitative factor that is used depending on the standard deviation level from historical loss.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Loans that do not share risk characteristics are evaluated on an individual basis. Loans evaluated individually are not included in the collective evaluation; reserves for expected credit losses for collateral-dependent loans are based on the expected shortfall of the loan based on the discounted collateral value. This specific reserve portion of the ACL was $53 thousand at September 30, 2024 and $386 thousand at December 31, 2023. When management determines that foreclosure is probable, expected credit losses are based on the fair value of the collateral at the reporting date, adjusted for selling costs as appropriate. 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Expected credit losses are estimated over the contractual term of the loans, adjusted for expected prepayments when appropriate. The contractual term excludes expected extensions, renewals, and modifications unless either of the following applies: management has a reasonable expectation at the reporting date that a modification to a borrower experiencing financial difficulty will be executed with an individual borrower or the extension or renewal options are included in the original or modified contract at the reporting date and are not unconditionally cancellable by the Company.</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Inherent in most estimates is imprecision. Bank regulatory agencies and external auditors periodically review the Bank’s methodology and adequacy of the ACL. Any required changes in the ACL or loan charge-offs by these agencies or auditors may have a material effect on the ACL.</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expected credit losses over the contractual period in which the Company is exposed to credit risk via a contractual obligation to extend credit, unless that obligation is unconditionally cancellable by the Company. The allowance for credit losses on off-balance sheet credit exposures is adjusted as a provision for credit loss expense. The estimate includes consideration of the likelihood that funding will occur and an estimate of expected credit losses on commitments expected to be funded over its estimated life. The loan categories of off-balance sheet exposures are the same as the loan categories for the ACL. The funding assumptions are updated each quarter based on expected utilization percentages.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actual composition and classification of loans involved in the establishment of the allowance for credit loss, please see Note 4 provided with the notes to consolidated financial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is also required to estimate the value of its servicing rights. These rights are composed of servicing rights for single-family mortgage loans and agricultural real estate loans. The Bank’s servicing rights relating to fixed rate single-family mortgage loans and agricultural real estate loans that it has sold without recourse but services for others for a fee represent an asset on the Bank’s balance sheet. The valuations are completed by independent third parties.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2023, the Company engaged an independent third party with expertise in the valuation of agricultural real estate servicing rights. The independent third party’s valuation of the agricultural real estate servicing rights is based on relevant characteristics of the Company’s agricultural real estate loan servicing portfolio, such as loan terms, interest rates and recent national prepayment experience, as well as current national market interest rate levels, market forecasts and other economic conditions. Management, with the advice from its third party valuation firm, reviewed the assumptions related to prepayment speeds, discount rates, and capitalized loan servicing income.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process is similar to the process for valuing single family real estate servicing rights, the ag servicing valuation utilizes different strata, prepayment speeds and other assumptions in order to account for the differences in behavior between ag loans and single 1-4 family mortgages. USDA rate indications, SBA market indications and Farmer Mac 3-month Cost of Funds Index adjustments are utilized in the quarterly valuation process.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this refined analysis, representing a change in accounting estimate, management recognized an additional $712 thousand of agricultural loan servicing rights during the quarter ended June 30, 2023. This change in estimate took place during the quarter ended June 30, 2023 and had no effect on past periods. Management has obtained and intends to continue to obtain the appraisal of the agricultural real estate loan servicing rights from the independent third party specialist on a quarterly basis.</w:t>
      </w:r>
    </w:p>
    <w:p>
      <w:pPr>
        <w:spacing w:after="0" w:line="7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The expected and actual rates of mortgage loan prepayments are the most significant factors driving the potential for the impairment of the value of servicing assets. Increases in mortgage loan prepayments reduce estimated future net servicing cash flows because the life of the underlying loan is reduced.</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Bank’s servicing rights relating to loans serviced for others represent an asset. The servicing rights are amortized as noninterest expense in proportion to, and over the period of the estimated future net servicing income of the underlying servicing rights. There are a number of factors, however, that can affect the ultimate value of the servicing rights to the Bank. The expected and actual rates of agricultural real estate loans and single 1-4 family loan prepayments are the most significant factors driving the potential for the impairment of the value of servicing assets. Increases in loan prepayments reduce estimated future net servicing cash flows because the life of the underlying loan is reduced, meaning that the present value of the servicing rights is less than the carrying value of those rights on the Bank's balance sheet.</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Therefore, in an attempt to reflect an accurate expected value to the Bank of the servicing rights, the Bank receives a valuation of its servicing rights from an independent third party. The independent third party's valuation of the servicing rights is based on relevant characteristics of the Bank's loan servicing portfolio, such as loan terms, interest rates and recent national prepayment experience, as well as current national market interest rate levels, market forecasts and other economic conditions.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determining impairment, the real estate servicing assets are stratified into like groups based on loan type, term, new versus seasoned and interest rate. Management, with the advice from its third-party valuation firm, reviews the assumptions related to prepayment speeds, discount rates, and capitalized loan servicing income on a quarterly basis. Changes are reflected in the following quarter's analysis related to the loan servicing asset. In addition, based upon the independent third party's valuation of the Bank's servicing rights, management then establishes a valuation allowance by each stratum, if necessary, to quantify the likely impairment of the value of the servicing 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servicing rights based on market conditions.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 in the single family real estate. The valuation of the agricultural real estate rights is evaluated for the most reasonable and representative values as the market for these is not as widely known and accepted as the single family.</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results from business acquisitions and represents the excess of the purchase price over the fair value of acquired tangible assets and liabilities and identifiable intangible assets. Goodwill is assessed for impairment at least annually. If possible impairment is likely, the Bank will utilize the assistance of an independent third party for an appraisal and any such impairment will be recognized in the period identified. Periodically, the Bank will have an independent third party assess the possibility of impairment of goodwill. The goodwill impairment analysis was last performed as of September 30, 2023 by an independent third party. The goodwill impairment analysis consisted of a first step goodwill impairment test which was used to identify potential impairment by comparing the fair value of the relevant reporting entity with its carrying value, including goodwill. The analysis was performed under guidance of FASB ASC 350. In the quantitative testing completed as of September 30, 2024, the excess fair value of capital was $16.2 million or 4.5% over the carrying value and was approximately 0.2 times the value of goodwill being carried. The testing completed as of September 30, 2024 shows improvement compared to the testing completed as of September 30, 2023.</w:t>
      </w:r>
    </w:p>
    <w:p>
      <w:pPr>
        <w:spacing w:after="0" w:line="8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MATERIAL CHANGES IN FINANCIAL CONDITION, LIQUIDITY AND CAPITAL RESOURCES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had begun to experience a slowdown in its growth mode in the last half of the year of 2023. For the first half of 2024, the Company intentionally slowed even further. During the third quarter of 2024, loan balances decreased $23.9 million, or 0.9% compared to second quarter of 2024. The outlook for the remainder of 2024 is to have little to no loan growth as the avenue to greater profitability is to focus on earnings improvement. Currently, funding large loan growth would be a deterrent to that focus. Therefore, we have chosen to participate out a portion of our larger loans, both new loans and some existing, with other financial institutions. Paydowns and payoffs will be used to fund originations to existing customers and to build relationships in our newer markets. Loan balances as of September 30, 2024, were $43.8 million lower than December 31, 2023 balances; however, there remains $102.1 million of funds committed to complete construction projects of business customers as of September 30, 2024.</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Where the Company continues to focus on growth is in the areas of core deposits and the expansion of contingency funding. Growing deposits has been a focus especially in our newer markets throughout 2024. The Bank has increased the number of team members in our Treasury Management area and has continued to offer specials in our deposit offerings. The Bank offers the Insured Cash Sweep (ICS) product and CDARS, a certificate of deposit registry, accessed through the IntraFi network of financial institutions which helps to reduce the amount of pledged securities needed. The Bank’s uninsured deposit ratio remains low at 10.5%. As of September 30, 2024, total uninsured deposits of the Bank were $283.2 million of $2.7 billion total deposits. If the amount of coverage is adjusted for what is insured by FDIC alone, the percentage is 20.9% or $560.8 million of uninsured deposits as of September 30, 2024. The underlying difference between these two percentages is the protection required for public funds for which the Bank pledges securities. A State insurance fund exists for public funds in Indiana. The state of Michigan also does not require the pledging of collateral for public funds though some entities do request it.</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Deposits have increased $77.4 million as of September 30, 2024 since December 31, 2023, and cash and cash equivalents have increased $103.3 million over the same time period. The nearly $245.5 million of cash holdings represents 7.2% of total assets and 9.1% of total deposits as of September 30, 2024. The Bank is comfortable with operating at this level as 5% is the guideline the Bank has established. Since June 30, 2024, deposits have increased $43.7 million or 1.7% and cash and cash equivalents have increased $52.4 million or 27.2%. The management liquidity meetings had increased in frequency in 2023 to weekly and additional reports and analysis were built throughout the year in order to be more responsive to opportunities and threats as they arose. Reaching many of the guidelines, such as the cash ratio mentioned, has enabled those meetings to be lowered to a biweekly frequency. With the Federal Reserve’s Bank Term Funding Program (BTFP) ending in March of 2024, $32.2 million of securities were moved to the Federal Reserve’s Discount Window program for borrowing capacity while the remainder of the $61.7 million pledged as of the end of December 2023 were released. The Company had not utilized any funding from the BTFP.</w:t>
      </w:r>
    </w:p>
    <w:p>
      <w:pPr>
        <w:spacing w:after="0" w:line="1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third quarter 2024, borrowings from the Federal Home Loan Bank “FHLB” decreased $3.0 million through normal paydowns. The Bank continued its use of brokered CDs in third quarter 2024 by utilizing one additional source in the amount of $295 thousand for a total of $26.9 million from four sources. This was done to establish relationships to test the access of such funds and decrease the cost of funds going forward. To assure a proper net interest margin over the 3 and 4-year time period of these CDs, the Bank internally looked at loan originations in the first quarter with similar or slightly longer fixed interest rate periods. The Bank also tested all correspondent borrowing lines during the third quarter to assure availability should the need arise. The availability for overnight borrowing on unsecured Federal Funds lines is $118.0 million. Combining the available line of credit at the holding company level, the Company has $133 million overnight borrowing availability.</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comparing to the same prior year period, the September 30, 2024 (net of deferred fees and cost) loan balances of $2.5 billion accounted for $5.7 million or 0.2% increase when compared to 2023. The year over year improvement was made up of an increase in commercial and industrial related loans of 0.5%. Individual growth was comprised of 3.9% in non-real estate commercial loans offset by a decline of 0.2% in commercial real estate loans. Consumer real estate loans increased by 2.2% while consumer loans decreased by 18.8%. Agricultural related loans increased 2.4% year over year. Individual growth was comprised of 11.0% in non-real estate agricultural loans offset by a decline of 2.4% in agricultural real estate loans. Other loans decreased by 16.6%. The Company's strong team of lenders remain focused on providing customers valuable localized services and thereby increasing our market share. The acquisition of Peoples Federal Savings and Loan Association in the fourth quarter of 2022 brought $101.8 million of loans to the portfolio. See Note 2 to the consolidated financial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 below shows the breakdown of the loan portfolio category as of September 30, for the last three years, net of deferred fees and costs.</w:t>
      </w:r>
    </w:p>
    <w:p>
      <w:pPr>
        <w:spacing w:after="0" w:line="33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41"/>
        </w:trPr>
        <w:tc>
          <w:tcPr>
            <w:tcW w:w="5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8"/>
              </w:rPr>
              <w:t>(In Thousands)</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September 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September 30,</w:t>
            </w:r>
          </w:p>
        </w:tc>
        <w:tc>
          <w:tcPr>
            <w:tcW w:w="100" w:type="dxa"/>
            <w:vAlign w:val="bottom"/>
          </w:tcPr>
          <w:p>
            <w:pPr>
              <w:spacing w:after="0"/>
              <w:rPr>
                <w:sz w:val="18"/>
                <w:szCs w:val="18"/>
                <w:color w:val="auto"/>
              </w:rPr>
            </w:pPr>
          </w:p>
        </w:tc>
      </w:tr>
      <w:tr>
        <w:trPr>
          <w:trHeight w:val="241"/>
        </w:trPr>
        <w:tc>
          <w:tcPr>
            <w:tcW w:w="5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4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524,270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512,990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416,044</w:t>
            </w:r>
          </w:p>
        </w:tc>
        <w:tc>
          <w:tcPr>
            <w:tcW w:w="100" w:type="dxa"/>
            <w:vAlign w:val="bottom"/>
            <w:shd w:val="clear" w:color="auto" w:fill="CFF0FC"/>
          </w:tcPr>
          <w:p>
            <w:pPr>
              <w:spacing w:after="0"/>
              <w:rPr>
                <w:sz w:val="21"/>
                <w:szCs w:val="21"/>
                <w:color w:val="auto"/>
              </w:rPr>
            </w:pP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220,051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225,370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204,787</w:t>
            </w:r>
          </w:p>
        </w:tc>
        <w:tc>
          <w:tcPr>
            <w:tcW w:w="100" w:type="dxa"/>
            <w:vAlign w:val="bottom"/>
          </w:tcPr>
          <w:p>
            <w:pPr>
              <w:spacing w:after="0"/>
              <w:rPr>
                <w:sz w:val="20"/>
                <w:szCs w:val="20"/>
                <w:color w:val="auto"/>
              </w:rPr>
            </w:pPr>
          </w:p>
        </w:tc>
      </w:tr>
      <w:tr>
        <w:trPr>
          <w:trHeight w:val="247"/>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137,587</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123,971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128,818</w:t>
            </w:r>
          </w:p>
        </w:tc>
        <w:tc>
          <w:tcPr>
            <w:tcW w:w="100" w:type="dxa"/>
            <w:vAlign w:val="bottom"/>
            <w:shd w:val="clear" w:color="auto" w:fill="CFF0FC"/>
          </w:tcPr>
          <w:p>
            <w:pPr>
              <w:spacing w:after="0"/>
              <w:rPr>
                <w:sz w:val="21"/>
                <w:szCs w:val="21"/>
                <w:color w:val="auto"/>
              </w:rPr>
            </w:pP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1,298,929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1,301,614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1,061,904</w:t>
            </w:r>
          </w:p>
        </w:tc>
        <w:tc>
          <w:tcPr>
            <w:tcW w:w="100" w:type="dxa"/>
            <w:vAlign w:val="bottom"/>
          </w:tcPr>
          <w:p>
            <w:pPr>
              <w:spacing w:after="0"/>
              <w:rPr>
                <w:sz w:val="20"/>
                <w:szCs w:val="20"/>
                <w:color w:val="auto"/>
              </w:rPr>
            </w:pPr>
          </w:p>
        </w:tc>
      </w:tr>
      <w:tr>
        <w:trPr>
          <w:trHeight w:val="247"/>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260,488</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250,756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229,338</w:t>
            </w:r>
          </w:p>
        </w:tc>
        <w:tc>
          <w:tcPr>
            <w:tcW w:w="100" w:type="dxa"/>
            <w:vAlign w:val="bottom"/>
            <w:shd w:val="clear" w:color="auto" w:fill="CFF0FC"/>
          </w:tcPr>
          <w:p>
            <w:pPr>
              <w:spacing w:after="0"/>
              <w:rPr>
                <w:sz w:val="21"/>
                <w:szCs w:val="21"/>
                <w:color w:val="auto"/>
              </w:rPr>
            </w:pP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71,063</w:t>
            </w:r>
          </w:p>
        </w:tc>
        <w:tc>
          <w:tcPr>
            <w:tcW w:w="100" w:type="dxa"/>
            <w:vAlign w:val="bottom"/>
          </w:tcPr>
          <w:p>
            <w:pPr>
              <w:spacing w:after="0"/>
              <w:rPr>
                <w:sz w:val="20"/>
                <w:szCs w:val="20"/>
                <w:color w:val="auto"/>
              </w:rPr>
            </w:pPr>
          </w:p>
        </w:tc>
      </w:tr>
      <w:tr>
        <w:trPr>
          <w:trHeight w:val="247"/>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25,916</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31,083</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59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Loans, net of deferred fees and costs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2,535,291</w:t>
            </w:r>
          </w:p>
        </w:tc>
        <w:tc>
          <w:tcPr>
            <w:tcW w:w="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2,529,606</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2,142,616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4640580</wp:posOffset>
            </wp:positionH>
            <wp:positionV relativeFrom="paragraph">
              <wp:posOffset>-342265</wp:posOffset>
            </wp:positionV>
            <wp:extent cx="6858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5686425</wp:posOffset>
            </wp:positionH>
            <wp:positionV relativeFrom="paragraph">
              <wp:posOffset>-342265</wp:posOffset>
            </wp:positionV>
            <wp:extent cx="6032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-342265</wp:posOffset>
            </wp:positionV>
            <wp:extent cx="6032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-24765</wp:posOffset>
            </wp:positionV>
            <wp:extent cx="6858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-7620</wp:posOffset>
            </wp:positionV>
            <wp:extent cx="6858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5686425</wp:posOffset>
            </wp:positionH>
            <wp:positionV relativeFrom="paragraph">
              <wp:posOffset>-24765</wp:posOffset>
            </wp:positionV>
            <wp:extent cx="6032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5686425</wp:posOffset>
            </wp:positionH>
            <wp:positionV relativeFrom="paragraph">
              <wp:posOffset>-7620</wp:posOffset>
            </wp:positionV>
            <wp:extent cx="6032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-24765</wp:posOffset>
            </wp:positionV>
            <wp:extent cx="6032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6706870</wp:posOffset>
            </wp:positionH>
            <wp:positionV relativeFrom="paragraph">
              <wp:posOffset>-7620</wp:posOffset>
            </wp:positionV>
            <wp:extent cx="6032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left="460"/>
        <w:spacing w:after="0" w:line="266" w:lineRule="auto"/>
        <w:rPr>
          <w:sz w:val="20"/>
          <w:szCs w:val="20"/>
          <w:color w:val="auto"/>
        </w:rPr>
      </w:pPr>
      <w:r>
        <w:rPr>
          <w:rFonts w:ascii="Times New Roman" w:cs="Times New Roman" w:eastAsia="Times New Roman" w:hAnsi="Times New Roman"/>
          <w:sz w:val="18"/>
          <w:szCs w:val="18"/>
          <w:color w:val="auto"/>
        </w:rPr>
        <w:t>The Bank maintains a well-balanced, diverse and high performing commercial real estate loan portfolio. Commercial real estate loans, excluding deferred loan fees and other costs, represented 51.29% of the Company's total gross loan portfolio as of September 30, 2024. The below charts break out the commercial real estate portfolio by category, location and loan grade.</w:t>
      </w:r>
    </w:p>
    <w:p>
      <w:pPr>
        <w:spacing w:after="0" w:line="200" w:lineRule="exact"/>
        <w:rPr>
          <w:sz w:val="20"/>
          <w:szCs w:val="20"/>
          <w:color w:val="auto"/>
        </w:rPr>
      </w:pPr>
    </w:p>
    <w:p>
      <w:pPr>
        <w:spacing w:after="0" w:line="232"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Percent of</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Percent of</w:t>
            </w:r>
          </w:p>
        </w:tc>
      </w:tr>
      <w:tr>
        <w:trPr>
          <w:trHeight w:val="216"/>
        </w:trPr>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Dollar</w:t>
            </w:r>
          </w:p>
        </w:tc>
        <w:tc>
          <w:tcPr>
            <w:tcW w:w="360" w:type="dxa"/>
            <w:vAlign w:val="bottom"/>
          </w:tcPr>
          <w:p>
            <w:pPr>
              <w:spacing w:after="0"/>
              <w:rPr>
                <w:sz w:val="18"/>
                <w:szCs w:val="18"/>
                <w:color w:val="auto"/>
              </w:rPr>
            </w:pPr>
          </w:p>
        </w:tc>
        <w:tc>
          <w:tcPr>
            <w:tcW w:w="12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6"/>
              </w:rPr>
              <w:t>CRE</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Total Loan</w:t>
            </w:r>
          </w:p>
        </w:tc>
      </w:tr>
      <w:tr>
        <w:trPr>
          <w:trHeight w:val="241"/>
        </w:trPr>
        <w:tc>
          <w:tcPr>
            <w:tcW w:w="26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CRE Category</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Balance</w:t>
            </w:r>
          </w:p>
        </w:tc>
        <w:tc>
          <w:tcPr>
            <w:tcW w:w="360" w:type="dxa"/>
            <w:vAlign w:val="bottom"/>
          </w:tcPr>
          <w:p>
            <w:pPr>
              <w:spacing w:after="0"/>
              <w:rPr>
                <w:sz w:val="20"/>
                <w:szCs w:val="20"/>
                <w:color w:val="auto"/>
              </w:rPr>
            </w:pPr>
          </w:p>
        </w:tc>
        <w:tc>
          <w:tcPr>
            <w:tcW w:w="124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Portfolio</w:t>
            </w:r>
          </w:p>
        </w:tc>
        <w:tc>
          <w:tcPr>
            <w:tcW w:w="5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Portfolio</w:t>
            </w:r>
          </w:p>
        </w:tc>
        <w:tc>
          <w:tcPr>
            <w:tcW w:w="160" w:type="dxa"/>
            <w:vAlign w:val="bottom"/>
          </w:tcPr>
          <w:p>
            <w:pPr>
              <w:spacing w:after="0"/>
              <w:rPr>
                <w:sz w:val="20"/>
                <w:szCs w:val="20"/>
                <w:color w:val="auto"/>
              </w:rPr>
            </w:pP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274,953</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21.13 %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10.84 %</w:t>
            </w:r>
          </w:p>
        </w:tc>
      </w:tr>
      <w:tr>
        <w:trPr>
          <w:trHeight w:val="23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237,622</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18.26 %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9.36 %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Multi-family</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223,926</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17.21 %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8.83 %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Hotels</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141,642</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10.89 %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Office</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134,973</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10.37 %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5.32 %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Gas Stations</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62,028</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4.77 %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Food Service</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46,526</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3.58 %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30,999</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Senior Living</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29,866</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Auto Dealers</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25,068</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0.99 %</w:t>
            </w:r>
          </w:p>
        </w:tc>
      </w:tr>
      <w:tr>
        <w:trPr>
          <w:trHeight w:val="25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93,557</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7.19 %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3.69 %</w:t>
            </w:r>
          </w:p>
        </w:tc>
      </w:tr>
      <w:tr>
        <w:trPr>
          <w:trHeight w:val="20"/>
        </w:trPr>
        <w:tc>
          <w:tcPr>
            <w:tcW w:w="2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3"/>
        </w:trPr>
        <w:tc>
          <w:tcPr>
            <w:tcW w:w="2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CRE</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1,301,160</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100.00 %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51.29 %</w:t>
            </w:r>
          </w:p>
        </w:tc>
      </w:tr>
      <w:tr>
        <w:trPr>
          <w:trHeight w:val="20"/>
        </w:trPr>
        <w:tc>
          <w:tcPr>
            <w:tcW w:w="2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-1885315</wp:posOffset>
            </wp:positionV>
            <wp:extent cx="5700395" cy="15430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-1576705</wp:posOffset>
            </wp:positionV>
            <wp:extent cx="5700395" cy="15430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-1268095</wp:posOffset>
            </wp:positionV>
            <wp:extent cx="5700395" cy="15430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-959485</wp:posOffset>
            </wp:positionV>
            <wp:extent cx="5700395" cy="15430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-650875</wp:posOffset>
            </wp:positionV>
            <wp:extent cx="5700395" cy="15430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534670</wp:posOffset>
            </wp:positionH>
            <wp:positionV relativeFrom="paragraph">
              <wp:posOffset>-342265</wp:posOffset>
            </wp:positionV>
            <wp:extent cx="5700395" cy="16319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216"/>
        </w:trPr>
        <w:tc>
          <w:tcPr>
            <w:tcW w:w="3020" w:type="dxa"/>
            <w:vAlign w:val="bottom"/>
            <w:vMerge w:val="restart"/>
          </w:tcPr>
          <w:p>
            <w:pPr>
              <w:ind w:left="920"/>
              <w:spacing w:after="0"/>
              <w:rPr>
                <w:sz w:val="20"/>
                <w:szCs w:val="20"/>
                <w:color w:val="auto"/>
              </w:rPr>
            </w:pPr>
            <w:r>
              <w:rPr>
                <w:rFonts w:ascii="Times New Roman" w:cs="Times New Roman" w:eastAsia="Times New Roman" w:hAnsi="Times New Roman"/>
                <w:sz w:val="18"/>
                <w:szCs w:val="18"/>
                <w:color w:val="auto"/>
              </w:rPr>
              <w:t>CRE Category</w:t>
            </w:r>
            <w:r>
              <w:rPr>
                <w:rFonts w:ascii="Times New Roman" w:cs="Times New Roman" w:eastAsia="Times New Roman" w:hAnsi="Times New Roman"/>
                <w:sz w:val="24"/>
                <w:szCs w:val="24"/>
                <w:color w:val="auto"/>
                <w:vertAlign w:val="superscript"/>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Dollar</w:t>
            </w:r>
          </w:p>
        </w:tc>
        <w:tc>
          <w:tcPr>
            <w:tcW w:w="400" w:type="dxa"/>
            <w:vAlign w:val="bottom"/>
          </w:tcPr>
          <w:p>
            <w:pPr>
              <w:spacing w:after="0"/>
              <w:rPr>
                <w:sz w:val="18"/>
                <w:szCs w:val="18"/>
                <w:color w:val="auto"/>
              </w:rPr>
            </w:pPr>
          </w:p>
        </w:tc>
        <w:tc>
          <w:tcPr>
            <w:tcW w:w="21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rPr>
              <w:t>CRE</w:t>
            </w:r>
          </w:p>
        </w:tc>
        <w:tc>
          <w:tcPr>
            <w:tcW w:w="0" w:type="dxa"/>
            <w:vAlign w:val="bottom"/>
          </w:tcPr>
          <w:p>
            <w:pPr>
              <w:spacing w:after="0"/>
              <w:rPr>
                <w:sz w:val="1"/>
                <w:szCs w:val="1"/>
                <w:color w:val="auto"/>
              </w:rPr>
            </w:pPr>
          </w:p>
        </w:tc>
      </w:tr>
      <w:tr>
        <w:trPr>
          <w:trHeight w:val="248"/>
        </w:trPr>
        <w:tc>
          <w:tcPr>
            <w:tcW w:w="3020" w:type="dxa"/>
            <w:vAlign w:val="bottom"/>
            <w:tcBorders>
              <w:bottom w:val="single" w:sz="8" w:color="auto"/>
            </w:tcBorders>
            <w:vMerge w:val="continue"/>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Balance</w:t>
            </w:r>
          </w:p>
        </w:tc>
        <w:tc>
          <w:tcPr>
            <w:tcW w:w="400" w:type="dxa"/>
            <w:vAlign w:val="bottom"/>
          </w:tcPr>
          <w:p>
            <w:pPr>
              <w:spacing w:after="0"/>
              <w:rPr>
                <w:sz w:val="21"/>
                <w:szCs w:val="21"/>
                <w:color w:val="auto"/>
              </w:rPr>
            </w:pPr>
          </w:p>
        </w:tc>
        <w:tc>
          <w:tcPr>
            <w:tcW w:w="20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Portfolio</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Non-owner occupied</w:t>
            </w: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538,703</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41.40 %</w:t>
            </w:r>
          </w:p>
        </w:tc>
        <w:tc>
          <w:tcPr>
            <w:tcW w:w="0" w:type="dxa"/>
            <w:vAlign w:val="bottom"/>
          </w:tcPr>
          <w:p>
            <w:pPr>
              <w:spacing w:after="0"/>
              <w:rPr>
                <w:sz w:val="1"/>
                <w:szCs w:val="1"/>
                <w:color w:val="auto"/>
              </w:rPr>
            </w:pPr>
          </w:p>
        </w:tc>
      </w:tr>
      <w:tr>
        <w:trPr>
          <w:trHeight w:val="23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Owner occupied</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507,532</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39.01 %</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223,926</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17.21 %</w:t>
            </w:r>
          </w:p>
        </w:tc>
        <w:tc>
          <w:tcPr>
            <w:tcW w:w="0" w:type="dxa"/>
            <w:vAlign w:val="bottom"/>
          </w:tcPr>
          <w:p>
            <w:pPr>
              <w:spacing w:after="0"/>
              <w:rPr>
                <w:sz w:val="1"/>
                <w:szCs w:val="1"/>
                <w:color w:val="auto"/>
              </w:rPr>
            </w:pP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Land &amp; Development</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30,999</w:t>
            </w:r>
          </w:p>
        </w:tc>
        <w:tc>
          <w:tcPr>
            <w:tcW w:w="400" w:type="dxa"/>
            <w:vAlign w:val="bottom"/>
          </w:tcPr>
          <w:p>
            <w:pPr>
              <w:spacing w:after="0"/>
              <w:rPr>
                <w:sz w:val="22"/>
                <w:szCs w:val="22"/>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CRE</w:t>
            </w:r>
          </w:p>
        </w:tc>
        <w:tc>
          <w:tcPr>
            <w:tcW w:w="3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1,301,160</w:t>
            </w:r>
          </w:p>
        </w:tc>
        <w:tc>
          <w:tcPr>
            <w:tcW w:w="400" w:type="dxa"/>
            <w:vAlign w:val="bottom"/>
          </w:tcPr>
          <w:p>
            <w:pPr>
              <w:spacing w:after="0"/>
              <w:rPr>
                <w:sz w:val="20"/>
                <w:szCs w:val="20"/>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Categories assume construction loans converted to either owner or non-owner occupied.</w:t>
            </w:r>
          </w:p>
        </w:tc>
        <w:tc>
          <w:tcPr>
            <w:tcW w:w="0" w:type="dxa"/>
            <w:vAlign w:val="bottom"/>
          </w:tcPr>
          <w:p>
            <w:pPr>
              <w:spacing w:after="0"/>
              <w:rPr>
                <w:sz w:val="1"/>
                <w:szCs w:val="1"/>
                <w:color w:val="auto"/>
              </w:rPr>
            </w:pPr>
          </w:p>
        </w:tc>
      </w:tr>
      <w:tr>
        <w:trPr>
          <w:trHeight w:val="684"/>
        </w:trPr>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Dollar</w:t>
            </w:r>
          </w:p>
        </w:tc>
        <w:tc>
          <w:tcPr>
            <w:tcW w:w="400" w:type="dxa"/>
            <w:vAlign w:val="bottom"/>
          </w:tcPr>
          <w:p>
            <w:pPr>
              <w:spacing w:after="0"/>
              <w:rPr>
                <w:sz w:val="18"/>
                <w:szCs w:val="18"/>
                <w:color w:val="auto"/>
              </w:rPr>
            </w:pPr>
          </w:p>
        </w:tc>
        <w:tc>
          <w:tcPr>
            <w:tcW w:w="21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rPr>
              <w:t>CRE</w:t>
            </w:r>
          </w:p>
        </w:tc>
        <w:tc>
          <w:tcPr>
            <w:tcW w:w="0" w:type="dxa"/>
            <w:vAlign w:val="bottom"/>
          </w:tcPr>
          <w:p>
            <w:pPr>
              <w:spacing w:after="0"/>
              <w:rPr>
                <w:sz w:val="1"/>
                <w:szCs w:val="1"/>
                <w:color w:val="auto"/>
              </w:rPr>
            </w:pPr>
          </w:p>
        </w:tc>
      </w:tr>
      <w:tr>
        <w:trPr>
          <w:trHeight w:val="241"/>
        </w:trPr>
        <w:tc>
          <w:tcPr>
            <w:tcW w:w="30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Location</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Balance</w:t>
            </w:r>
          </w:p>
        </w:tc>
        <w:tc>
          <w:tcPr>
            <w:tcW w:w="400" w:type="dxa"/>
            <w:vAlign w:val="bottom"/>
          </w:tcPr>
          <w:p>
            <w:pPr>
              <w:spacing w:after="0"/>
              <w:rPr>
                <w:sz w:val="20"/>
                <w:szCs w:val="20"/>
                <w:color w:val="auto"/>
              </w:rPr>
            </w:pPr>
          </w:p>
        </w:tc>
        <w:tc>
          <w:tcPr>
            <w:tcW w:w="21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Portfolio</w:t>
            </w:r>
          </w:p>
        </w:tc>
        <w:tc>
          <w:tcPr>
            <w:tcW w:w="0" w:type="dxa"/>
            <w:vAlign w:val="bottom"/>
          </w:tcPr>
          <w:p>
            <w:pPr>
              <w:spacing w:after="0"/>
              <w:rPr>
                <w:sz w:val="1"/>
                <w:szCs w:val="1"/>
                <w:color w:val="auto"/>
              </w:rPr>
            </w:pPr>
          </w:p>
        </w:tc>
      </w:tr>
      <w:tr>
        <w:trPr>
          <w:trHeight w:val="234"/>
        </w:trPr>
        <w:tc>
          <w:tcPr>
            <w:tcW w:w="3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Southeast Michigan</w:t>
            </w:r>
          </w:p>
        </w:tc>
        <w:tc>
          <w:tcPr>
            <w:tcW w:w="36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459,695</w:t>
            </w:r>
          </w:p>
        </w:tc>
        <w:tc>
          <w:tcPr>
            <w:tcW w:w="400" w:type="dxa"/>
            <w:vAlign w:val="bottom"/>
          </w:tcPr>
          <w:p>
            <w:pPr>
              <w:spacing w:after="0"/>
              <w:rPr>
                <w:sz w:val="20"/>
                <w:szCs w:val="20"/>
                <w:color w:val="auto"/>
              </w:rPr>
            </w:pP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Northwest Ohio</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338,953</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26.05 %</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Columbus, Ohio</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153,663</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11.81 %</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Fort Wayne, Indiana</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141,866</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10.90 %</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Dayton/Cincinnati, Ohio</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56,375</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Greater Indianapolis, Indiana</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48,919</w:t>
            </w: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0" w:type="dxa"/>
            <w:vAlign w:val="bottom"/>
          </w:tcPr>
          <w:p>
            <w:pPr>
              <w:spacing w:after="0"/>
              <w:rPr>
                <w:sz w:val="1"/>
                <w:szCs w:val="1"/>
                <w:color w:val="auto"/>
              </w:rPr>
            </w:pPr>
          </w:p>
        </w:tc>
      </w:tr>
      <w:tr>
        <w:trPr>
          <w:trHeight w:val="25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101,689</w:t>
            </w:r>
          </w:p>
        </w:tc>
        <w:tc>
          <w:tcPr>
            <w:tcW w:w="400" w:type="dxa"/>
            <w:vAlign w:val="bottom"/>
          </w:tcPr>
          <w:p>
            <w:pPr>
              <w:spacing w:after="0"/>
              <w:rPr>
                <w:sz w:val="22"/>
                <w:szCs w:val="22"/>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CRE</w:t>
            </w:r>
          </w:p>
        </w:tc>
        <w:tc>
          <w:tcPr>
            <w:tcW w:w="3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1,301,160</w:t>
            </w:r>
          </w:p>
        </w:tc>
        <w:tc>
          <w:tcPr>
            <w:tcW w:w="400" w:type="dxa"/>
            <w:vAlign w:val="bottom"/>
          </w:tcPr>
          <w:p>
            <w:pPr>
              <w:spacing w:after="0"/>
              <w:rPr>
                <w:sz w:val="20"/>
                <w:szCs w:val="20"/>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60</w:t>
            </w: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-3453765</wp:posOffset>
            </wp:positionV>
            <wp:extent cx="4989195" cy="15430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-3145155</wp:posOffset>
            </wp:positionV>
            <wp:extent cx="4989195" cy="15430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-2828290</wp:posOffset>
            </wp:positionV>
            <wp:extent cx="4989195" cy="17970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4989195" cy="17970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-1456690</wp:posOffset>
            </wp:positionV>
            <wp:extent cx="4989195" cy="15430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-1148080</wp:posOffset>
            </wp:positionV>
            <wp:extent cx="4989195" cy="15430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-839470</wp:posOffset>
            </wp:positionV>
            <wp:extent cx="4989195" cy="15430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-521970</wp:posOffset>
            </wp:positionV>
            <wp:extent cx="4989195" cy="17970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4989195" cy="17970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467360</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999" w:right="339" w:bottom="730" w:gutter="0" w:footer="0" w:header="0"/>
        </w:sectPr>
      </w:pPr>
    </w:p>
    <w:bookmarkStart w:id="60" w:name="page61"/>
    <w:bookmarkEnd w:id="60"/>
    <w:p>
      <w:pPr>
        <w:spacing w:after="0" w:line="18" w:lineRule="exact"/>
        <w:rPr>
          <w:sz w:val="20"/>
          <w:szCs w:val="20"/>
          <w:color w:val="auto"/>
        </w:rPr>
      </w:pPr>
    </w:p>
    <w:tbl>
      <w:tblPr>
        <w:tblLayout w:type="fixed"/>
        <w:tblInd w:w="280" w:type="dxa"/>
        <w:tblCellMar>
          <w:top w:w="0" w:type="dxa"/>
          <w:left w:w="0" w:type="dxa"/>
          <w:bottom w:w="0" w:type="dxa"/>
          <w:right w:w="0" w:type="dxa"/>
        </w:tblCellMar>
      </w:tblPr>
      <w:tr>
        <w:trPr>
          <w:trHeight w:val="241"/>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CRE Grades</w:t>
            </w:r>
          </w:p>
        </w:tc>
        <w:tc>
          <w:tcPr>
            <w:tcW w:w="300" w:type="dxa"/>
            <w:vAlign w:val="bottom"/>
          </w:tcPr>
          <w:p>
            <w:pPr>
              <w:spacing w:after="0"/>
              <w:rPr>
                <w:sz w:val="20"/>
                <w:szCs w:val="20"/>
                <w:color w:val="auto"/>
              </w:rPr>
            </w:pPr>
          </w:p>
        </w:tc>
        <w:tc>
          <w:tcPr>
            <w:tcW w:w="224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September 30, 2024</w:t>
            </w:r>
          </w:p>
        </w:tc>
        <w:tc>
          <w:tcPr>
            <w:tcW w:w="22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December 31, 2023</w:t>
            </w:r>
          </w:p>
        </w:tc>
        <w:tc>
          <w:tcPr>
            <w:tcW w:w="20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234"/>
        </w:trPr>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300" w:type="dxa"/>
            <w:vAlign w:val="bottom"/>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5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37.27 %</w:t>
            </w:r>
          </w:p>
        </w:tc>
        <w:tc>
          <w:tcPr>
            <w:tcW w:w="2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36.33 %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32.10 %</w:t>
            </w:r>
          </w:p>
        </w:tc>
      </w:tr>
      <w:tr>
        <w:trPr>
          <w:trHeight w:val="243"/>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5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58.34 %</w:t>
            </w:r>
          </w:p>
        </w:tc>
        <w:tc>
          <w:tcPr>
            <w:tcW w:w="2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58.00 %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64.20 %</w:t>
            </w:r>
          </w:p>
        </w:tc>
      </w:tr>
      <w:tr>
        <w:trPr>
          <w:trHeight w:val="243"/>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5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3.67 %</w:t>
            </w:r>
          </w:p>
        </w:tc>
        <w:tc>
          <w:tcPr>
            <w:tcW w:w="2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5.07 %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0.80 %</w:t>
            </w:r>
          </w:p>
        </w:tc>
      </w:tr>
      <w:tr>
        <w:trPr>
          <w:trHeight w:val="257"/>
        </w:trPr>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5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0.16 %</w:t>
            </w:r>
          </w:p>
        </w:tc>
        <w:tc>
          <w:tcPr>
            <w:tcW w:w="2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0.05 %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2"/>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2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-805180</wp:posOffset>
            </wp:positionV>
            <wp:extent cx="6060440" cy="15430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060440" cy="15430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-496570</wp:posOffset>
            </wp:positionV>
            <wp:extent cx="6060440" cy="15430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060440" cy="154305"/>
                    </a:xfrm>
                    <a:prstGeom prst="rect">
                      <a:avLst/>
                    </a:prstGeom>
                    <a:noFill/>
                  </pic:spPr>
                </pic:pic>
              </a:graphicData>
            </a:graphic>
          </wp:anchor>
        </w:drawing>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is a contractual maturity schedule by major category of loans excluding fair value adjustments as of September 30,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September 30, 2024</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After One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After Five</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Within</w:t>
            </w:r>
          </w:p>
        </w:tc>
        <w:tc>
          <w:tcPr>
            <w:tcW w:w="100" w:type="dxa"/>
            <w:vAlign w:val="bottom"/>
          </w:tcPr>
          <w:p>
            <w:pPr>
              <w:spacing w:after="0"/>
              <w:rPr>
                <w:sz w:val="20"/>
                <w:szCs w:val="20"/>
                <w:color w:val="auto"/>
              </w:rPr>
            </w:pPr>
          </w:p>
        </w:tc>
        <w:tc>
          <w:tcPr>
            <w:tcW w:w="11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Year Within</w:t>
            </w:r>
          </w:p>
        </w:tc>
        <w:tc>
          <w:tcPr>
            <w:tcW w:w="100" w:type="dxa"/>
            <w:vAlign w:val="bottom"/>
          </w:tcPr>
          <w:p>
            <w:pPr>
              <w:spacing w:after="0"/>
              <w:rPr>
                <w:sz w:val="20"/>
                <w:szCs w:val="20"/>
                <w:color w:val="auto"/>
              </w:rPr>
            </w:pPr>
          </w:p>
        </w:tc>
        <w:tc>
          <w:tcPr>
            <w:tcW w:w="11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7"/>
              </w:rPr>
              <w:t>Years Within</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After</w:t>
            </w:r>
          </w:p>
        </w:tc>
      </w:tr>
      <w:tr>
        <w:trPr>
          <w:trHeight w:val="250"/>
        </w:trPr>
        <w:tc>
          <w:tcPr>
            <w:tcW w:w="5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One Year</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6"/>
              </w:rPr>
              <w:t>Five Years</w:t>
            </w:r>
          </w:p>
        </w:tc>
        <w:tc>
          <w:tcPr>
            <w:tcW w:w="100" w:type="dxa"/>
            <w:vAlign w:val="bottom"/>
          </w:tcPr>
          <w:p>
            <w:pPr>
              <w:spacing w:after="0"/>
              <w:rPr>
                <w:sz w:val="21"/>
                <w:szCs w:val="21"/>
                <w:color w:val="auto"/>
              </w:rPr>
            </w:pPr>
          </w:p>
        </w:tc>
        <w:tc>
          <w:tcPr>
            <w:tcW w:w="1140" w:type="dxa"/>
            <w:vAlign w:val="bottom"/>
            <w:tcBorders>
              <w:bottom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Fifteen Years</w:t>
            </w:r>
          </w:p>
        </w:tc>
        <w:tc>
          <w:tcPr>
            <w:tcW w:w="100" w:type="dxa"/>
            <w:vAlign w:val="bottom"/>
          </w:tcPr>
          <w:p>
            <w:pPr>
              <w:spacing w:after="0"/>
              <w:rPr>
                <w:sz w:val="21"/>
                <w:szCs w:val="21"/>
                <w:color w:val="auto"/>
              </w:rPr>
            </w:pPr>
          </w:p>
        </w:tc>
        <w:tc>
          <w:tcPr>
            <w:tcW w:w="11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98"/>
              </w:rPr>
              <w:t>Fifteen Years</w:t>
            </w:r>
          </w:p>
        </w:tc>
        <w:tc>
          <w:tcPr>
            <w:tcW w:w="100" w:type="dxa"/>
            <w:vAlign w:val="bottom"/>
          </w:tcPr>
          <w:p>
            <w:pPr>
              <w:spacing w:after="0"/>
              <w:rPr>
                <w:sz w:val="21"/>
                <w:szCs w:val="21"/>
                <w:color w:val="auto"/>
              </w:rPr>
            </w:pPr>
          </w:p>
        </w:tc>
      </w:tr>
      <w:tr>
        <w:trPr>
          <w:trHeight w:val="24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157,928</w:t>
            </w:r>
          </w:p>
        </w:tc>
        <w:tc>
          <w:tcPr>
            <w:tcW w:w="4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323,136</w:t>
            </w:r>
          </w:p>
        </w:tc>
        <w:tc>
          <w:tcPr>
            <w:tcW w:w="100" w:type="dxa"/>
            <w:vAlign w:val="bottom"/>
            <w:shd w:val="clear" w:color="auto" w:fill="CFF0FC"/>
          </w:tcPr>
          <w:p>
            <w:pPr>
              <w:spacing w:after="0"/>
              <w:rPr>
                <w:sz w:val="21"/>
                <w:szCs w:val="2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142,868</w:t>
            </w:r>
          </w:p>
        </w:tc>
        <w:tc>
          <w:tcPr>
            <w:tcW w:w="100" w:type="dxa"/>
            <w:vAlign w:val="bottom"/>
          </w:tcPr>
          <w:p>
            <w:pPr>
              <w:spacing w:after="0"/>
              <w:rPr>
                <w:sz w:val="20"/>
                <w:szCs w:val="20"/>
                <w:color w:val="auto"/>
              </w:rPr>
            </w:pPr>
          </w:p>
        </w:tc>
      </w:tr>
      <w:tr>
        <w:trPr>
          <w:trHeight w:val="247"/>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72,558</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51,831</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00" w:type="dxa"/>
            <w:vAlign w:val="bottom"/>
            <w:shd w:val="clear" w:color="auto" w:fill="CFF0FC"/>
          </w:tcPr>
          <w:p>
            <w:pPr>
              <w:spacing w:after="0"/>
              <w:rPr>
                <w:sz w:val="21"/>
                <w:szCs w:val="2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205,198</w:t>
            </w:r>
          </w:p>
        </w:tc>
        <w:tc>
          <w:tcPr>
            <w:tcW w:w="100" w:type="dxa"/>
            <w:vAlign w:val="bottom"/>
          </w:tcPr>
          <w:p>
            <w:pPr>
              <w:spacing w:after="0"/>
              <w:rPr>
                <w:sz w:val="20"/>
                <w:szCs w:val="20"/>
                <w:color w:val="auto"/>
              </w:rPr>
            </w:pPr>
          </w:p>
        </w:tc>
      </w:tr>
      <w:tr>
        <w:trPr>
          <w:trHeight w:val="247"/>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104,773</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95,156</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60,279</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FF0FC"/>
          </w:tcPr>
          <w:p>
            <w:pPr>
              <w:spacing w:after="0"/>
              <w:rPr>
                <w:sz w:val="21"/>
                <w:szCs w:val="2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r>
      <w:tr>
        <w:trPr>
          <w:trHeight w:val="247"/>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24,847</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Management feels confident that liquidity needs can be met through additional maturities from the security portfolio, increased deposits and additional borrowings. For short term needs, the Bank has the unsecured borrowing capacity through its correspondent banks mentioned above along with access to $163.7 million through a Cash Management Advance with the Federal Home Loan Bank as of September 30, 2024. The Bank's secured borrowing capacity limits at the Federal Home Loan Bank would have allowed draws on the Cash Management Advance of $151.4 million on September 30, 2024.</w:t>
      </w:r>
    </w:p>
    <w:p>
      <w:pPr>
        <w:spacing w:after="0" w:line="183"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While the security portfolio has been utilized to fund loan growth in previous periods, additional sources have been cultivated during 2022, 2023, and 2024. The security portfolio increased in the first nine months of 2024 from year end 2023 due to purchases of $56.1 million offset by maturities and paydowns of $21.0 million, net amortization of $0.9 million and a $12.2 million decrease in unrealized losses. The amount of pledged investment securities decreased by $8.8 million as compared to year end and increased $1.5 million as compared to September 30, 2023. As of September 30, 2024, pledged investment securities totaled $247.0 million. The Company does plan to do additional purchases of securities the remainder of the year for the purposes of increasing the holdings for liquidity and contingency planning and as a means of balance sheet gap management. The purchases in third quarter 2024 were done with a focus on improving our investments in Community Reinvestment Act (CRA) qualifying securities.</w:t>
      </w:r>
    </w:p>
    <w:p>
      <w:pPr>
        <w:spacing w:after="0" w:line="151"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An additional $151.4 million is also available to the Bank from the Federal Home Loan Bank based on current amounts of pledged collateral. The Bank has pledged eligible 1-4 family, home equity, commercial real estate, multifamily real estate portfolios and specific securities. Multifamily real estate was added to our assets pledged to the FHLB in second quarter 2024 and additional commercial real estate holdings were designated as pledges to increase the availability in first quarter 2024. Based on total asset capacity, the Bank would have nearly $1.1 billion available to borrow.</w:t>
      </w:r>
    </w:p>
    <w:p>
      <w:pPr>
        <w:spacing w:after="0" w:line="156"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With the exception of FHLB stocks, carried at cost, which is shown as other securities, all of the Company’s security portfolio is categorized as “available-for-sale” and as such is recorded at fair value.</w:t>
      </w:r>
    </w:p>
    <w:p>
      <w:pPr>
        <w:spacing w:after="0" w:line="121"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Overall total assets increased only 3.2% or $106.0 million since year end 2023. The intended and largest growth in cash holdings was discussed above.</w:t>
      </w:r>
    </w:p>
    <w:p>
      <w:pPr>
        <w:spacing w:after="0" w:line="121"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Total deposits accounted for the largest growth within liabilities of $77.4 million or 3.0%. The mix of deposits saw increases in interest bearing checking, savings and money market deposits along with time deposit accounts since December 31, 2023. Noninterest-bearing accounts saw decreases from December 31, 2023.</w:t>
      </w:r>
    </w:p>
    <w:p>
      <w:pPr>
        <w:spacing w:after="0" w:line="6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40" w:right="339" w:bottom="1440" w:gutter="0" w:footer="0" w:header="0"/>
        </w:sectPr>
      </w:pPr>
    </w:p>
    <w:bookmarkStart w:id="61" w:name="page62"/>
    <w:bookmarkEnd w:id="61"/>
    <w:p>
      <w:pPr>
        <w:jc w:val="both"/>
        <w:spacing w:after="0" w:line="254" w:lineRule="auto"/>
        <w:rPr>
          <w:sz w:val="20"/>
          <w:szCs w:val="20"/>
          <w:color w:val="auto"/>
        </w:rPr>
      </w:pPr>
      <w:r>
        <w:rPr>
          <w:rFonts w:ascii="Times New Roman" w:cs="Times New Roman" w:eastAsia="Times New Roman" w:hAnsi="Times New Roman"/>
          <w:sz w:val="18"/>
          <w:szCs w:val="18"/>
          <w:color w:val="auto"/>
        </w:rPr>
        <w:t>Shareholders’ equity increased by $18.8 million as of the third quarter of 2024 compared to year end 2023. Earnings exceeded dividend declarations during the nine months ended September 30, 2024. Accumulated other comprehensive loss decreased in unrealized loss position by $9.6 million from December 2023 to an unrealized loss of $19.4 million on September 30, 2024. Dividends declared were $0.22125 per share during the third quarter compared to $0.22 per share during the second quarter, an increase of 0.6%. This represents an increase of 5.4% over the third quarter of 2023 dividend of $0.21 per share. Compared to September 30, 2023, shareholders’ equity increased 10.6% or $32.2 million with $20.1 million attributed to an improvement in accumulated other comprehensive loss. Net income was higher for the quarter ended September 2024 compared to September 2023 by $1.7 million and net income improved by $834 thousand over second quarter 2024. We are encouraged that net interest income has continued to improve quarter over quarter since third quarter 2023.</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Basel III regulatory capital requirements include a capital conservation buffer of 2.5%. As of September 30, 2024, the Company and the Bank are both positioned well above the current requirement.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the Holding Company generally has sufficient liquidity to maintain its dividend policy without relying on the upstreaming of dividends from the Bank, the Bank declared a $3.0 million dividend during both the first, second and third quarters of 2024.</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continues to be well-capitalized at September 30, 2024 in accordance with Federal regulatory capital requirements as the capital ratios below show:</w:t>
      </w:r>
    </w:p>
    <w:p>
      <w:pPr>
        <w:spacing w:after="0" w:line="175"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Tier I Leverage Ratio</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8.74 %</w:t>
            </w: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Risk Based Capital Tier I</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11.28 %</w:t>
            </w: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Total Risk Based Capital</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12.28 %</w:t>
            </w: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Equity/Total Assets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10.60 %</w:t>
            </w:r>
          </w:p>
        </w:tc>
      </w:tr>
      <w:tr>
        <w:trPr>
          <w:trHeight w:val="24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Capital Conservation Buffer</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953770</wp:posOffset>
            </wp:positionH>
            <wp:positionV relativeFrom="paragraph">
              <wp:posOffset>-762635</wp:posOffset>
            </wp:positionV>
            <wp:extent cx="4277360" cy="15430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-454025</wp:posOffset>
            </wp:positionV>
            <wp:extent cx="4277360" cy="15430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-145415</wp:posOffset>
            </wp:positionV>
            <wp:extent cx="4277360" cy="15430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3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implementation of ASU 2016-13 (CECL) resulted in an entry which reduced retained earnings $3.4 million on January 1, 2023. This adjustment is permitted to be spread over three years when calculating regulatory capital, which for 2023 was over $2.5 million. This adjustment decreased to $1.7 million for 2024.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CHANGES IN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Results of Interest Earnings and Expenses for three month periods ended September 30, 2024 and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comparing third quarter 2024 to third quarter 2023, average loan balances grew $15.0 million which represented a 0.6% increase in a one-year time period. Interest income on loans increased $3.1 million or 9.1% as compared to the quarter ended September 30, 2023. In third quarter 2023, the Company reversed loan interest income from one relationship in the amount of approximately $492 thousand of which approximately $324 thousand was previously recognized in prior periods. Third quarter 2023 also included loan income of $594 thousand from the recovery of two acquired relationships that had been fully charged off prior to acquisition. The Company's loan portfolio is 34.5% variable with 19.5% of total loans subject to repricing within the next three months.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available-for-sale securities portfolio increased in average balances by $17.7 million when comparing to the same quarter in 2023 while the income associated with the security portfolio increased $545 thousand over third quarter 2023. The increased balances were the result of increasing our holdings for liquidity and contingency planning purposes and to improve our investments in CRA qualifying securities. Federal funds sold and interest-bearing deposits increased in average balances by $111.7 million as compared to the same quarter in 2023 with increased income of $1.9 million for the current quarter. The increased balances are the result of the focus on liquidity and deposit generation.</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overall total average balance of the Bank’s earning assets increased by $144.5 million and interest income for the quarter comparisons was higher for third quarter 2024 by 15.2% or $5.5 million as compared to third quarter 2023. Increases in the prime lending rate between periods has contributed to approximately 73.2% of the growth.</w:t>
      </w:r>
    </w:p>
    <w:p>
      <w:pPr>
        <w:spacing w:after="0" w:line="6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62" w:name="page63"/>
    <w:bookmarkEnd w:id="62"/>
    <w:p>
      <w:pPr>
        <w:jc w:val="both"/>
        <w:ind w:left="760" w:right="60"/>
        <w:spacing w:after="0" w:line="258" w:lineRule="auto"/>
        <w:rPr>
          <w:sz w:val="20"/>
          <w:szCs w:val="20"/>
          <w:color w:val="auto"/>
        </w:rPr>
      </w:pPr>
      <w:r>
        <w:rPr>
          <w:rFonts w:ascii="Times New Roman" w:cs="Times New Roman" w:eastAsia="Times New Roman" w:hAnsi="Times New Roman"/>
          <w:sz w:val="18"/>
          <w:szCs w:val="18"/>
          <w:color w:val="auto"/>
        </w:rPr>
        <w:t>Annualized yield, for the quarter ended September 30, 2024, was 5.27% as compared to 4.79% for the quarter ended September 30, 2023. The following charts demonstrate increased loan balances accounted for 6.5% of the increased loan interest income while rate increases accounted for the remaining 93.5%. The yields on tax-exempt securities and the portion of the tax-exempt IDB loans included in loans have been tax adjusted based on a 21% tax rate in the charts to follow. The tax-exempt interest income was $114 and $133 thousand for the third quarter 2024 and 2023 which resulted in a federal tax savings of $24 and $28 thousand,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63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80" w:type="dxa"/>
            <w:vAlign w:val="bottom"/>
            <w:gridSpan w:val="8"/>
          </w:tcPr>
          <w:p>
            <w:pPr>
              <w:jc w:val="right"/>
              <w:ind w:right="350"/>
              <w:spacing w:after="0"/>
              <w:rPr>
                <w:sz w:val="20"/>
                <w:szCs w:val="20"/>
                <w:color w:val="auto"/>
              </w:rPr>
            </w:pPr>
            <w:r>
              <w:rPr>
                <w:rFonts w:ascii="Times New Roman" w:cs="Times New Roman" w:eastAsia="Times New Roman" w:hAnsi="Times New Roman"/>
                <w:sz w:val="18"/>
                <w:szCs w:val="18"/>
                <w:color w:val="auto"/>
              </w:rPr>
              <w:t>Quarter to Date Ended September 30, 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6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Annualized Yield/Rate</w:t>
            </w:r>
          </w:p>
        </w:tc>
      </w:tr>
      <w:tr>
        <w:trPr>
          <w:trHeight w:val="241"/>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Earning Assets:</w:t>
            </w:r>
          </w:p>
        </w:tc>
        <w:tc>
          <w:tcPr>
            <w:tcW w:w="22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840" w:type="dxa"/>
            <w:vAlign w:val="bottom"/>
            <w:tcBorders>
              <w:top w:val="single" w:sz="8" w:color="auto"/>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Interest/Dividends</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gridSpan w:val="2"/>
          </w:tcPr>
          <w:p>
            <w:pPr>
              <w:spacing w:after="0"/>
              <w:rPr>
                <w:sz w:val="20"/>
                <w:szCs w:val="20"/>
                <w:color w:val="auto"/>
              </w:rPr>
            </w:pPr>
          </w:p>
        </w:tc>
        <w:tc>
          <w:tcPr>
            <w:tcW w:w="15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September 30, 2023</w:t>
            </w:r>
          </w:p>
        </w:tc>
        <w:tc>
          <w:tcPr>
            <w:tcW w:w="160" w:type="dxa"/>
            <w:vAlign w:val="bottom"/>
          </w:tcPr>
          <w:p>
            <w:pPr>
              <w:spacing w:after="0"/>
              <w:rPr>
                <w:sz w:val="20"/>
                <w:szCs w:val="20"/>
                <w:color w:val="auto"/>
              </w:rPr>
            </w:pPr>
          </w:p>
        </w:tc>
      </w:tr>
      <w:tr>
        <w:trPr>
          <w:trHeight w:val="228"/>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2,551,899</w:t>
            </w:r>
          </w:p>
        </w:tc>
        <w:tc>
          <w:tcPr>
            <w:tcW w:w="80" w:type="dxa"/>
            <w:vAlign w:val="bottom"/>
          </w:tcPr>
          <w:p>
            <w:pPr>
              <w:spacing w:after="0"/>
              <w:rPr>
                <w:sz w:val="19"/>
                <w:szCs w:val="19"/>
                <w:color w:val="auto"/>
              </w:rPr>
            </w:pPr>
          </w:p>
        </w:tc>
        <w:tc>
          <w:tcPr>
            <w:tcW w:w="130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5.78 %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5.33 %</w:t>
            </w:r>
          </w:p>
        </w:tc>
      </w:tr>
      <w:tr>
        <w:trPr>
          <w:trHeight w:val="238"/>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22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415,943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2.03 %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43"/>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22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19,661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2.09 %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1.77 %</w:t>
            </w:r>
          </w:p>
        </w:tc>
      </w:tr>
      <w:tr>
        <w:trPr>
          <w:trHeight w:val="250"/>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Fed funds sold &amp; other</w:t>
            </w: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197,258</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5.76 %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4.36 %</w:t>
            </w:r>
          </w:p>
        </w:tc>
      </w:tr>
      <w:tr>
        <w:trPr>
          <w:trHeight w:val="243"/>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Interest Earning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3,184,761</w:t>
            </w:r>
          </w:p>
        </w:tc>
        <w:tc>
          <w:tcPr>
            <w:tcW w:w="80" w:type="dxa"/>
            <w:vAlign w:val="bottom"/>
          </w:tcPr>
          <w:p>
            <w:pPr>
              <w:spacing w:after="0"/>
              <w:rPr>
                <w:sz w:val="21"/>
                <w:szCs w:val="21"/>
                <w:color w:val="auto"/>
              </w:rPr>
            </w:pPr>
          </w:p>
        </w:tc>
        <w:tc>
          <w:tcPr>
            <w:tcW w:w="130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5.27 %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4.79 %</w:t>
            </w:r>
          </w:p>
        </w:tc>
      </w:tr>
      <w:tr>
        <w:trPr>
          <w:trHeight w:val="20"/>
        </w:trPr>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8460" w:type="dxa"/>
            <w:vAlign w:val="bottom"/>
            <w:gridSpan w:val="19"/>
          </w:tcPr>
          <w:p>
            <w:pPr>
              <w:ind w:left="1340"/>
              <w:spacing w:after="0"/>
              <w:rPr>
                <w:sz w:val="20"/>
                <w:szCs w:val="20"/>
                <w:color w:val="auto"/>
              </w:rPr>
            </w:pPr>
            <w:r>
              <w:rPr>
                <w:rFonts w:ascii="Times New Roman" w:cs="Times New Roman" w:eastAsia="Times New Roman" w:hAnsi="Times New Roman"/>
                <w:sz w:val="18"/>
                <w:szCs w:val="18"/>
                <w:color w:val="auto"/>
              </w:rPr>
              <w:t>Change in Interest Income Quarter to Date September 30, 2024 Compared to September 30, 2023</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73"/>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1"/>
        </w:trPr>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Change Due</w:t>
            </w:r>
          </w:p>
        </w:tc>
        <w:tc>
          <w:tcPr>
            <w:tcW w:w="160" w:type="dxa"/>
            <w:vAlign w:val="bottom"/>
          </w:tcPr>
          <w:p>
            <w:pPr>
              <w:spacing w:after="0"/>
              <w:rPr>
                <w:sz w:val="18"/>
                <w:szCs w:val="18"/>
                <w:color w:val="auto"/>
              </w:rPr>
            </w:pPr>
          </w:p>
        </w:tc>
        <w:tc>
          <w:tcPr>
            <w:tcW w:w="1420" w:type="dxa"/>
            <w:vAlign w:val="bottom"/>
            <w:gridSpan w:val="5"/>
          </w:tcPr>
          <w:p>
            <w:pPr>
              <w:jc w:val="right"/>
              <w:ind w:right="250"/>
              <w:spacing w:after="0"/>
              <w:rPr>
                <w:sz w:val="20"/>
                <w:szCs w:val="20"/>
                <w:color w:val="auto"/>
              </w:rPr>
            </w:pPr>
            <w:r>
              <w:rPr>
                <w:rFonts w:ascii="Times New Roman" w:cs="Times New Roman" w:eastAsia="Times New Roman" w:hAnsi="Times New Roman"/>
                <w:sz w:val="18"/>
                <w:szCs w:val="18"/>
                <w:color w:val="auto"/>
              </w:rPr>
              <w:t>Change Due</w:t>
            </w:r>
          </w:p>
        </w:tc>
        <w:tc>
          <w:tcPr>
            <w:tcW w:w="1180" w:type="dxa"/>
            <w:vAlign w:val="bottom"/>
            <w:gridSpan w:val="2"/>
          </w:tcPr>
          <w:p>
            <w:pPr>
              <w:spacing w:after="0"/>
              <w:rPr>
                <w:sz w:val="18"/>
                <w:szCs w:val="18"/>
                <w:color w:val="auto"/>
              </w:rPr>
            </w:pPr>
          </w:p>
        </w:tc>
      </w:tr>
      <w:tr>
        <w:trPr>
          <w:trHeight w:val="248"/>
        </w:trPr>
        <w:tc>
          <w:tcPr>
            <w:tcW w:w="1140" w:type="dxa"/>
            <w:vAlign w:val="bottom"/>
          </w:tcPr>
          <w:p>
            <w:pPr>
              <w:spacing w:after="0"/>
              <w:rPr>
                <w:sz w:val="21"/>
                <w:szCs w:val="21"/>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Earning Assets:</w:t>
            </w: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Total Change</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to Volume</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color w:val="auto"/>
              </w:rPr>
              <w:t>to Rate</w:t>
            </w:r>
          </w:p>
        </w:tc>
        <w:tc>
          <w:tcPr>
            <w:tcW w:w="1180" w:type="dxa"/>
            <w:vAlign w:val="bottom"/>
            <w:gridSpan w:val="2"/>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2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w:t>
            </w:r>
          </w:p>
        </w:tc>
        <w:tc>
          <w:tcPr>
            <w:tcW w:w="220" w:type="dxa"/>
            <w:vAlign w:val="bottom"/>
            <w:shd w:val="clear" w:color="auto" w:fill="CFF0FC"/>
          </w:tcPr>
          <w:p>
            <w:pPr>
              <w:spacing w:after="0"/>
              <w:rPr>
                <w:sz w:val="20"/>
                <w:szCs w:val="20"/>
                <w:color w:val="auto"/>
              </w:rPr>
            </w:pPr>
          </w:p>
        </w:tc>
        <w:tc>
          <w:tcPr>
            <w:tcW w:w="17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3,090</w:t>
            </w:r>
          </w:p>
        </w:tc>
        <w:tc>
          <w:tcPr>
            <w:tcW w:w="74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8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8"/>
              </w:rPr>
              <w:t>2,890</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548</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2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 funds sold &amp; other</w:t>
            </w: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1,907</w:t>
            </w:r>
          </w:p>
        </w:tc>
        <w:tc>
          <w:tcPr>
            <w:tcW w:w="1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1,219</w:t>
            </w:r>
          </w:p>
        </w:tc>
        <w:tc>
          <w:tcPr>
            <w:tcW w:w="16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688</w:t>
            </w: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6"/>
        </w:trPr>
        <w:tc>
          <w:tcPr>
            <w:tcW w:w="1140" w:type="dxa"/>
            <w:vAlign w:val="bottom"/>
          </w:tcPr>
          <w:p>
            <w:pPr>
              <w:spacing w:after="0"/>
              <w:rPr>
                <w:sz w:val="24"/>
                <w:szCs w:val="24"/>
                <w:color w:val="auto"/>
              </w:rPr>
            </w:pPr>
          </w:p>
        </w:tc>
        <w:tc>
          <w:tcPr>
            <w:tcW w:w="25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Earning Assets</w:t>
            </w:r>
          </w:p>
        </w:tc>
        <w:tc>
          <w:tcPr>
            <w:tcW w:w="22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5,542</w:t>
            </w:r>
          </w:p>
        </w:tc>
        <w:tc>
          <w:tcPr>
            <w:tcW w:w="1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1,487</w:t>
            </w: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8"/>
              </w:rPr>
              <w:t>4,055</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-2485390</wp:posOffset>
            </wp:positionV>
            <wp:extent cx="7132320" cy="15430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-2176780</wp:posOffset>
            </wp:positionV>
            <wp:extent cx="7132320" cy="15430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-1859915</wp:posOffset>
            </wp:positionV>
            <wp:extent cx="7132320" cy="17970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11176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11176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wp:posOffset>
            </wp:positionV>
            <wp:extent cx="10287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10287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02" w:lineRule="exact"/>
        <w:rPr>
          <w:sz w:val="20"/>
          <w:szCs w:val="20"/>
          <w:color w:val="auto"/>
        </w:rPr>
      </w:pPr>
    </w:p>
    <w:p>
      <w:pPr>
        <w:jc w:val="both"/>
        <w:ind w:left="760" w:right="60"/>
        <w:spacing w:after="0" w:line="255" w:lineRule="auto"/>
        <w:rPr>
          <w:sz w:val="20"/>
          <w:szCs w:val="20"/>
          <w:color w:val="auto"/>
        </w:rPr>
      </w:pPr>
      <w:r>
        <w:rPr>
          <w:rFonts w:ascii="Times New Roman" w:cs="Times New Roman" w:eastAsia="Times New Roman" w:hAnsi="Times New Roman"/>
          <w:sz w:val="18"/>
          <w:szCs w:val="18"/>
          <w:color w:val="auto"/>
        </w:rPr>
        <w:t>Offsetting a portion of the higher interest income improvement for the quarter was an increase in interest expense in 2024 of $3.6 million or 21.7% compared to third quarter 2023. Since 2023, average interest-bearing deposit balances have increased $170.6 million or 8.4% and the Company recognized $3.6 million more in interest expense for the most recent quarter. During September 2024, the Federal Reserve decreased the federal funds rate by 50 basis points whereas 2023 had four increases to the federal funds rate of 25 basis points in February, March, May and July. Deposit rates have been adjusted numerous times with all the rate changes. The following charts demonstrate increased average interest-bearing deposit balances accounted for 26.4% of the increased interest-bearing deposit expense while rate increases accounted for the remaining 73.6%.</w:t>
      </w:r>
    </w:p>
    <w:p>
      <w:pPr>
        <w:spacing w:after="0" w:line="148" w:lineRule="exact"/>
        <w:rPr>
          <w:sz w:val="20"/>
          <w:szCs w:val="20"/>
          <w:color w:val="auto"/>
        </w:rPr>
      </w:pPr>
    </w:p>
    <w:p>
      <w:pPr>
        <w:jc w:val="both"/>
        <w:ind w:left="760" w:right="60"/>
        <w:spacing w:after="0" w:line="254" w:lineRule="auto"/>
        <w:rPr>
          <w:sz w:val="20"/>
          <w:szCs w:val="20"/>
          <w:color w:val="auto"/>
        </w:rPr>
      </w:pPr>
      <w:r>
        <w:rPr>
          <w:rFonts w:ascii="Times New Roman" w:cs="Times New Roman" w:eastAsia="Times New Roman" w:hAnsi="Times New Roman"/>
          <w:sz w:val="18"/>
          <w:szCs w:val="18"/>
          <w:color w:val="auto"/>
        </w:rPr>
        <w:t>Interest expense on FHLB borrowings and other borrowings increased $63 thousand in the third quarter 2024 over the same time frame in 2023 due to new FHLB borrowings in 2023 used to fund loan growth. During the current quarter, FHLB borrowings of $3.0 million were paid off. Interest expense on fed funds purchased and securities sold under agreement to repurchase decreased $72 thousand compared to third quarter 2023 due to the decrease of $6.6 million in average balances. Another factor in the increased cost of funds is the change in the mix of funding. Growth has occurred in interest bearing deposit balances offset by decreased borrowings while noninterest bearing deposits balances decreased $17.6 million compared to third quarter 2023. The Bank continues to focus on capturing the full customer relationship; however, it has resulted in more expensive deposits being brought in. The average cost of funds increased to 3.21% in third quarter 2024 compared to 2.82% in third quarter 2023. Refer to Note 11 for additional information on subordinated notes.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80" w:type="dxa"/>
            <w:vAlign w:val="bottom"/>
            <w:gridSpan w:val="5"/>
          </w:tcPr>
          <w:p>
            <w:pPr>
              <w:jc w:val="right"/>
              <w:ind w:right="350"/>
              <w:spacing w:after="0"/>
              <w:rPr>
                <w:sz w:val="20"/>
                <w:szCs w:val="20"/>
                <w:color w:val="auto"/>
              </w:rPr>
            </w:pPr>
            <w:r>
              <w:rPr>
                <w:rFonts w:ascii="Times New Roman" w:cs="Times New Roman" w:eastAsia="Times New Roman" w:hAnsi="Times New Roman"/>
                <w:sz w:val="18"/>
                <w:szCs w:val="18"/>
                <w:color w:val="auto"/>
              </w:rPr>
              <w:t>Quarter to Date Ended September 30, 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color w:val="auto"/>
              </w:rPr>
              <w:t>Annualized Yield/Rate</w:t>
            </w:r>
          </w:p>
        </w:tc>
      </w:tr>
      <w:tr>
        <w:trPr>
          <w:trHeight w:val="23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22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September 30, 2023</w:t>
            </w:r>
          </w:p>
        </w:tc>
        <w:tc>
          <w:tcPr>
            <w:tcW w:w="160" w:type="dxa"/>
            <w:vAlign w:val="bottom"/>
            <w:gridSpan w:val="2"/>
          </w:tcPr>
          <w:p>
            <w:pPr>
              <w:spacing w:after="0"/>
              <w:rPr>
                <w:sz w:val="20"/>
                <w:szCs w:val="20"/>
                <w:color w:val="auto"/>
              </w:rPr>
            </w:pPr>
          </w:p>
        </w:tc>
      </w:t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deposits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1,538,387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10,691</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2.78 %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2.24 %</w:t>
            </w:r>
          </w:p>
        </w:tc>
      </w:tr>
      <w:tr>
        <w:trPr>
          <w:trHeight w:val="23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time deposits</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667,224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3.75 %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3.38 %</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borrowed money</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264,539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4.24 %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4.11 %</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 funds purchased &amp; securities</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3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4.03 %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4.09 %</w:t>
            </w:r>
          </w:p>
        </w:tc>
      </w:tr>
      <w:tr>
        <w:trPr>
          <w:trHeight w:val="257"/>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w:t>
            </w:r>
          </w:p>
        </w:tc>
        <w:tc>
          <w:tcPr>
            <w:tcW w:w="2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3.27 %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3.28 %</w:t>
            </w:r>
          </w:p>
        </w:tc>
      </w:tr>
      <w:tr>
        <w:trPr>
          <w:trHeight w:val="23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2,532,400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20,312</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3.21 %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0"/>
        </w:trPr>
        <w:tc>
          <w:tcPr>
            <w:tcW w:w="3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-1953895</wp:posOffset>
            </wp:positionV>
            <wp:extent cx="7132320" cy="15430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5430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15430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-1019175</wp:posOffset>
            </wp:positionV>
            <wp:extent cx="7132320" cy="18034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161" w:right="279" w:bottom="1014"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u w:val="single" w:color="auto"/>
          <w:color w:val="auto"/>
        </w:rPr>
        <w:t>Change in Interest Expense Quarter to Date September 30, 2024 Compared to September 30, 2023</w:t>
      </w:r>
    </w:p>
    <w:p>
      <w:pPr>
        <w:spacing w:after="0" w:line="239" w:lineRule="exact"/>
        <w:rPr>
          <w:sz w:val="20"/>
          <w:szCs w:val="20"/>
          <w:color w:val="auto"/>
        </w:rPr>
      </w:pPr>
    </w:p>
    <w:tbl>
      <w:tblPr>
        <w:tblLayout w:type="fixed"/>
        <w:tblInd w:w="380" w:type="dxa"/>
        <w:tblCellMar>
          <w:top w:w="0" w:type="dxa"/>
          <w:left w:w="0" w:type="dxa"/>
          <w:bottom w:w="0" w:type="dxa"/>
          <w:right w:w="0" w:type="dxa"/>
        </w:tblCellMar>
      </w:tblPr>
      <w:tr>
        <w:trPr>
          <w:trHeight w:val="241"/>
        </w:trPr>
        <w:tc>
          <w:tcPr>
            <w:tcW w:w="5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1"/>
        </w:trPr>
        <w:tc>
          <w:tcPr>
            <w:tcW w:w="5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top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8"/>
              </w:rPr>
              <w:t>Change Due</w:t>
            </w:r>
          </w:p>
        </w:tc>
        <w:tc>
          <w:tcPr>
            <w:tcW w:w="120" w:type="dxa"/>
            <w:vAlign w:val="bottom"/>
          </w:tcPr>
          <w:p>
            <w:pPr>
              <w:spacing w:after="0"/>
              <w:rPr>
                <w:sz w:val="18"/>
                <w:szCs w:val="18"/>
                <w:color w:val="auto"/>
              </w:rPr>
            </w:pPr>
          </w:p>
        </w:tc>
        <w:tc>
          <w:tcPr>
            <w:tcW w:w="112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Change Due</w:t>
            </w:r>
          </w:p>
        </w:tc>
      </w:tr>
      <w:tr>
        <w:trPr>
          <w:trHeight w:val="248"/>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11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Total Change</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6"/>
              </w:rPr>
              <w:t>to Volume</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to Rate</w:t>
            </w:r>
          </w:p>
        </w:tc>
      </w:tr>
      <w:tr>
        <w:trPr>
          <w:trHeight w:val="23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3,018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2,057</w:t>
            </w: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time deposits</w:t>
            </w:r>
          </w:p>
        </w:tc>
        <w:tc>
          <w:tcPr>
            <w:tcW w:w="3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w:t>
            </w:r>
          </w:p>
        </w:tc>
      </w:tr>
      <w:tr>
        <w:trPr>
          <w:trHeight w:val="24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Fed funds purchased &amp; securities</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7"/>
        </w:trPr>
        <w:tc>
          <w:tcPr>
            <w:tcW w:w="5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77"/>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3,615</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-25400</wp:posOffset>
            </wp:positionV>
            <wp:extent cx="8572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4331335</wp:posOffset>
            </wp:positionH>
            <wp:positionV relativeFrom="paragraph">
              <wp:posOffset>-7620</wp:posOffset>
            </wp:positionV>
            <wp:extent cx="8572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5154295</wp:posOffset>
            </wp:positionH>
            <wp:positionV relativeFrom="paragraph">
              <wp:posOffset>-25400</wp:posOffset>
            </wp:positionV>
            <wp:extent cx="7747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5154295</wp:posOffset>
            </wp:positionH>
            <wp:positionV relativeFrom="paragraph">
              <wp:posOffset>-7620</wp:posOffset>
            </wp:positionV>
            <wp:extent cx="7747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Overall, net interest spread for the third quarter 2024 was 9 basis points higher than same period last year. As the following chart indicates, the improvement in yields on interest earning assets of 48 basis points offset the increased cost of funds of 39 basis points when comparing to the same period a year ago. Competition for deposits remains intense with most competitors offering special rates for specific terms.</w:t>
      </w:r>
    </w:p>
    <w:p>
      <w:pPr>
        <w:spacing w:after="0" w:line="189"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September 30,</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September 30,</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41"/>
        </w:trPr>
        <w:tc>
          <w:tcPr>
            <w:tcW w:w="524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Interest/Dividend income/yield</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5.27 %</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4.79 %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Expense/cost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3.21 %</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0.68 %</w:t>
            </w:r>
          </w:p>
        </w:tc>
        <w:tc>
          <w:tcPr>
            <w:tcW w:w="0" w:type="dxa"/>
            <w:vAlign w:val="bottom"/>
          </w:tcPr>
          <w:p>
            <w:pPr>
              <w:spacing w:after="0"/>
              <w:rPr>
                <w:sz w:val="1"/>
                <w:szCs w:val="1"/>
                <w:color w:val="auto"/>
              </w:rPr>
            </w:pPr>
          </w:p>
        </w:tc>
      </w:tr>
      <w:tr>
        <w:trPr>
          <w:trHeight w:val="27"/>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vMerge w:val="continue"/>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2.06 %</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40" w:type="dxa"/>
            <w:vAlign w:val="bottom"/>
            <w:vMerge w:val="continue"/>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2.71 %</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-676275</wp:posOffset>
            </wp:positionV>
            <wp:extent cx="5700395" cy="15430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-359410</wp:posOffset>
            </wp:positionV>
            <wp:extent cx="5700395" cy="17970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income increased approximately $1.9 million for the third quarter 2024 over the same time frame in 2023 with the increase in interest income of $5.5 million offset by the interest expense increase of $3.6 million as previously mentioned. As the new loans added in 2023 and 2024 generate more income, management expects the benefits of the Company’s strategy of repositioning the balance sheet to increase interest income in the long run. Loans as a percentage of earning assets decreased to 80.1% in third quarter 2024 compared to 83.4% in third quarter 2023. Loans to total assets decreased to 76.1% in third quarter 2024 compared to 78.8% for the same period 2023. The percentage of earning assets to total assets increased to 95.0% in 2024 compared to 94.4% in 2023. In terms of net interest margin, the Bank recognizes competition for deposits will continue; however, there is a greater opportunity for gradual improvement with loans repricing upwards in the next year and a likely continuing slight decrease in cost of funds.</w:t>
      </w:r>
    </w:p>
    <w:p>
      <w:pPr>
        <w:spacing w:after="0" w:line="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20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Noninterest Results of Operations for three month periods ended September 30, 2024 and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Expense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Allowance for Credit Losses (ACL) has a direct impact on the provision expense. The increase in the ACL is funded through recoveries and provision expense. The following tables both deal with the allowance for credit losses. The first table breaks down the activity within ACL for each loan portfolio class and shows the contribution provided by both the recoveries and the provision along with the reduction of the allowance caused by charge-offs. The second table discloses how much of the ACL is attributed to each class of the loan portfolio, as well as the percent that each particular class of the loan portfolio represents to the entire loan portfolio in the aggregate. The commercial and industrial loan portfolio along with the consumer loan portfolio accounted for the largest component of recoveries while the consumer loan portfolio accounted for the largest component of charge-offs for the three months ended September 30, 2024 versus the consumer loan portfolio and consumer real estate loan portfolio accounted for the largest component of recoveries and the consumer loan portfolio accounted for the largest component of charge-offs for the three months ended September 30, 2023.</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provision for credit losses decreased $178 thousand for the three months ended September 30, 2024 as compared to the same period in 2023. Management continues to monitor asset quality, making adjustments to the provision as necessary. The impact of higher interest rates and inflation are taken into consideration when reviewing qualitative factors. Loan charge-offs were $25 thousand lower during the three months ended September 30, 2024 than the same period in 2023. Recoveries were unchanged at $55 thousand during the three months ended September 30, 2024 as compared to same period in 2023. Combined net charge-offs were $25 thousand lower in the three months ended September 30, 2024 than the same time period 2023.</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past due 30 or more days decreased $4.3 million at September 30, 2024 as compared to September 30, 2023. The largest changes were attributed to the combined decrease of past due balances of $4.2 million in the agricultural loan portfolio and agricultural real estate loan portfolio. The consumer real estate loan portfolio past due balances increased $1.1 million for the same time period.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breaks down the activity within the ACL for each loan portfolio class and shows the contribution provided by both recoveries and the provision, along with the reduction of the allowance caused by charge-offs. The time period covered is for the three months ended September 30, 2024, 2023, and 2022.</w:t>
      </w:r>
    </w:p>
    <w:p>
      <w:pPr>
        <w:spacing w:after="0" w:line="200" w:lineRule="exact"/>
        <w:rPr>
          <w:sz w:val="20"/>
          <w:szCs w:val="20"/>
          <w:color w:val="auto"/>
        </w:rPr>
      </w:pPr>
    </w:p>
    <w:p>
      <w:pPr>
        <w:spacing w:after="0" w:line="30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41"/>
        </w:trPr>
        <w:tc>
          <w:tcPr>
            <w:tcW w:w="4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Pr>
          <w:p>
            <w:pPr>
              <w:spacing w:after="0"/>
              <w:rPr>
                <w:sz w:val="18"/>
                <w:szCs w:val="18"/>
                <w:color w:val="auto"/>
              </w:rPr>
            </w:pPr>
          </w:p>
        </w:tc>
        <w:tc>
          <w:tcPr>
            <w:tcW w:w="20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Pr>
          <w:p>
            <w:pPr>
              <w:spacing w:after="0"/>
              <w:rPr>
                <w:sz w:val="18"/>
                <w:szCs w:val="18"/>
                <w:color w:val="auto"/>
              </w:rPr>
            </w:pP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September 30, 2024</w:t>
            </w:r>
          </w:p>
        </w:tc>
        <w:tc>
          <w:tcPr>
            <w:tcW w:w="160" w:type="dxa"/>
            <w:vAlign w:val="bottom"/>
          </w:tcPr>
          <w:p>
            <w:pPr>
              <w:spacing w:after="0"/>
              <w:rPr>
                <w:sz w:val="20"/>
                <w:szCs w:val="20"/>
                <w:color w:val="auto"/>
              </w:rPr>
            </w:pPr>
          </w:p>
        </w:tc>
        <w:tc>
          <w:tcPr>
            <w:tcW w:w="20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September 30, 2023</w:t>
            </w:r>
          </w:p>
        </w:tc>
        <w:tc>
          <w:tcPr>
            <w:tcW w:w="160" w:type="dxa"/>
            <w:vAlign w:val="bottom"/>
          </w:tcPr>
          <w:p>
            <w:pPr>
              <w:spacing w:after="0"/>
              <w:rPr>
                <w:sz w:val="20"/>
                <w:szCs w:val="20"/>
                <w:color w:val="auto"/>
              </w:rPr>
            </w:pPr>
          </w:p>
        </w:tc>
        <w:tc>
          <w:tcPr>
            <w:tcW w:w="19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September 30, 2022</w:t>
            </w:r>
          </w:p>
        </w:tc>
        <w:tc>
          <w:tcPr>
            <w:tcW w:w="0" w:type="dxa"/>
            <w:vAlign w:val="bottom"/>
          </w:tcPr>
          <w:p>
            <w:pPr>
              <w:spacing w:after="0"/>
              <w:rPr>
                <w:sz w:val="1"/>
                <w:szCs w:val="1"/>
                <w:color w:val="auto"/>
              </w:rPr>
            </w:pPr>
          </w:p>
        </w:tc>
      </w:tr>
      <w:tr>
        <w:trPr>
          <w:trHeight w:val="283"/>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Loans, net of deferred fees and costs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2,535,291</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2,529,606</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2,142,616</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Daily average of outstanding loans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2,550,297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2,536,885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2,082,486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22,447</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loans*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 July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Loans Charged off:</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Agriculture Real Estate</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Loan Recoveries:</w:t>
            </w:r>
          </w:p>
        </w:tc>
        <w:tc>
          <w:tcPr>
            <w:tcW w:w="160" w:type="dxa"/>
            <w:vAlign w:val="bottom"/>
            <w:shd w:val="clear" w:color="auto" w:fill="CFF0FC"/>
          </w:tcPr>
          <w:p>
            <w:pPr>
              <w:spacing w:after="0"/>
              <w:rPr>
                <w:sz w:val="20"/>
                <w:szCs w:val="20"/>
                <w:color w:val="auto"/>
              </w:rPr>
            </w:pPr>
          </w:p>
        </w:tc>
        <w:tc>
          <w:tcPr>
            <w:tcW w:w="1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Agriculture Real Estate</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Charge Offs (Recoveries):</w:t>
            </w:r>
          </w:p>
        </w:tc>
        <w:tc>
          <w:tcPr>
            <w:tcW w:w="160" w:type="dxa"/>
            <w:vAlign w:val="bottom"/>
            <w:shd w:val="clear" w:color="auto" w:fill="CFF0FC"/>
          </w:tcPr>
          <w:p>
            <w:pPr>
              <w:spacing w:after="0"/>
              <w:rPr>
                <w:sz w:val="20"/>
                <w:szCs w:val="20"/>
                <w:color w:val="auto"/>
              </w:rPr>
            </w:pPr>
          </w:p>
        </w:tc>
        <w:tc>
          <w:tcPr>
            <w:tcW w:w="1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tcPr>
          <w:p>
            <w:pPr>
              <w:spacing w:after="0"/>
              <w:rPr>
                <w:sz w:val="20"/>
                <w:szCs w:val="20"/>
                <w:color w:val="auto"/>
              </w:rPr>
            </w:pP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Agriculture Real Estate</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spacing w:after="0"/>
              <w:rPr>
                <w:sz w:val="20"/>
                <w:szCs w:val="20"/>
                <w:color w:val="auto"/>
              </w:rPr>
            </w:pP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 - September 30,</w:t>
            </w:r>
          </w:p>
        </w:tc>
        <w:tc>
          <w:tcPr>
            <w:tcW w:w="160" w:type="dxa"/>
            <w:vAlign w:val="bottom"/>
            <w:shd w:val="clear" w:color="auto" w:fill="CFF0FC"/>
          </w:tcPr>
          <w:p>
            <w:pPr>
              <w:spacing w:after="0"/>
              <w:rPr>
                <w:sz w:val="20"/>
                <w:szCs w:val="20"/>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25,277</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Unfunded Loan Commitments</w:t>
            </w:r>
          </w:p>
        </w:tc>
        <w:tc>
          <w:tcPr>
            <w:tcW w:w="160" w:type="dxa"/>
            <w:vAlign w:val="bottom"/>
          </w:tcPr>
          <w:p>
            <w:pPr>
              <w:spacing w:after="0"/>
              <w:rPr>
                <w:sz w:val="18"/>
                <w:szCs w:val="18"/>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&amp; Letters of Credit - September 30,</w:t>
            </w: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Allowance for Credit Losses - September 30,</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27,145</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21,108</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Net Charge-offs to Average Outstanding Loans</w:t>
            </w:r>
          </w:p>
        </w:tc>
        <w:tc>
          <w:tcPr>
            <w:tcW w:w="160" w:type="dxa"/>
            <w:vAlign w:val="bottom"/>
          </w:tcPr>
          <w:p>
            <w:pPr>
              <w:spacing w:after="0"/>
              <w:rPr>
                <w:sz w:val="19"/>
                <w:szCs w:val="19"/>
                <w:color w:val="auto"/>
              </w:rPr>
            </w:pPr>
          </w:p>
        </w:tc>
        <w:tc>
          <w:tcPr>
            <w:tcW w:w="2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0.00 %</w:t>
            </w:r>
          </w:p>
        </w:tc>
        <w:tc>
          <w:tcPr>
            <w:tcW w:w="160" w:type="dxa"/>
            <w:vAlign w:val="bottom"/>
          </w:tcPr>
          <w:p>
            <w:pPr>
              <w:spacing w:after="0"/>
              <w:rPr>
                <w:sz w:val="19"/>
                <w:szCs w:val="19"/>
                <w:color w:val="auto"/>
              </w:rPr>
            </w:pPr>
          </w:p>
        </w:tc>
        <w:tc>
          <w:tcPr>
            <w:tcW w:w="2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0.00 %</w:t>
            </w:r>
          </w:p>
        </w:tc>
        <w:tc>
          <w:tcPr>
            <w:tcW w:w="16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Nonaccrual Loans to Loans</w:t>
            </w:r>
          </w:p>
        </w:tc>
        <w:tc>
          <w:tcPr>
            <w:tcW w:w="160" w:type="dxa"/>
            <w:vAlign w:val="bottom"/>
          </w:tcPr>
          <w:p>
            <w:pPr>
              <w:spacing w:after="0"/>
              <w:rPr>
                <w:sz w:val="19"/>
                <w:szCs w:val="19"/>
                <w:color w:val="auto"/>
              </w:rPr>
            </w:pPr>
          </w:p>
        </w:tc>
        <w:tc>
          <w:tcPr>
            <w:tcW w:w="2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0.11 %</w:t>
            </w:r>
          </w:p>
        </w:tc>
        <w:tc>
          <w:tcPr>
            <w:tcW w:w="160" w:type="dxa"/>
            <w:vAlign w:val="bottom"/>
          </w:tcPr>
          <w:p>
            <w:pPr>
              <w:spacing w:after="0"/>
              <w:rPr>
                <w:sz w:val="19"/>
                <w:szCs w:val="19"/>
                <w:color w:val="auto"/>
              </w:rPr>
            </w:pPr>
          </w:p>
        </w:tc>
        <w:tc>
          <w:tcPr>
            <w:tcW w:w="2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0.89 %</w:t>
            </w:r>
          </w:p>
        </w:tc>
        <w:tc>
          <w:tcPr>
            <w:tcW w:w="16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0.26 %</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Ratio of the Allowance for Credit Losses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1.01 %</w:t>
            </w:r>
          </w:p>
        </w:tc>
        <w:tc>
          <w:tcPr>
            <w:tcW w:w="160" w:type="dxa"/>
            <w:vAlign w:val="bottom"/>
          </w:tcPr>
          <w:p>
            <w:pPr>
              <w:spacing w:after="0"/>
              <w:rPr>
                <w:sz w:val="16"/>
                <w:szCs w:val="16"/>
                <w:color w:val="auto"/>
              </w:rPr>
            </w:pPr>
          </w:p>
        </w:tc>
        <w:tc>
          <w:tcPr>
            <w:tcW w:w="20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16"/>
                <w:szCs w:val="16"/>
                <w:color w:val="auto"/>
              </w:rPr>
            </w:pPr>
          </w:p>
        </w:tc>
        <w:tc>
          <w:tcPr>
            <w:tcW w:w="1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0.93 %</w:t>
            </w:r>
          </w:p>
        </w:tc>
        <w:tc>
          <w:tcPr>
            <w:tcW w:w="0" w:type="dxa"/>
            <w:vAlign w:val="bottom"/>
          </w:tcPr>
          <w:p>
            <w:pPr>
              <w:spacing w:after="0"/>
              <w:rPr>
                <w:sz w:val="1"/>
                <w:szCs w:val="1"/>
                <w:color w:val="auto"/>
              </w:rPr>
            </w:pPr>
          </w:p>
        </w:tc>
      </w:tr>
      <w:tr>
        <w:trPr>
          <w:trHeight w:val="207"/>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Loans</w:t>
            </w:r>
          </w:p>
        </w:tc>
        <w:tc>
          <w:tcPr>
            <w:tcW w:w="16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879.37 %</w:t>
            </w:r>
          </w:p>
        </w:tc>
        <w:tc>
          <w:tcPr>
            <w:tcW w:w="160" w:type="dxa"/>
            <w:vAlign w:val="bottom"/>
          </w:tcPr>
          <w:p>
            <w:pPr>
              <w:spacing w:after="0"/>
              <w:rPr>
                <w:sz w:val="16"/>
                <w:szCs w:val="16"/>
                <w:color w:val="auto"/>
              </w:rPr>
            </w:pPr>
          </w:p>
        </w:tc>
        <w:tc>
          <w:tcPr>
            <w:tcW w:w="20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112.61 %</w:t>
            </w:r>
          </w:p>
        </w:tc>
        <w:tc>
          <w:tcPr>
            <w:tcW w:w="160" w:type="dxa"/>
            <w:vAlign w:val="bottom"/>
          </w:tcPr>
          <w:p>
            <w:pPr>
              <w:spacing w:after="0"/>
              <w:rPr>
                <w:sz w:val="16"/>
                <w:szCs w:val="16"/>
                <w:color w:val="auto"/>
              </w:rPr>
            </w:pPr>
          </w:p>
        </w:tc>
        <w:tc>
          <w:tcPr>
            <w:tcW w:w="1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365.44 %</w:t>
            </w:r>
          </w:p>
        </w:tc>
        <w:tc>
          <w:tcPr>
            <w:tcW w:w="0" w:type="dxa"/>
            <w:vAlign w:val="bottom"/>
          </w:tcPr>
          <w:p>
            <w:pPr>
              <w:spacing w:after="0"/>
              <w:rPr>
                <w:sz w:val="1"/>
                <w:szCs w:val="1"/>
                <w:color w:val="auto"/>
              </w:rPr>
            </w:pPr>
          </w:p>
        </w:tc>
      </w:tr>
      <w:tr>
        <w:trPr>
          <w:trHeight w:val="207"/>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Nonaccrual Loans</w:t>
            </w:r>
          </w:p>
        </w:tc>
        <w:tc>
          <w:tcPr>
            <w:tcW w:w="16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879.37 %</w:t>
            </w:r>
          </w:p>
        </w:tc>
        <w:tc>
          <w:tcPr>
            <w:tcW w:w="160" w:type="dxa"/>
            <w:vAlign w:val="bottom"/>
          </w:tcPr>
          <w:p>
            <w:pPr>
              <w:spacing w:after="0"/>
              <w:rPr>
                <w:sz w:val="16"/>
                <w:szCs w:val="16"/>
                <w:color w:val="auto"/>
              </w:rPr>
            </w:pPr>
          </w:p>
        </w:tc>
        <w:tc>
          <w:tcPr>
            <w:tcW w:w="20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112.61 %</w:t>
            </w:r>
          </w:p>
        </w:tc>
        <w:tc>
          <w:tcPr>
            <w:tcW w:w="160" w:type="dxa"/>
            <w:vAlign w:val="bottom"/>
          </w:tcPr>
          <w:p>
            <w:pPr>
              <w:spacing w:after="0"/>
              <w:rPr>
                <w:sz w:val="16"/>
                <w:szCs w:val="16"/>
                <w:color w:val="auto"/>
              </w:rPr>
            </w:pPr>
          </w:p>
        </w:tc>
        <w:tc>
          <w:tcPr>
            <w:tcW w:w="1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365.44 %</w:t>
            </w:r>
          </w:p>
        </w:tc>
        <w:tc>
          <w:tcPr>
            <w:tcW w:w="0" w:type="dxa"/>
            <w:vAlign w:val="bottom"/>
          </w:tcPr>
          <w:p>
            <w:pPr>
              <w:spacing w:after="0"/>
              <w:rPr>
                <w:sz w:val="1"/>
                <w:szCs w:val="1"/>
                <w:color w:val="auto"/>
              </w:rPr>
            </w:pPr>
          </w:p>
        </w:tc>
      </w:tr>
      <w:tr>
        <w:trPr>
          <w:trHeight w:val="207"/>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Nonperforming Loans*</w:t>
            </w:r>
          </w:p>
        </w:tc>
        <w:tc>
          <w:tcPr>
            <w:tcW w:w="16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-6642735</wp:posOffset>
            </wp:positionV>
            <wp:extent cx="7683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-6625590</wp:posOffset>
            </wp:positionV>
            <wp:extent cx="76835"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-6642735</wp:posOffset>
            </wp:positionV>
            <wp:extent cx="6858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-6625590</wp:posOffset>
            </wp:positionV>
            <wp:extent cx="6858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-6642735</wp:posOffset>
            </wp:positionV>
            <wp:extent cx="6858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-6625590</wp:posOffset>
            </wp:positionV>
            <wp:extent cx="6858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-6282690</wp:posOffset>
            </wp:positionV>
            <wp:extent cx="76835"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-6265545</wp:posOffset>
            </wp:positionV>
            <wp:extent cx="7683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-6282690</wp:posOffset>
            </wp:positionV>
            <wp:extent cx="6858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-6265545</wp:posOffset>
            </wp:positionV>
            <wp:extent cx="6858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-6282690</wp:posOffset>
            </wp:positionV>
            <wp:extent cx="6858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-6265545</wp:posOffset>
            </wp:positionV>
            <wp:extent cx="6858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-4688205</wp:posOffset>
            </wp:positionV>
            <wp:extent cx="76835"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-4688205</wp:posOffset>
            </wp:positionV>
            <wp:extent cx="6858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-4688205</wp:posOffset>
            </wp:positionV>
            <wp:extent cx="6858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-3436620</wp:posOffset>
            </wp:positionV>
            <wp:extent cx="7683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-3436620</wp:posOffset>
            </wp:positionV>
            <wp:extent cx="6858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-2185035</wp:posOffset>
            </wp:positionV>
            <wp:extent cx="7683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-2185035</wp:posOffset>
            </wp:positionV>
            <wp:extent cx="6858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-2185035</wp:posOffset>
            </wp:positionV>
            <wp:extent cx="6858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-1259205</wp:posOffset>
            </wp:positionV>
            <wp:extent cx="7683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-1242060</wp:posOffset>
            </wp:positionV>
            <wp:extent cx="7683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-1259205</wp:posOffset>
            </wp:positionV>
            <wp:extent cx="6858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-1242060</wp:posOffset>
            </wp:positionV>
            <wp:extent cx="6858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-1242060</wp:posOffset>
            </wp:positionV>
            <wp:extent cx="6858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18034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29146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*Nonperforming loans are defined as all loans on nonaccrual, plus any loans past due 90 days not on nonaccrual.</w:t>
      </w:r>
    </w:p>
    <w:p>
      <w:pPr>
        <w:spacing w:after="0" w:line="185" w:lineRule="exact"/>
        <w:rPr>
          <w:sz w:val="20"/>
          <w:szCs w:val="20"/>
          <w:color w:val="auto"/>
        </w:rPr>
      </w:pPr>
    </w:p>
    <w:p>
      <w:pPr>
        <w:ind w:left="760" w:right="60"/>
        <w:spacing w:after="0" w:line="282" w:lineRule="auto"/>
        <w:rPr>
          <w:sz w:val="20"/>
          <w:szCs w:val="20"/>
          <w:color w:val="auto"/>
        </w:rPr>
      </w:pPr>
      <w:r>
        <w:rPr>
          <w:rFonts w:ascii="Times New Roman" w:cs="Times New Roman" w:eastAsia="Times New Roman" w:hAnsi="Times New Roman"/>
          <w:sz w:val="18"/>
          <w:szCs w:val="18"/>
          <w:color w:val="auto"/>
        </w:rPr>
        <w:t>The balance of loans, net of deferred fees and costs at September 30, 2024 within this chart does not include a fair value basis adjustment for derivatives of $3.0 million or a daily average outstanding balance of $1.6 million.</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ASU 2016-13 was adopted during the first quarter of 2023; therefore, 2022 provision amounts reflect the incurred loss method.</w:t>
      </w:r>
    </w:p>
    <w:p>
      <w:pPr>
        <w:spacing w:after="0" w:line="200" w:lineRule="exact"/>
        <w:rPr>
          <w:sz w:val="20"/>
          <w:szCs w:val="20"/>
          <w:color w:val="auto"/>
        </w:rPr>
      </w:pPr>
    </w:p>
    <w:p>
      <w:pPr>
        <w:spacing w:after="0" w:line="376" w:lineRule="exact"/>
        <w:rPr>
          <w:sz w:val="20"/>
          <w:szCs w:val="20"/>
          <w:color w:val="auto"/>
        </w:rPr>
      </w:pPr>
    </w:p>
    <w:p>
      <w:pPr>
        <w:ind w:left="760" w:right="80"/>
        <w:spacing w:after="0" w:line="282" w:lineRule="auto"/>
        <w:rPr>
          <w:sz w:val="20"/>
          <w:szCs w:val="20"/>
          <w:color w:val="auto"/>
        </w:rPr>
      </w:pPr>
      <w:r>
        <w:rPr>
          <w:rFonts w:ascii="Times New Roman" w:cs="Times New Roman" w:eastAsia="Times New Roman" w:hAnsi="Times New Roman"/>
          <w:sz w:val="18"/>
          <w:szCs w:val="18"/>
          <w:color w:val="auto"/>
        </w:rPr>
        <w:t>Loans classified as nonaccrual were lower as of September 30, 2024 at $2.9 million as compared to $22.4 million as of September 30, 2023. The agricultural real estate loan portfolio accounted for 80.9% or $15.8 million of the decrease as</w:t>
      </w:r>
    </w:p>
    <w:p>
      <w:pPr>
        <w:spacing w:after="0" w:line="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99" w:right="279" w:bottom="1095" w:gutter="0" w:footer="0" w:header="0"/>
        </w:sectPr>
      </w:pPr>
    </w:p>
    <w:bookmarkStart w:id="66" w:name="page67"/>
    <w:bookmarkEnd w:id="66"/>
    <w:p>
      <w:pPr>
        <w:jc w:val="both"/>
        <w:ind w:left="760" w:right="60"/>
        <w:spacing w:after="0" w:line="266" w:lineRule="auto"/>
        <w:rPr>
          <w:sz w:val="20"/>
          <w:szCs w:val="20"/>
          <w:color w:val="auto"/>
        </w:rPr>
      </w:pPr>
      <w:r>
        <w:rPr>
          <w:rFonts w:ascii="Times New Roman" w:cs="Times New Roman" w:eastAsia="Times New Roman" w:hAnsi="Times New Roman"/>
          <w:sz w:val="18"/>
          <w:szCs w:val="18"/>
          <w:color w:val="auto"/>
        </w:rPr>
        <w:t>compared to September 30, 2023. The agricultural loan portfolio decreased $4.6 million compared to September 30, 2023. The commercial and industrial loan portfolio decreased $815 thousand while the consumer real estate loan portfolio increased $1.5 million compared to September 30, 2023.</w:t>
      </w:r>
    </w:p>
    <w:p>
      <w:pPr>
        <w:spacing w:after="0" w:line="149" w:lineRule="exact"/>
        <w:rPr>
          <w:sz w:val="20"/>
          <w:szCs w:val="20"/>
          <w:color w:val="auto"/>
        </w:rPr>
      </w:pPr>
    </w:p>
    <w:p>
      <w:pPr>
        <w:jc w:val="both"/>
        <w:ind w:left="760"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for allowance for credit losses per loan category in terms of dollars, as a percentage of ACL and as a percentage of loans at September 30, 2024 and September 30,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September 30, 2024</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September 30, 2023</w:t>
            </w:r>
          </w:p>
        </w:tc>
        <w:tc>
          <w:tcPr>
            <w:tcW w:w="10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of Loan</w:t>
            </w:r>
          </w:p>
        </w:tc>
        <w:tc>
          <w:tcPr>
            <w:tcW w:w="120" w:type="dxa"/>
            <w:vAlign w:val="bottom"/>
          </w:tcPr>
          <w:p>
            <w:pPr>
              <w:spacing w:after="0"/>
              <w:rPr>
                <w:sz w:val="18"/>
                <w:szCs w:val="18"/>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of Loan</w:t>
            </w:r>
          </w:p>
        </w:tc>
        <w:tc>
          <w:tcPr>
            <w:tcW w:w="0" w:type="dxa"/>
            <w:vAlign w:val="bottom"/>
          </w:tcPr>
          <w:p>
            <w:pPr>
              <w:spacing w:after="0"/>
              <w:rPr>
                <w:sz w:val="1"/>
                <w:szCs w:val="1"/>
                <w:color w:val="auto"/>
              </w:rPr>
            </w:pPr>
          </w:p>
        </w:tc>
      </w:tr>
      <w:tr>
        <w:trPr>
          <w:trHeight w:val="24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 Applicable To:</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Thousands)</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 of ACL</w:t>
            </w:r>
          </w:p>
        </w:tc>
        <w:tc>
          <w:tcPr>
            <w:tcW w:w="11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Category</w:t>
            </w: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Thousands)</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 of ACL</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Category</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4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13.20 %</w:t>
            </w:r>
          </w:p>
        </w:tc>
        <w:tc>
          <w:tcPr>
            <w:tcW w:w="12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20.68 %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14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15.20 %</w:t>
            </w:r>
          </w:p>
        </w:tc>
        <w:tc>
          <w:tcPr>
            <w:tcW w:w="1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20.28 %</w:t>
            </w:r>
          </w:p>
        </w:tc>
        <w:tc>
          <w:tcPr>
            <w:tcW w:w="0" w:type="dxa"/>
            <w:vAlign w:val="bottom"/>
          </w:tcPr>
          <w:p>
            <w:pPr>
              <w:spacing w:after="0"/>
              <w:rPr>
                <w:sz w:val="1"/>
                <w:szCs w:val="1"/>
                <w:color w:val="auto"/>
              </w:rPr>
            </w:pPr>
          </w:p>
        </w:tc>
      </w:tr>
      <w:tr>
        <w:trPr>
          <w:trHeight w:val="238"/>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4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3.68 %</w:t>
            </w: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8.68 %</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1.25 %</w:t>
            </w: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8.91 %</w:t>
            </w:r>
          </w:p>
        </w:tc>
        <w:tc>
          <w:tcPr>
            <w:tcW w:w="0" w:type="dxa"/>
            <w:vAlign w:val="bottom"/>
          </w:tcPr>
          <w:p>
            <w:pPr>
              <w:spacing w:after="0"/>
              <w:rPr>
                <w:sz w:val="1"/>
                <w:szCs w:val="1"/>
                <w:color w:val="auto"/>
              </w:rPr>
            </w:pPr>
          </w:p>
        </w:tc>
      </w:tr>
      <w:tr>
        <w:trPr>
          <w:trHeight w:val="24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1.02 %</w:t>
            </w:r>
          </w:p>
        </w:tc>
        <w:tc>
          <w:tcPr>
            <w:tcW w:w="12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5.43 %</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0.73 %</w:t>
            </w:r>
          </w:p>
        </w:tc>
        <w:tc>
          <w:tcPr>
            <w:tcW w:w="1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0" w:type="dxa"/>
            <w:vAlign w:val="bottom"/>
          </w:tcPr>
          <w:p>
            <w:pPr>
              <w:spacing w:after="0"/>
              <w:rPr>
                <w:sz w:val="1"/>
                <w:szCs w:val="1"/>
                <w:color w:val="auto"/>
              </w:rPr>
            </w:pPr>
          </w:p>
        </w:tc>
      </w:tr>
      <w:tr>
        <w:trPr>
          <w:trHeight w:val="24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16,455</w:t>
            </w:r>
          </w:p>
        </w:tc>
        <w:tc>
          <w:tcPr>
            <w:tcW w:w="14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64.57 %</w:t>
            </w:r>
          </w:p>
        </w:tc>
        <w:tc>
          <w:tcPr>
            <w:tcW w:w="12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52.26 %</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16,805</w:t>
            </w:r>
          </w:p>
        </w:tc>
        <w:tc>
          <w:tcPr>
            <w:tcW w:w="14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66.48 %</w:t>
            </w:r>
          </w:p>
        </w:tc>
        <w:tc>
          <w:tcPr>
            <w:tcW w:w="1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51.46 %</w:t>
            </w:r>
          </w:p>
        </w:tc>
        <w:tc>
          <w:tcPr>
            <w:tcW w:w="0" w:type="dxa"/>
            <w:vAlign w:val="bottom"/>
          </w:tcPr>
          <w:p>
            <w:pPr>
              <w:spacing w:after="0"/>
              <w:rPr>
                <w:sz w:val="1"/>
                <w:szCs w:val="1"/>
                <w:color w:val="auto"/>
              </w:rPr>
            </w:pPr>
          </w:p>
        </w:tc>
      </w:tr>
      <w:tr>
        <w:trPr>
          <w:trHeight w:val="24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4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13.27 %</w:t>
            </w:r>
          </w:p>
        </w:tc>
        <w:tc>
          <w:tcPr>
            <w:tcW w:w="12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10.27 %</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4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10.71 %</w:t>
            </w:r>
          </w:p>
        </w:tc>
        <w:tc>
          <w:tcPr>
            <w:tcW w:w="1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11.14 %</w:t>
            </w:r>
          </w:p>
        </w:tc>
        <w:tc>
          <w:tcPr>
            <w:tcW w:w="0" w:type="dxa"/>
            <w:vAlign w:val="bottom"/>
          </w:tcPr>
          <w:p>
            <w:pPr>
              <w:spacing w:after="0"/>
              <w:rPr>
                <w:sz w:val="1"/>
                <w:szCs w:val="1"/>
                <w:color w:val="auto"/>
              </w:rPr>
            </w:pPr>
          </w:p>
        </w:tc>
      </w:tr>
      <w:tr>
        <w:trPr>
          <w:trHeight w:val="257"/>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4.26 %</w:t>
            </w:r>
          </w:p>
        </w:tc>
        <w:tc>
          <w:tcPr>
            <w:tcW w:w="12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2.68 %</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4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5.63 %</w:t>
            </w:r>
          </w:p>
        </w:tc>
        <w:tc>
          <w:tcPr>
            <w:tcW w:w="14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100.00 %</w:t>
            </w:r>
          </w:p>
        </w:tc>
        <w:tc>
          <w:tcPr>
            <w:tcW w:w="1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100.00 %</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25,277</w:t>
            </w:r>
          </w:p>
        </w:tc>
        <w:tc>
          <w:tcPr>
            <w:tcW w:w="14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100.00 %</w:t>
            </w:r>
          </w:p>
        </w:tc>
        <w:tc>
          <w:tcPr>
            <w:tcW w:w="1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52"/>
        </w:trPr>
        <w:tc>
          <w:tcPr>
            <w:tcW w:w="4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Off Balance Sheet Commitments</w:t>
            </w: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04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27,145</w:t>
            </w:r>
          </w:p>
        </w:tc>
        <w:tc>
          <w:tcPr>
            <w:tcW w:w="10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10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-1430655</wp:posOffset>
            </wp:positionV>
            <wp:extent cx="7132320" cy="15430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-1122045</wp:posOffset>
            </wp:positionV>
            <wp:extent cx="7132320" cy="15430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15430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-24765</wp:posOffset>
            </wp:positionV>
            <wp:extent cx="7747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-7620</wp:posOffset>
            </wp:positionV>
            <wp:extent cx="7747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189" w:lineRule="exact"/>
        <w:rPr>
          <w:sz w:val="20"/>
          <w:szCs w:val="20"/>
          <w:color w:val="auto"/>
        </w:rPr>
      </w:pPr>
    </w:p>
    <w:p>
      <w:pPr>
        <w:jc w:val="both"/>
        <w:ind w:left="760" w:right="60"/>
        <w:spacing w:after="0" w:line="258" w:lineRule="auto"/>
        <w:rPr>
          <w:sz w:val="20"/>
          <w:szCs w:val="20"/>
          <w:color w:val="auto"/>
        </w:rPr>
      </w:pPr>
      <w:r>
        <w:rPr>
          <w:rFonts w:ascii="Times New Roman" w:cs="Times New Roman" w:eastAsia="Times New Roman" w:hAnsi="Times New Roman"/>
          <w:sz w:val="18"/>
          <w:szCs w:val="18"/>
          <w:color w:val="auto"/>
        </w:rPr>
        <w:t>Noninterest income was up $296 thousand or 8.1% for the three months ended September 30, 2024 over the same time frame in 2023. Customer service fees increased by $52 thousand as compared to the three months ended September 30, 2023. Mortgage release fees, which are included in customer service fees, increased $74 thousand over the same time period in 2023. Servicing rights income for 1-4 family real estate and agricultural real estate loans increased $208 thousand as compared to the same period in 2023. Miscellaneous customer service charges increased by $22 thousand and bank owned life insurance cash surrender value increased $44 thousand.</w:t>
      </w:r>
    </w:p>
    <w:p>
      <w:pPr>
        <w:spacing w:after="0" w:line="143" w:lineRule="exact"/>
        <w:rPr>
          <w:sz w:val="20"/>
          <w:szCs w:val="20"/>
          <w:color w:val="auto"/>
        </w:rPr>
      </w:pPr>
    </w:p>
    <w:p>
      <w:pPr>
        <w:jc w:val="both"/>
        <w:ind w:left="760" w:right="60"/>
        <w:spacing w:after="0" w:line="258" w:lineRule="auto"/>
        <w:rPr>
          <w:sz w:val="20"/>
          <w:szCs w:val="20"/>
          <w:color w:val="auto"/>
        </w:rPr>
      </w:pPr>
      <w:r>
        <w:rPr>
          <w:rFonts w:ascii="Times New Roman" w:cs="Times New Roman" w:eastAsia="Times New Roman" w:hAnsi="Times New Roman"/>
          <w:sz w:val="18"/>
          <w:szCs w:val="18"/>
          <w:color w:val="auto"/>
        </w:rPr>
        <w:t>The Company has seen relatively flat mortgage production volume due to the heightened borrowing costs and continued lack of housing inventory in many of our markets. The gain on the sale of these loans was $79 thousand lower for the three months ended September 30, 2024 over the same period in 2023. Originations of loans held for sale for the three months ended September 30, 2024 were $13.2 million with proceeds from sale at $13.3 million for 2024 compared to 2023’s activity of $11.4 million in originations and $12.1 million in sales. The mortgages sold were both 1-4 family real estate and agricultural real estate loans originated for sale.</w:t>
      </w:r>
    </w:p>
    <w:p>
      <w:pPr>
        <w:spacing w:after="0" w:line="200" w:lineRule="exact"/>
        <w:rPr>
          <w:sz w:val="20"/>
          <w:szCs w:val="20"/>
          <w:color w:val="auto"/>
        </w:rPr>
      </w:pPr>
    </w:p>
    <w:p>
      <w:pPr>
        <w:spacing w:after="0" w:line="2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61" w:right="279" w:bottom="1440" w:gutter="0" w:footer="0" w:header="0"/>
        </w:sectPr>
      </w:pPr>
    </w:p>
    <w:bookmarkStart w:id="67" w:name="page68"/>
    <w:bookmarkEnd w:id="67"/>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The impact of loan servicing rights, both to income and expense, is shown in the following table which reconciles the value of loan servicing rights. The capitalization runs through noninterest income while the amortization thereof is included in noninterest expense. For the nine months ended September 30, 2024 and 2023, loan servicing rights caused a net $38 thousand in income and $2.1 million in income, respectively. The higher capitalized additions for 2023 are attributed to the initial establishment of $2.2 million of rights related to agricultural real estate loans. Capitalized additions of agricultural real estate loan servicing rights were $216 thousand and approximately $2.3 million for the nine months ended September 30, 2024 and 2023, respectively. Amortization of agricultural real estate loan servicing rights were $191 thousand and $62 thousand for the same time periods, respectively. For 1-4 family real estate loans of 15 years and less, the market value of the loan servicing rights was 1.034% in the third quarter 2024 versus 1.057% in third quarter 2023. For 1-4 family real estate loans over 15 years, the value was 1.266% versus 1.176% for the same periods respectively. At September 30, 2024, the carrying value of certain strata were slightly below the market value thus requiring the establishment of a $2 thousand valuation allowance for 1-4 family real estate and a $47 thousand valuation allowance for agricultural real estate.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(In Thousands)</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4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520" w:type="dxa"/>
            <w:vAlign w:val="bottom"/>
          </w:tcPr>
          <w:p>
            <w:pPr>
              <w:spacing w:after="0"/>
              <w:rPr>
                <w:sz w:val="18"/>
                <w:szCs w:val="18"/>
                <w:color w:val="auto"/>
              </w:rPr>
            </w:pPr>
          </w:p>
        </w:tc>
        <w:tc>
          <w:tcPr>
            <w:tcW w:w="14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September 30,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18"/>
                <w:szCs w:val="18"/>
                <w:color w:val="auto"/>
              </w:rPr>
            </w:pP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September 30,</w:t>
            </w: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8"/>
                <w:szCs w:val="18"/>
                <w:color w:val="auto"/>
              </w:rPr>
            </w:pPr>
          </w:p>
        </w:tc>
      </w:tr>
      <w:tr>
        <w:trPr>
          <w:trHeight w:val="241"/>
        </w:trPr>
        <w:tc>
          <w:tcPr>
            <w:tcW w:w="4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4"/>
              </w:rPr>
              <w:t>2023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0"/>
                <w:szCs w:val="20"/>
                <w:color w:val="auto"/>
              </w:rPr>
            </w:pPr>
          </w:p>
        </w:tc>
        <w:tc>
          <w:tcPr>
            <w:tcW w:w="118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4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shd w:val="clear" w:color="auto" w:fill="CFF0FC"/>
          </w:tcPr>
          <w:p>
            <w:pPr>
              <w:spacing w:after="0"/>
              <w:rPr>
                <w:sz w:val="21"/>
                <w:szCs w:val="21"/>
                <w:color w:val="auto"/>
              </w:rPr>
            </w:pPr>
          </w:p>
        </w:tc>
      </w:tr>
      <w:tr>
        <w:trPr>
          <w:trHeight w:val="23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Additions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Pr>
          <w:p>
            <w:pPr>
              <w:spacing w:after="0"/>
              <w:rPr>
                <w:sz w:val="20"/>
                <w:szCs w:val="20"/>
                <w:color w:val="auto"/>
              </w:rPr>
            </w:pPr>
          </w:p>
        </w:tc>
      </w:tr>
      <w:tr>
        <w:trPr>
          <w:trHeight w:val="24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(177 )</w:t>
            </w:r>
          </w:p>
        </w:tc>
        <w:tc>
          <w:tcPr>
            <w:tcW w:w="4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(105 )</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(532 )</w:t>
            </w:r>
          </w:p>
        </w:tc>
        <w:tc>
          <w:tcPr>
            <w:tcW w:w="6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(426 )</w:t>
            </w:r>
          </w:p>
        </w:tc>
      </w:tr>
      <w:tr>
        <w:trPr>
          <w:trHeight w:val="237"/>
        </w:trPr>
        <w:tc>
          <w:tcPr>
            <w:tcW w:w="4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 September 30,</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26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240" w:type="dxa"/>
            <w:vAlign w:val="bottom"/>
            <w:tcBorders>
              <w:top w:val="single" w:sz="8" w:color="CFF0FC"/>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100" w:type="dxa"/>
            <w:vAlign w:val="bottom"/>
            <w:tcBorders>
              <w:top w:val="single" w:sz="8" w:color="CFF0FC"/>
            </w:tcBorders>
          </w:tcPr>
          <w:p>
            <w:pPr>
              <w:spacing w:after="0"/>
              <w:rPr>
                <w:sz w:val="20"/>
                <w:szCs w:val="20"/>
                <w:color w:val="auto"/>
              </w:rPr>
            </w:pPr>
          </w:p>
        </w:tc>
      </w:tr>
      <w:tr>
        <w:trPr>
          <w:trHeight w:val="24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(49 )</w:t>
            </w:r>
          </w:p>
        </w:tc>
        <w:tc>
          <w:tcPr>
            <w:tcW w:w="4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(49 )</w:t>
            </w:r>
          </w:p>
        </w:tc>
        <w:tc>
          <w:tcPr>
            <w:tcW w:w="6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r>
      <w:tr>
        <w:trPr>
          <w:trHeight w:val="241"/>
        </w:trPr>
        <w:tc>
          <w:tcPr>
            <w:tcW w:w="4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Servicing Rights net, September 30,</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26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240" w:type="dxa"/>
            <w:vAlign w:val="bottom"/>
            <w:tcBorders>
              <w:top w:val="single" w:sz="8" w:color="CFF0FC"/>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00" w:type="dxa"/>
            <w:vAlign w:val="bottom"/>
            <w:tcBorders>
              <w:top w:val="single" w:sz="8" w:color="CFF0FC"/>
            </w:tcBorders>
          </w:tcPr>
          <w:p>
            <w:pPr>
              <w:spacing w:after="0"/>
              <w:rPr>
                <w:sz w:val="20"/>
                <w:szCs w:val="20"/>
                <w:color w:val="auto"/>
              </w:rPr>
            </w:pP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-505460</wp:posOffset>
            </wp:positionV>
            <wp:extent cx="6858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-505460</wp:posOffset>
            </wp:positionV>
            <wp:extent cx="6032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-505460</wp:posOffset>
            </wp:positionV>
            <wp:extent cx="5969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-505460</wp:posOffset>
            </wp:positionV>
            <wp:extent cx="6032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-187960</wp:posOffset>
            </wp:positionV>
            <wp:extent cx="6858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-187960</wp:posOffset>
            </wp:positionV>
            <wp:extent cx="6032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-187960</wp:posOffset>
            </wp:positionV>
            <wp:extent cx="5969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6032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202"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2024, noninterest expenses were $381 thousand or 2.2% higher than for the same period in 2023. Salaries and wages (includes normal merit increases, restricted stock expense and incentive payout) increased $936 thousand in total. This was comprised of an increase to our incentive accrual to match potential payout which accounted for $939 thousand. The increase was due to the investment in people for our strategic growth initiative and staffing of new offices. Benefits increased over 2023 with the increased medical expense of $111 thousand and taxes of $46 thousand offset with reductions in pension of $95 thousand. The additional cost of the offices is also evident in the increased expenses in net occupancy with additional lease expense of $82 thousand and building depreciation of $166 thousand offset with reduced general insurance expense of $50 thousand. Furniture and equipment increased with additional maintenance contract expense of $274 thousand.</w:t>
      </w:r>
    </w:p>
    <w:p>
      <w:pPr>
        <w:spacing w:after="0" w:line="151"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Data processing expenses and ATM expense decreased a combined $669 thousand as a result of the new 60 month contract signed in December 2023. General and administrative expense decreased $191 thousand. The other items on this line of significance include the reduction in postage and printing expenses of $118 thousand combined and debit card losses of $44 thousand.</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jc w:val="both"/>
        <w:ind w:left="180"/>
        <w:spacing w:after="0" w:line="261" w:lineRule="auto"/>
        <w:rPr>
          <w:sz w:val="20"/>
          <w:szCs w:val="20"/>
          <w:color w:val="auto"/>
        </w:rPr>
      </w:pPr>
      <w:r>
        <w:rPr>
          <w:rFonts w:ascii="Times New Roman" w:cs="Times New Roman" w:eastAsia="Times New Roman" w:hAnsi="Times New Roman"/>
          <w:sz w:val="18"/>
          <w:szCs w:val="18"/>
          <w:color w:val="auto"/>
        </w:rPr>
        <w:t>Income tax expense was $472 thousand higher for the three months ended September 30, 2024 compared to the same period in 2023 based mainly on higher earnings. 2024 included an additional $111 thousand of income tax expense related to the adoption of ASU 2023-02 LIHTC as presented in Note 8 and Note 12. Effective tax rates were 19.64% and 19.01% for 2024 and 2023, respectively. Excluding the additional $111 thousand of income tax expense, the effective tax rate would have been 18.28%.</w:t>
      </w:r>
    </w:p>
    <w:p>
      <w:pPr>
        <w:spacing w:after="0" w:line="1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89"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Results overall, net income in the three months ended September 30, 2024 was up $1.7 million or 36.4% to $6.5 million as compared to last year's $4.8 million. Net interest income was up $1.9 million or 9.8% as the increased interest income exceeded the increased interest expense. Provision for credit losses for loans and unfunded commitments decreased $369 thousand compared to 2023. Noninterest income increased $296 thousand and noninterest expense increased $381 thousand as described above. The Company remains strong, stable, and well capitalized and has the capacity to continue to cover the increased costs of expansion.</w:t>
      </w:r>
    </w:p>
    <w:p>
      <w:pPr>
        <w:spacing w:after="0" w:line="200" w:lineRule="exact"/>
        <w:rPr>
          <w:sz w:val="20"/>
          <w:szCs w:val="20"/>
          <w:color w:val="auto"/>
        </w:rPr>
      </w:pPr>
    </w:p>
    <w:p>
      <w:pPr>
        <w:spacing w:after="0" w:line="28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16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Results of Interest Earnings and Expenses for nine month periods ended September 30, 2024 and 2023</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89" w:lineRule="exact"/>
        <w:rPr>
          <w:sz w:val="20"/>
          <w:szCs w:val="20"/>
          <w:color w:val="auto"/>
        </w:rPr>
      </w:pPr>
    </w:p>
    <w:p>
      <w:pPr>
        <w:jc w:val="both"/>
        <w:ind w:left="760" w:right="60"/>
        <w:spacing w:after="0" w:line="254" w:lineRule="auto"/>
        <w:rPr>
          <w:sz w:val="20"/>
          <w:szCs w:val="20"/>
          <w:color w:val="auto"/>
        </w:rPr>
      </w:pPr>
      <w:r>
        <w:rPr>
          <w:rFonts w:ascii="Times New Roman" w:cs="Times New Roman" w:eastAsia="Times New Roman" w:hAnsi="Times New Roman"/>
          <w:sz w:val="18"/>
          <w:szCs w:val="18"/>
          <w:color w:val="auto"/>
        </w:rPr>
        <w:t>When comparing the nine months ended September 30, 2024 and September 30, 2023, average loan balances grew $91.0 million which represented a 3.7% increase in a one-year time period. Interest income on loan balances increased $13.8 million or 14.6% as compared to the nine months ended September 30, 2023. During second quarter 2024, the Company recognized loan interest income of slightly more than $1.0 million related to the payoff of one nonaccrual relationship of which approximately $379 thousand was earned in 2024. In third quarter 2023, the Company reversed loan interest income from one relationship in the amount of approximately $492 thousand of which approximately $324 thousand was previously recognized in prior periods. Third quarter 2023 also included loan income of $594 thousand from the recovery of two acquired relationships that had been fully charged off prior to acquisition. The Company reversed previously recognized loan interest income from one relationship in the amount of approximately $463 thousand in second quarter 2023. The Company's loan portfolio is 34.5% variable with 19.5% of total loans repricing during the remainder of 2024 and 29% of total loans subject to repricing within the next twelve months.</w:t>
      </w:r>
    </w:p>
    <w:p>
      <w:pPr>
        <w:spacing w:after="0" w:line="148" w:lineRule="exact"/>
        <w:rPr>
          <w:sz w:val="20"/>
          <w:szCs w:val="20"/>
          <w:color w:val="auto"/>
        </w:rPr>
      </w:pPr>
    </w:p>
    <w:p>
      <w:pPr>
        <w:jc w:val="both"/>
        <w:ind w:left="760" w:right="60"/>
        <w:spacing w:after="0" w:line="256" w:lineRule="auto"/>
        <w:rPr>
          <w:sz w:val="20"/>
          <w:szCs w:val="20"/>
          <w:color w:val="auto"/>
        </w:rPr>
      </w:pPr>
      <w:r>
        <w:rPr>
          <w:rFonts w:ascii="Times New Roman" w:cs="Times New Roman" w:eastAsia="Times New Roman" w:hAnsi="Times New Roman"/>
          <w:sz w:val="18"/>
          <w:szCs w:val="18"/>
          <w:color w:val="auto"/>
        </w:rPr>
        <w:t>The available-for-sale securities portfolio decreased in average balances by $3.6 million when comparing to the same period in 2023 while the income increased $1.0 million over the nine months ended September 30, 2023. The decreased balances were used to fund loan growth. Federal funds sold and interest-bearing deposits increased in average balances by $97.4 million as compared to the same nine month period ended September 30, 2023 with increased income of $5.4 million for the current period. The increased balances are the result of the focus on liquidity and deposit generation. During the first quarter of 2023, securities of $21.6 million with an annual yield of $274 thousand were swapped at a loss of $891 thousand with securities with an annual yield of $1.6 million. The loss was recouped in 0.67 years.</w:t>
      </w:r>
    </w:p>
    <w:p>
      <w:pPr>
        <w:spacing w:after="0" w:line="160" w:lineRule="exact"/>
        <w:rPr>
          <w:sz w:val="20"/>
          <w:szCs w:val="20"/>
          <w:color w:val="auto"/>
        </w:rPr>
      </w:pPr>
    </w:p>
    <w:p>
      <w:pPr>
        <w:jc w:val="both"/>
        <w:ind w:left="760" w:right="60"/>
        <w:spacing w:after="0" w:line="261" w:lineRule="auto"/>
        <w:rPr>
          <w:sz w:val="20"/>
          <w:szCs w:val="20"/>
          <w:color w:val="auto"/>
        </w:rPr>
      </w:pPr>
      <w:r>
        <w:rPr>
          <w:rFonts w:ascii="Times New Roman" w:cs="Times New Roman" w:eastAsia="Times New Roman" w:hAnsi="Times New Roman"/>
          <w:sz w:val="18"/>
          <w:szCs w:val="18"/>
          <w:color w:val="auto"/>
        </w:rPr>
        <w:t>The overall total average balance of the Bank’s earning assets increased by $184.7 million and interest income for the period comparisons was higher for the nine months ended September 30, 2024 by 19.9% or $20.2 million as compared to the nine month period ended September 30, 2023. Increases in the prime lending rate between periods has contributed to approximately 69.7% of the growth while increased volume contributed the remaining 30.3% of growth.</w:t>
      </w:r>
    </w:p>
    <w:p>
      <w:pPr>
        <w:spacing w:after="0" w:line="139" w:lineRule="exact"/>
        <w:rPr>
          <w:sz w:val="20"/>
          <w:szCs w:val="20"/>
          <w:color w:val="auto"/>
        </w:rPr>
      </w:pPr>
    </w:p>
    <w:p>
      <w:pPr>
        <w:jc w:val="both"/>
        <w:ind w:left="760" w:right="60"/>
        <w:spacing w:after="0" w:line="258" w:lineRule="auto"/>
        <w:rPr>
          <w:sz w:val="20"/>
          <w:szCs w:val="20"/>
          <w:color w:val="auto"/>
        </w:rPr>
      </w:pPr>
      <w:r>
        <w:rPr>
          <w:rFonts w:ascii="Times New Roman" w:cs="Times New Roman" w:eastAsia="Times New Roman" w:hAnsi="Times New Roman"/>
          <w:sz w:val="18"/>
          <w:szCs w:val="18"/>
          <w:color w:val="auto"/>
        </w:rPr>
        <w:t>Annualized yield, for the nine months ended September 30, 2024, was 5.17% as compared to 4.57% for the comparable period ended September 30, 2023. The following charts demonstrate the increased loan balances accounted for 25.3% of the increased loan interest income while rate increases accounted for the remaining 74.7%. The yields on tax-exempt securities and the portion of the tax-exempt IDB loans included in loans have been tax adjusted based on a 21% tax rate in the charts to follow. The tax-exempt interest income was $386 and $425 thousand for the nine months ended September 2024 and 2023 which resulted in a federal tax savings of $81 and $89 thousand,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right"/>
              <w:ind w:right="7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80" w:type="dxa"/>
            <w:vAlign w:val="bottom"/>
            <w:gridSpan w:val="9"/>
          </w:tcPr>
          <w:p>
            <w:pPr>
              <w:jc w:val="right"/>
              <w:ind w:right="470"/>
              <w:spacing w:after="0"/>
              <w:rPr>
                <w:sz w:val="20"/>
                <w:szCs w:val="20"/>
                <w:color w:val="auto"/>
              </w:rPr>
            </w:pPr>
            <w:r>
              <w:rPr>
                <w:rFonts w:ascii="Times New Roman" w:cs="Times New Roman" w:eastAsia="Times New Roman" w:hAnsi="Times New Roman"/>
                <w:sz w:val="18"/>
                <w:szCs w:val="18"/>
                <w:color w:val="auto"/>
              </w:rPr>
              <w:t>Year to Date Ended September 30, 2024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Annualized Yield/Rate</w:t>
            </w:r>
          </w:p>
        </w:tc>
      </w:tr>
      <w:tr>
        <w:trPr>
          <w:trHeight w:val="241"/>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Earning Assets:</w:t>
            </w:r>
          </w:p>
        </w:tc>
        <w:tc>
          <w:tcPr>
            <w:tcW w:w="22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840" w:type="dxa"/>
            <w:vAlign w:val="bottom"/>
            <w:tcBorders>
              <w:top w:val="single" w:sz="8" w:color="auto"/>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Interest/Dividends</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September 30, 2023</w:t>
            </w:r>
          </w:p>
        </w:tc>
        <w:tc>
          <w:tcPr>
            <w:tcW w:w="160" w:type="dxa"/>
            <w:vAlign w:val="bottom"/>
          </w:tcPr>
          <w:p>
            <w:pPr>
              <w:spacing w:after="0"/>
              <w:rPr>
                <w:sz w:val="20"/>
                <w:szCs w:val="20"/>
                <w:color w:val="auto"/>
              </w:rPr>
            </w:pPr>
          </w:p>
        </w:tc>
      </w:tr>
      <w:tr>
        <w:trPr>
          <w:trHeight w:val="228"/>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2,561,774</w:t>
            </w:r>
          </w:p>
        </w:tc>
        <w:tc>
          <w:tcPr>
            <w:tcW w:w="80" w:type="dxa"/>
            <w:vAlign w:val="bottom"/>
          </w:tcPr>
          <w:p>
            <w:pPr>
              <w:spacing w:after="0"/>
              <w:rPr>
                <w:sz w:val="19"/>
                <w:szCs w:val="19"/>
                <w:color w:val="auto"/>
              </w:rPr>
            </w:pPr>
          </w:p>
        </w:tc>
        <w:tc>
          <w:tcPr>
            <w:tcW w:w="122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108,666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5.66 %</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5.12 %</w:t>
            </w:r>
          </w:p>
        </w:tc>
      </w:tr>
      <w:tr>
        <w:trPr>
          <w:trHeight w:val="238"/>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22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397,466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1.87 %</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43"/>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22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20,684</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2.03 %</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1.88 %</w:t>
            </w:r>
          </w:p>
        </w:tc>
      </w:tr>
      <w:tr>
        <w:trPr>
          <w:trHeight w:val="250"/>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Fed funds sold &amp; other</w:t>
            </w: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165,227</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5.84 %</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3.67 %</w:t>
            </w:r>
          </w:p>
        </w:tc>
      </w:tr>
      <w:tr>
        <w:trPr>
          <w:trHeight w:val="243"/>
        </w:trPr>
        <w:tc>
          <w:tcPr>
            <w:tcW w:w="3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Interest Earning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3,145,151</w:t>
            </w:r>
          </w:p>
        </w:tc>
        <w:tc>
          <w:tcPr>
            <w:tcW w:w="80" w:type="dxa"/>
            <w:vAlign w:val="bottom"/>
          </w:tcPr>
          <w:p>
            <w:pPr>
              <w:spacing w:after="0"/>
              <w:rPr>
                <w:sz w:val="21"/>
                <w:szCs w:val="21"/>
                <w:color w:val="auto"/>
              </w:rPr>
            </w:pPr>
          </w:p>
        </w:tc>
        <w:tc>
          <w:tcPr>
            <w:tcW w:w="122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121,721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5.17 %</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4.57 %</w:t>
            </w:r>
          </w:p>
        </w:tc>
      </w:tr>
      <w:tr>
        <w:trPr>
          <w:trHeight w:val="20"/>
        </w:trPr>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0" w:type="dxa"/>
            <w:vAlign w:val="bottom"/>
            <w:gridSpan w:val="20"/>
          </w:tcPr>
          <w:p>
            <w:pPr>
              <w:jc w:val="right"/>
              <w:ind w:right="200"/>
              <w:spacing w:after="0"/>
              <w:rPr>
                <w:sz w:val="20"/>
                <w:szCs w:val="20"/>
                <w:color w:val="auto"/>
              </w:rPr>
            </w:pPr>
            <w:r>
              <w:rPr>
                <w:rFonts w:ascii="Times New Roman" w:cs="Times New Roman" w:eastAsia="Times New Roman" w:hAnsi="Times New Roman"/>
                <w:sz w:val="18"/>
                <w:szCs w:val="18"/>
                <w:color w:val="auto"/>
                <w:w w:val="99"/>
              </w:rPr>
              <w:t>Change in Interest Income Year to Date September 30, 2024 Compared to September 30, 2023</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73"/>
        </w:trPr>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1"/>
        </w:trPr>
        <w:tc>
          <w:tcPr>
            <w:tcW w:w="1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Change Due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Change Due</w:t>
            </w:r>
          </w:p>
        </w:tc>
        <w:tc>
          <w:tcPr>
            <w:tcW w:w="1260" w:type="dxa"/>
            <w:vAlign w:val="bottom"/>
            <w:gridSpan w:val="3"/>
          </w:tcPr>
          <w:p>
            <w:pPr>
              <w:spacing w:after="0"/>
              <w:rPr>
                <w:sz w:val="18"/>
                <w:szCs w:val="18"/>
                <w:color w:val="auto"/>
              </w:rPr>
            </w:pPr>
          </w:p>
        </w:tc>
      </w:tr>
      <w:tr>
        <w:trPr>
          <w:trHeight w:val="248"/>
        </w:trPr>
        <w:tc>
          <w:tcPr>
            <w:tcW w:w="1140" w:type="dxa"/>
            <w:vAlign w:val="bottom"/>
          </w:tcPr>
          <w:p>
            <w:pPr>
              <w:spacing w:after="0"/>
              <w:rPr>
                <w:sz w:val="21"/>
                <w:szCs w:val="21"/>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Earning Assets:</w:t>
            </w: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Total Change</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to Volume</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to Rate</w:t>
            </w:r>
          </w:p>
        </w:tc>
        <w:tc>
          <w:tcPr>
            <w:tcW w:w="1260" w:type="dxa"/>
            <w:vAlign w:val="bottom"/>
            <w:gridSpan w:val="3"/>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2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w:t>
            </w:r>
          </w:p>
        </w:tc>
        <w:tc>
          <w:tcPr>
            <w:tcW w:w="220" w:type="dxa"/>
            <w:vAlign w:val="bottom"/>
            <w:shd w:val="clear" w:color="auto" w:fill="CFF0FC"/>
          </w:tcPr>
          <w:p>
            <w:pPr>
              <w:spacing w:after="0"/>
              <w:rPr>
                <w:sz w:val="20"/>
                <w:szCs w:val="20"/>
                <w:color w:val="auto"/>
              </w:rPr>
            </w:pPr>
          </w:p>
        </w:tc>
        <w:tc>
          <w:tcPr>
            <w:tcW w:w="17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13,815</w:t>
            </w:r>
          </w:p>
        </w:tc>
        <w:tc>
          <w:tcPr>
            <w:tcW w:w="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80" w:type="dxa"/>
            <w:vAlign w:val="bottom"/>
            <w:shd w:val="clear" w:color="auto" w:fill="CFF0FC"/>
          </w:tcPr>
          <w:p>
            <w:pPr>
              <w:spacing w:after="0"/>
              <w:rPr>
                <w:sz w:val="20"/>
                <w:szCs w:val="20"/>
                <w:color w:val="auto"/>
              </w:rPr>
            </w:pPr>
          </w:p>
        </w:tc>
        <w:tc>
          <w:tcPr>
            <w:tcW w:w="3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10,320</w:t>
            </w:r>
          </w:p>
        </w:tc>
        <w:tc>
          <w:tcPr>
            <w:tcW w:w="80" w:type="dxa"/>
            <w:vAlign w:val="bottom"/>
            <w:shd w:val="clear" w:color="auto" w:fill="CFF0FC"/>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1,025</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2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8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(59 )</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FF0FC"/>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 funds sold &amp; other</w:t>
            </w:r>
          </w:p>
        </w:tc>
        <w:tc>
          <w:tcPr>
            <w:tcW w:w="2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2,688</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6"/>
        </w:trPr>
        <w:tc>
          <w:tcPr>
            <w:tcW w:w="1140" w:type="dxa"/>
            <w:vAlign w:val="bottom"/>
          </w:tcPr>
          <w:p>
            <w:pPr>
              <w:spacing w:after="0"/>
              <w:rPr>
                <w:sz w:val="24"/>
                <w:szCs w:val="24"/>
                <w:color w:val="auto"/>
              </w:rPr>
            </w:pPr>
          </w:p>
        </w:tc>
        <w:tc>
          <w:tcPr>
            <w:tcW w:w="25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Earning Assets</w:t>
            </w:r>
          </w:p>
        </w:tc>
        <w:tc>
          <w:tcPr>
            <w:tcW w:w="22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20,183</w:t>
            </w:r>
          </w:p>
        </w:tc>
        <w:tc>
          <w:tcPr>
            <w:tcW w:w="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14,064</w:t>
            </w:r>
          </w:p>
        </w:tc>
        <w:tc>
          <w:tcPr>
            <w:tcW w:w="80" w:type="dxa"/>
            <w:vAlign w:val="bottom"/>
            <w:tcBorders>
              <w:bottom w:val="single" w:sz="8" w:color="CFF0FC"/>
            </w:tcBorders>
            <w:shd w:val="clear" w:color="auto" w:fill="CFF0FC"/>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-2485390</wp:posOffset>
            </wp:positionV>
            <wp:extent cx="7132320" cy="15430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-2176780</wp:posOffset>
            </wp:positionV>
            <wp:extent cx="7132320" cy="15430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-1859280</wp:posOffset>
            </wp:positionV>
            <wp:extent cx="7132320" cy="17970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-24765</wp:posOffset>
            </wp:positionV>
            <wp:extent cx="5969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-8255</wp:posOffset>
            </wp:positionV>
            <wp:extent cx="5969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51435"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51435"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57" w:right="279" w:bottom="1440" w:gutter="0" w:footer="0" w:header="0"/>
        </w:sectPr>
      </w:pPr>
    </w:p>
    <w:bookmarkStart w:id="69" w:name="page70"/>
    <w:bookmarkEnd w:id="69"/>
    <w:p>
      <w:pPr>
        <w:ind w:left="7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89" w:lineRule="exact"/>
        <w:rPr>
          <w:sz w:val="20"/>
          <w:szCs w:val="20"/>
          <w:color w:val="auto"/>
        </w:rPr>
      </w:pPr>
    </w:p>
    <w:p>
      <w:pPr>
        <w:jc w:val="both"/>
        <w:ind w:left="760" w:right="60"/>
        <w:spacing w:after="0" w:line="255" w:lineRule="auto"/>
        <w:rPr>
          <w:sz w:val="20"/>
          <w:szCs w:val="20"/>
          <w:color w:val="auto"/>
        </w:rPr>
      </w:pPr>
      <w:r>
        <w:rPr>
          <w:rFonts w:ascii="Times New Roman" w:cs="Times New Roman" w:eastAsia="Times New Roman" w:hAnsi="Times New Roman"/>
          <w:sz w:val="18"/>
          <w:szCs w:val="18"/>
          <w:color w:val="auto"/>
        </w:rPr>
        <w:t>Offsetting a portion of the higher interest income improvement for the nine months ended September 30, 2024 was an increase in interest expense of $18.6 million or 46.3% compared to the same period in 2023. Since 2023, average interest-bearing deposit balances have increased $156.8 million or 7.9% and the Company recognized $16.8 million more in interest expense for the most recent nine months. During September 2024, the Federal Reserve decreased the federal funds rate by 50 basis points whereas 2023 had four increases to the federal funds rate of 25 basis points in February, March, May and July. Deposit rates have been adjusted numerous times with all the rate changes. The following charts demonstrate increased average interest-bearing deposit balances accounted for 14.6% of the increased interest-bearing deposit expense while rate increases accounted for the remaining 85.4%.</w:t>
      </w:r>
    </w:p>
    <w:p>
      <w:pPr>
        <w:spacing w:after="0" w:line="162" w:lineRule="exact"/>
        <w:rPr>
          <w:sz w:val="20"/>
          <w:szCs w:val="20"/>
          <w:color w:val="auto"/>
        </w:rPr>
      </w:pPr>
    </w:p>
    <w:p>
      <w:pPr>
        <w:jc w:val="both"/>
        <w:ind w:left="760" w:right="60"/>
        <w:spacing w:after="0" w:line="256" w:lineRule="auto"/>
        <w:rPr>
          <w:sz w:val="20"/>
          <w:szCs w:val="20"/>
          <w:color w:val="auto"/>
        </w:rPr>
      </w:pPr>
      <w:r>
        <w:rPr>
          <w:rFonts w:ascii="Times New Roman" w:cs="Times New Roman" w:eastAsia="Times New Roman" w:hAnsi="Times New Roman"/>
          <w:sz w:val="18"/>
          <w:szCs w:val="18"/>
          <w:color w:val="auto"/>
        </w:rPr>
        <w:t>Interest expense on FHLB borrowings and other borrowings increased $2.1 million in the nine months ended September 30, 2024 over the same time frame in 2023 due to new FHLB borrowings in 2023 and 2024 used to offset loan growth. During the current year, new FHLB borrowings of $15 million were undertaken while $17.7 million FHLB borrowings were paid off. Interest expense on fed funds purchased and securities sold under agreement to repurchase decreased $344 thousand compared to 2023. The average cost of funds increased to 3.16% for the nine months ended September 2024 compared to 2.35% for the nine months ended September 2023. Refer to Note 11 for additional information on subordinated notes.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color w:val="auto"/>
              </w:rPr>
              <w:t>(In Thousands)</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7"/>
        </w:trPr>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Year to Date Ended September 30, 2024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Annualized Yield/Rate</w:t>
            </w:r>
          </w:p>
        </w:tc>
      </w:tr>
      <w:tr>
        <w:trPr>
          <w:trHeight w:val="23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22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Average Balance</w:t>
            </w: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Interest</w:t>
            </w:r>
          </w:p>
        </w:tc>
        <w:tc>
          <w:tcPr>
            <w:tcW w:w="5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September 30, 2023</w:t>
            </w:r>
          </w:p>
        </w:tc>
        <w:tc>
          <w:tcPr>
            <w:tcW w:w="160" w:type="dxa"/>
            <w:vAlign w:val="bottom"/>
          </w:tcPr>
          <w:p>
            <w:pPr>
              <w:spacing w:after="0"/>
              <w:rPr>
                <w:sz w:val="20"/>
                <w:szCs w:val="20"/>
                <w:color w:val="auto"/>
              </w:rPr>
            </w:pPr>
          </w:p>
        </w:tc>
      </w:t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deposits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1,487,809</w:t>
            </w:r>
          </w:p>
        </w:tc>
        <w:tc>
          <w:tcPr>
            <w:tcW w:w="158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30,291</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2.71 %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3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time deposits</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662,129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18,423</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3.71 %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2.81 %</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borrowed money</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264,310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4.15 %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3.99 %</w:t>
            </w: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 funds purchased &amp; securities</w:t>
            </w: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4.00 %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4.18 %</w:t>
            </w:r>
          </w:p>
        </w:tc>
      </w:tr>
      <w:tr>
        <w:trPr>
          <w:trHeight w:val="25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Subordinated notes</w:t>
            </w:r>
          </w:p>
        </w:tc>
        <w:tc>
          <w:tcPr>
            <w:tcW w:w="2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3.27 %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3.28 %</w:t>
            </w:r>
          </w:p>
        </w:tc>
      </w:tr>
      <w:tr>
        <w:trPr>
          <w:trHeight w:val="23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2,476,876</w:t>
            </w:r>
          </w:p>
        </w:tc>
        <w:tc>
          <w:tcPr>
            <w:tcW w:w="158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58,639</w:t>
            </w:r>
          </w:p>
        </w:tc>
        <w:tc>
          <w:tcPr>
            <w:tcW w:w="19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3.16 %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2.35 %</w:t>
            </w:r>
          </w:p>
        </w:tc>
      </w:tr>
      <w:tr>
        <w:trPr>
          <w:trHeight w:val="20"/>
        </w:trPr>
        <w:tc>
          <w:tcPr>
            <w:tcW w:w="3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15430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8034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7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u w:val="single" w:color="auto"/>
          <w:color w:val="auto"/>
        </w:rPr>
        <w:t>Change in Interest Expense Year to Date September 30, 2024 Compared to September 30, 2023</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5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5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Change Due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Change Due</w:t>
            </w:r>
          </w:p>
        </w:tc>
        <w:tc>
          <w:tcPr>
            <w:tcW w:w="80" w:type="dxa"/>
            <w:vAlign w:val="bottom"/>
          </w:tcPr>
          <w:p>
            <w:pPr>
              <w:spacing w:after="0"/>
              <w:rPr>
                <w:sz w:val="18"/>
                <w:szCs w:val="18"/>
                <w:color w:val="auto"/>
              </w:rPr>
            </w:pPr>
          </w:p>
        </w:tc>
      </w:tr>
      <w:tr>
        <w:trPr>
          <w:trHeight w:val="248"/>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Interest Bearing Liabilities: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Total Change</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6"/>
              </w:rPr>
              <w:t>to Volume</w:t>
            </w:r>
          </w:p>
        </w:tc>
        <w:tc>
          <w:tcPr>
            <w:tcW w:w="180" w:type="dxa"/>
            <w:vAlign w:val="bottom"/>
          </w:tcPr>
          <w:p>
            <w:pPr>
              <w:spacing w:after="0"/>
              <w:rPr>
                <w:sz w:val="21"/>
                <w:szCs w:val="21"/>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 Rate</w:t>
            </w:r>
          </w:p>
        </w:tc>
      </w:tr>
      <w:tr>
        <w:trPr>
          <w:trHeight w:val="23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100" w:type="dxa"/>
            <w:vAlign w:val="bottom"/>
            <w:shd w:val="clear" w:color="auto" w:fill="CFF0FC"/>
          </w:tcPr>
          <w:p>
            <w:pPr>
              <w:spacing w:after="0"/>
              <w:rPr>
                <w:sz w:val="20"/>
                <w:szCs w:val="20"/>
                <w:color w:val="auto"/>
              </w:rPr>
            </w:pPr>
          </w:p>
        </w:tc>
        <w:tc>
          <w:tcPr>
            <w:tcW w:w="2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80" w:type="dxa"/>
            <w:vAlign w:val="bottom"/>
            <w:shd w:val="clear" w:color="auto" w:fill="CFF0FC"/>
          </w:tcPr>
          <w:p>
            <w:pPr>
              <w:spacing w:after="0"/>
              <w:rPr>
                <w:sz w:val="20"/>
                <w:szCs w:val="20"/>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time deposits</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80" w:type="dxa"/>
            <w:vAlign w:val="bottom"/>
          </w:tcPr>
          <w:p>
            <w:pPr>
              <w:spacing w:after="0"/>
              <w:rPr>
                <w:sz w:val="20"/>
                <w:szCs w:val="20"/>
                <w:color w:val="auto"/>
              </w:rPr>
            </w:pPr>
          </w:p>
        </w:tc>
      </w:tr>
      <w:tr>
        <w:trPr>
          <w:trHeight w:val="24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borrowed money</w:t>
            </w: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shd w:val="clear" w:color="auto" w:fill="CFF0FC"/>
          </w:tcPr>
          <w:p>
            <w:pPr>
              <w:spacing w:after="0"/>
              <w:rPr>
                <w:sz w:val="21"/>
                <w:szCs w:val="21"/>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Fed funds purchased &amp; securities</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sold under agreement to repurchase</w:t>
            </w:r>
          </w:p>
        </w:tc>
        <w:tc>
          <w:tcPr>
            <w:tcW w:w="3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(344 )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(38 )</w:t>
            </w:r>
          </w:p>
        </w:tc>
      </w:tr>
      <w:tr>
        <w:trPr>
          <w:trHeight w:val="24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r>
      <w:tr>
        <w:trPr>
          <w:trHeight w:val="277"/>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Bearing Liabilities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18,563</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4741545</wp:posOffset>
            </wp:positionH>
            <wp:positionV relativeFrom="paragraph">
              <wp:posOffset>-1435100</wp:posOffset>
            </wp:positionV>
            <wp:extent cx="85725" cy="33401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5725" cy="334010"/>
                    </a:xfrm>
                    <a:prstGeom prst="rect">
                      <a:avLst/>
                    </a:prstGeom>
                    <a:noFill/>
                  </pic:spPr>
                </pic:pic>
              </a:graphicData>
            </a:graphic>
          </wp:anchor>
        </w:drawing>
        <w:drawing>
          <wp:anchor simplePos="0" relativeHeight="251657728" behindDoc="1" locked="0" layoutInCell="0" allowOverlap="1">
            <wp:simplePos x="0" y="0"/>
            <wp:positionH relativeFrom="column">
              <wp:posOffset>5564505</wp:posOffset>
            </wp:positionH>
            <wp:positionV relativeFrom="paragraph">
              <wp:posOffset>-1435100</wp:posOffset>
            </wp:positionV>
            <wp:extent cx="85090" cy="33401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5090" cy="334010"/>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-1435100</wp:posOffset>
            </wp:positionV>
            <wp:extent cx="76835" cy="33401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6835" cy="33401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032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60325"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96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5969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both"/>
        <w:ind w:left="760" w:right="60"/>
        <w:spacing w:after="0" w:line="289" w:lineRule="auto"/>
        <w:rPr>
          <w:sz w:val="20"/>
          <w:szCs w:val="20"/>
          <w:color w:val="auto"/>
        </w:rPr>
      </w:pPr>
      <w:r>
        <w:rPr>
          <w:rFonts w:ascii="Times New Roman" w:cs="Times New Roman" w:eastAsia="Times New Roman" w:hAnsi="Times New Roman"/>
          <w:sz w:val="17"/>
          <w:szCs w:val="17"/>
          <w:color w:val="auto"/>
        </w:rPr>
        <w:t>Overall, net interest spread for the nine months ended September 30, 2024 was 21 basis points lower than last year. As the following chart indicates, the improvement in yields on interest earning assets of 60 basis points did not offset the increased cost of funds of 81 basis points when comparing to the same period a year ago. Competition for deposits is intense with most competitors offering special rates for specific terms.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w:t>
            </w: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September 30,</w:t>
            </w:r>
          </w:p>
        </w:tc>
        <w:tc>
          <w:tcPr>
            <w:tcW w:w="252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Interest/Dividend income/yield</w:t>
            </w:r>
          </w:p>
        </w:tc>
        <w:tc>
          <w:tcPr>
            <w:tcW w:w="2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5.17 %</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4.57 %</w:t>
            </w:r>
          </w:p>
        </w:tc>
        <w:tc>
          <w:tcPr>
            <w:tcW w:w="25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3.76 %</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Expense/cost</w:t>
            </w:r>
          </w:p>
        </w:tc>
        <w:tc>
          <w:tcPr>
            <w:tcW w:w="1200" w:type="dxa"/>
            <w:vAlign w:val="bottom"/>
          </w:tcPr>
          <w:p>
            <w:pPr>
              <w:spacing w:after="0"/>
              <w:rPr>
                <w:sz w:val="20"/>
                <w:szCs w:val="20"/>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3.16 %</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2.35 %</w:t>
            </w:r>
          </w:p>
        </w:tc>
        <w:tc>
          <w:tcPr>
            <w:tcW w:w="25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0.53 %</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120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3320" w:type="dxa"/>
            <w:vAlign w:val="bottom"/>
            <w:vMerge w:val="continue"/>
          </w:tcPr>
          <w:p>
            <w:pPr>
              <w:spacing w:after="0"/>
              <w:rPr>
                <w:sz w:val="20"/>
                <w:szCs w:val="20"/>
                <w:color w:val="auto"/>
              </w:rPr>
            </w:pPr>
          </w:p>
        </w:tc>
        <w:tc>
          <w:tcPr>
            <w:tcW w:w="1200" w:type="dxa"/>
            <w:vAlign w:val="bottom"/>
          </w:tcPr>
          <w:p>
            <w:pPr>
              <w:spacing w:after="0"/>
              <w:rPr>
                <w:sz w:val="20"/>
                <w:szCs w:val="20"/>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2.01 %</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2.22 %</w:t>
            </w:r>
          </w:p>
        </w:tc>
        <w:tc>
          <w:tcPr>
            <w:tcW w:w="25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3.23 %</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Interest Margin</w:t>
            </w:r>
          </w:p>
        </w:tc>
        <w:tc>
          <w:tcPr>
            <w:tcW w:w="1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140" w:type="dxa"/>
            <w:vAlign w:val="bottom"/>
          </w:tcPr>
          <w:p>
            <w:pPr>
              <w:spacing w:after="0"/>
              <w:rPr>
                <w:sz w:val="19"/>
                <w:szCs w:val="19"/>
                <w:color w:val="auto"/>
              </w:rPr>
            </w:pPr>
          </w:p>
        </w:tc>
        <w:tc>
          <w:tcPr>
            <w:tcW w:w="332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2.68 %</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2.77 %</w:t>
            </w:r>
          </w:p>
        </w:tc>
        <w:tc>
          <w:tcPr>
            <w:tcW w:w="25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3.37 %</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54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-1516380</wp:posOffset>
            </wp:positionV>
            <wp:extent cx="5700395" cy="15430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-1199515</wp:posOffset>
            </wp:positionV>
            <wp:extent cx="5700395" cy="18034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5700395"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197" w:right="2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income increased $1.6 million for the nine months ended September 30, 2024 over the same time frame in 2023 with the increase in interest income of $20.2 million offset by the higher interest expense of $18.6 million as previously mentioned. As the new loans added in 2023 and 2024 generate more income, management expects the benefits of the Company’s strategy of repositioning the balance sheet to continue to increase interest income in the long run. Loans as a percentage of earning assets decreased to 81.5% for the nine months ended 2024 compared to 83.5% for the nine months ended September 2023. Loans to total assets decreased to 77.5% for the nine months ended 2024 compared to 78.8% for the same time period 2023. The percentage of earning assets to total assets increased to 95.1% in 2024 compared to 94.4% in 2023. In terms of net interest margin, the Bank recognizes competition for deposits will continue; however, the Bank has a greater opportunity for gradual improvement as loans reprice upwards in the next year coupled with a likely continuing slight decrease in cost of funds.</w:t>
      </w:r>
    </w:p>
    <w:p>
      <w:pPr>
        <w:spacing w:after="0" w:line="200" w:lineRule="exact"/>
        <w:rPr>
          <w:sz w:val="20"/>
          <w:szCs w:val="20"/>
          <w:color w:val="auto"/>
        </w:rPr>
      </w:pPr>
    </w:p>
    <w:p>
      <w:pPr>
        <w:spacing w:after="0" w:line="28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98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Noninterest Results of Operations for nine month periods ended September 30, 2024 and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Expense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Allowance for Credit Losses (ACL) has a direct impact on the provision expense. The increase in the ACL is funded through recoveries and provision expense. The following table details the allowance for credit losses. The table breaks down the activity within ACL for each loan portfolio class and shows the contribution provided by both the recoveries and the provision along with the reduction of the allowance caused by charge-offs. The commercial and industrial loan portfolio and consumer loan portfolio accounted for the largest component of both charge-offs and recoveries for nine months ended September 30, 2024. The consumer loan portfolio accounted for the largest component of charge-offs while the consumer loan portfolio and agricultural real estate loan portfolio accounted for the largest component of recoveries for the same time period 2023.</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provision for credit losses was $822 thousand lower for the nine months ended September 30, 2024 as compared to the same period in 2023. This is due to decreased loan growth coupled with improved asset quality metrics during the nine months ended September 30, 2024 compared to 2023. Management continues to monitor asset quality, making adjustments to the provision as necessary. The impact of higher interest rates and inflation are taken into consideration when reviewing qualitative factors. Loan charge-offs were $70 thousand higher for the nine months ended September 30, 2024 than the same period in 2023. Recoveries were $48 thousand lower in the nine months ended September 30, 2024 as compared to 2023. Combined net charge-offs were $118 thousand higher for the nine months ended September 30, 2024 than for the same time period in 2023. The decrease in unfunded provision expense of $408 thousand is a result of unfunded balances decreasing. Unfunded construction exposure was down due to draws and fewer originations. The loan portfolio continues to be of strong credit quality.</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past due 30 days or more decreased $4.3 million at September 30, 2024 as compared to September 30, 2023. The largest changes were attributed to the decreases of past due balances in the combined agricultural loan portfolios of $4.2 million. The consumer real estate loan portfolio past due balances increased $1.1 million for the same time period.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breaks down the activity within the ACL for each loan portfolio class and shows the contribution provided by both recoveries and the provision, along with the reduction of the allowance caused by charge-offs. The time period covered is for the nine months ended September 30, 2024, 2023 and 2022.</w:t>
      </w:r>
    </w:p>
    <w:p>
      <w:pPr>
        <w:spacing w:after="0" w:line="200" w:lineRule="exact"/>
        <w:rPr>
          <w:sz w:val="20"/>
          <w:szCs w:val="20"/>
          <w:color w:val="auto"/>
        </w:rPr>
      </w:pPr>
    </w:p>
    <w:p>
      <w:pPr>
        <w:spacing w:after="0" w:line="25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41"/>
        </w:trPr>
        <w:tc>
          <w:tcPr>
            <w:tcW w:w="4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Nine Months Ended</w:t>
            </w:r>
          </w:p>
        </w:tc>
        <w:tc>
          <w:tcPr>
            <w:tcW w:w="180" w:type="dxa"/>
            <w:vAlign w:val="bottom"/>
          </w:tcPr>
          <w:p>
            <w:pPr>
              <w:spacing w:after="0"/>
              <w:rPr>
                <w:sz w:val="18"/>
                <w:szCs w:val="18"/>
                <w:color w:val="auto"/>
              </w:rPr>
            </w:pPr>
          </w:p>
        </w:tc>
        <w:tc>
          <w:tcPr>
            <w:tcW w:w="20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Nine Months Ended</w:t>
            </w:r>
          </w:p>
        </w:tc>
        <w:tc>
          <w:tcPr>
            <w:tcW w:w="180" w:type="dxa"/>
            <w:vAlign w:val="bottom"/>
          </w:tcPr>
          <w:p>
            <w:pPr>
              <w:spacing w:after="0"/>
              <w:rPr>
                <w:sz w:val="18"/>
                <w:szCs w:val="18"/>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Nine Months Ended</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September 30, 2024</w:t>
            </w:r>
          </w:p>
        </w:tc>
        <w:tc>
          <w:tcPr>
            <w:tcW w:w="180" w:type="dxa"/>
            <w:vAlign w:val="bottom"/>
          </w:tcPr>
          <w:p>
            <w:pPr>
              <w:spacing w:after="0"/>
              <w:rPr>
                <w:sz w:val="20"/>
                <w:szCs w:val="20"/>
                <w:color w:val="auto"/>
              </w:rPr>
            </w:pPr>
          </w:p>
        </w:tc>
        <w:tc>
          <w:tcPr>
            <w:tcW w:w="2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September 30, 2023</w:t>
            </w:r>
          </w:p>
        </w:tc>
        <w:tc>
          <w:tcPr>
            <w:tcW w:w="180" w:type="dxa"/>
            <w:vAlign w:val="bottom"/>
          </w:tcPr>
          <w:p>
            <w:pPr>
              <w:spacing w:after="0"/>
              <w:rPr>
                <w:sz w:val="20"/>
                <w:szCs w:val="20"/>
                <w:color w:val="auto"/>
              </w:rPr>
            </w:pPr>
          </w:p>
        </w:tc>
        <w:tc>
          <w:tcPr>
            <w:tcW w:w="19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September 30, 2022</w:t>
            </w:r>
          </w:p>
        </w:tc>
        <w:tc>
          <w:tcPr>
            <w:tcW w:w="0" w:type="dxa"/>
            <w:vAlign w:val="bottom"/>
          </w:tcPr>
          <w:p>
            <w:pPr>
              <w:spacing w:after="0"/>
              <w:rPr>
                <w:sz w:val="1"/>
                <w:szCs w:val="1"/>
                <w:color w:val="auto"/>
              </w:rPr>
            </w:pPr>
          </w:p>
        </w:tc>
      </w:tr>
      <w:tr>
        <w:trPr>
          <w:trHeight w:val="283"/>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Loans, net of deferred fees and costs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2,535,291</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2,529,606</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2,142,616</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Daily average of outstanding loans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2,560,440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2,470,770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1,997,081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22,447</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loans*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 January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Adjustment for accounting change</w:t>
            </w:r>
          </w:p>
        </w:tc>
        <w:tc>
          <w:tcPr>
            <w:tcW w:w="1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Charged off:</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Consumer Real Estate</w:t>
            </w:r>
          </w:p>
        </w:tc>
        <w:tc>
          <w:tcPr>
            <w:tcW w:w="1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Agriculture Real Estate</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Agricultural</w:t>
            </w:r>
          </w:p>
        </w:tc>
        <w:tc>
          <w:tcPr>
            <w:tcW w:w="1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8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 Recoveries: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Consumer Real Estate</w:t>
            </w:r>
          </w:p>
        </w:tc>
        <w:tc>
          <w:tcPr>
            <w:tcW w:w="1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Agriculture Real Estate</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Agricultural</w:t>
            </w:r>
          </w:p>
        </w:tc>
        <w:tc>
          <w:tcPr>
            <w:tcW w:w="1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8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Charge Offs (Recoveries):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Consumer Real Estate</w:t>
            </w:r>
          </w:p>
        </w:tc>
        <w:tc>
          <w:tcPr>
            <w:tcW w:w="1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Agriculture Real Estate</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Agricultural</w:t>
            </w:r>
          </w:p>
        </w:tc>
        <w:tc>
          <w:tcPr>
            <w:tcW w:w="1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Provision for credit loss</w:t>
            </w:r>
          </w:p>
        </w:tc>
        <w:tc>
          <w:tcPr>
            <w:tcW w:w="18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 September 30,</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Unfunded Loan Commitments</w:t>
            </w:r>
          </w:p>
        </w:tc>
        <w:tc>
          <w:tcPr>
            <w:tcW w:w="180" w:type="dxa"/>
            <w:vAlign w:val="bottom"/>
            <w:shd w:val="clear" w:color="auto" w:fill="CFF0FC"/>
          </w:tcPr>
          <w:p>
            <w:pPr>
              <w:spacing w:after="0"/>
              <w:rPr>
                <w:sz w:val="18"/>
                <w:szCs w:val="18"/>
                <w:color w:val="auto"/>
              </w:rPr>
            </w:pPr>
          </w:p>
        </w:tc>
        <w:tc>
          <w:tcPr>
            <w:tcW w:w="1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&amp; Letters of Credit - September 30,</w:t>
            </w:r>
          </w:p>
        </w:tc>
        <w:tc>
          <w:tcPr>
            <w:tcW w:w="18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Allowance for Credit Losses - September 30,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Net Charge-offs to Average Outstanding Loans</w:t>
            </w:r>
          </w:p>
        </w:tc>
        <w:tc>
          <w:tcPr>
            <w:tcW w:w="180" w:type="dxa"/>
            <w:vAlign w:val="bottom"/>
          </w:tcPr>
          <w:p>
            <w:pPr>
              <w:spacing w:after="0"/>
              <w:rPr>
                <w:sz w:val="19"/>
                <w:szCs w:val="19"/>
                <w:color w:val="auto"/>
              </w:rPr>
            </w:pPr>
          </w:p>
        </w:tc>
        <w:tc>
          <w:tcPr>
            <w:tcW w:w="2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0.01 %</w:t>
            </w:r>
          </w:p>
        </w:tc>
        <w:tc>
          <w:tcPr>
            <w:tcW w:w="180" w:type="dxa"/>
            <w:vAlign w:val="bottom"/>
          </w:tcPr>
          <w:p>
            <w:pPr>
              <w:spacing w:after="0"/>
              <w:rPr>
                <w:sz w:val="19"/>
                <w:szCs w:val="19"/>
                <w:color w:val="auto"/>
              </w:rPr>
            </w:pPr>
          </w:p>
        </w:tc>
        <w:tc>
          <w:tcPr>
            <w:tcW w:w="2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0.00 %</w:t>
            </w:r>
          </w:p>
        </w:tc>
        <w:tc>
          <w:tcPr>
            <w:tcW w:w="18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Nonaccrual Loans to Loans</w:t>
            </w:r>
          </w:p>
        </w:tc>
        <w:tc>
          <w:tcPr>
            <w:tcW w:w="180" w:type="dxa"/>
            <w:vAlign w:val="bottom"/>
          </w:tcPr>
          <w:p>
            <w:pPr>
              <w:spacing w:after="0"/>
              <w:rPr>
                <w:sz w:val="19"/>
                <w:szCs w:val="19"/>
                <w:color w:val="auto"/>
              </w:rPr>
            </w:pPr>
          </w:p>
        </w:tc>
        <w:tc>
          <w:tcPr>
            <w:tcW w:w="2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0.11 %</w:t>
            </w:r>
          </w:p>
        </w:tc>
        <w:tc>
          <w:tcPr>
            <w:tcW w:w="180" w:type="dxa"/>
            <w:vAlign w:val="bottom"/>
          </w:tcPr>
          <w:p>
            <w:pPr>
              <w:spacing w:after="0"/>
              <w:rPr>
                <w:sz w:val="19"/>
                <w:szCs w:val="19"/>
                <w:color w:val="auto"/>
              </w:rPr>
            </w:pPr>
          </w:p>
        </w:tc>
        <w:tc>
          <w:tcPr>
            <w:tcW w:w="2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0.89 %</w:t>
            </w:r>
          </w:p>
        </w:tc>
        <w:tc>
          <w:tcPr>
            <w:tcW w:w="18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0.26 %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the Allowance for Credit Losses to Loans</w:t>
            </w:r>
          </w:p>
        </w:tc>
        <w:tc>
          <w:tcPr>
            <w:tcW w:w="180" w:type="dxa"/>
            <w:vAlign w:val="bottom"/>
          </w:tcPr>
          <w:p>
            <w:pPr>
              <w:spacing w:after="0"/>
              <w:rPr>
                <w:sz w:val="19"/>
                <w:szCs w:val="19"/>
                <w:color w:val="auto"/>
              </w:rPr>
            </w:pPr>
          </w:p>
        </w:tc>
        <w:tc>
          <w:tcPr>
            <w:tcW w:w="2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1.01 %</w:t>
            </w:r>
          </w:p>
        </w:tc>
        <w:tc>
          <w:tcPr>
            <w:tcW w:w="180" w:type="dxa"/>
            <w:vAlign w:val="bottom"/>
          </w:tcPr>
          <w:p>
            <w:pPr>
              <w:spacing w:after="0"/>
              <w:rPr>
                <w:sz w:val="19"/>
                <w:szCs w:val="19"/>
                <w:color w:val="auto"/>
              </w:rPr>
            </w:pPr>
          </w:p>
        </w:tc>
        <w:tc>
          <w:tcPr>
            <w:tcW w:w="2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0.93 %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the Allowance for Credit Losses to Nonaccrual Loans</w:t>
            </w:r>
          </w:p>
        </w:tc>
        <w:tc>
          <w:tcPr>
            <w:tcW w:w="180" w:type="dxa"/>
            <w:vAlign w:val="bottom"/>
          </w:tcPr>
          <w:p>
            <w:pPr>
              <w:spacing w:after="0"/>
              <w:rPr>
                <w:sz w:val="19"/>
                <w:szCs w:val="19"/>
                <w:color w:val="auto"/>
              </w:rPr>
            </w:pPr>
          </w:p>
        </w:tc>
        <w:tc>
          <w:tcPr>
            <w:tcW w:w="2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879.37 %</w:t>
            </w:r>
          </w:p>
        </w:tc>
        <w:tc>
          <w:tcPr>
            <w:tcW w:w="180" w:type="dxa"/>
            <w:vAlign w:val="bottom"/>
          </w:tcPr>
          <w:p>
            <w:pPr>
              <w:spacing w:after="0"/>
              <w:rPr>
                <w:sz w:val="19"/>
                <w:szCs w:val="19"/>
                <w:color w:val="auto"/>
              </w:rPr>
            </w:pPr>
          </w:p>
        </w:tc>
        <w:tc>
          <w:tcPr>
            <w:tcW w:w="2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112.61 %</w:t>
            </w:r>
          </w:p>
        </w:tc>
        <w:tc>
          <w:tcPr>
            <w:tcW w:w="18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365.44 %</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Ratio of the Allowance for Credit Losses to</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879.37 %</w:t>
            </w:r>
          </w:p>
        </w:tc>
        <w:tc>
          <w:tcPr>
            <w:tcW w:w="180" w:type="dxa"/>
            <w:vAlign w:val="bottom"/>
          </w:tcPr>
          <w:p>
            <w:pPr>
              <w:spacing w:after="0"/>
              <w:rPr>
                <w:sz w:val="16"/>
                <w:szCs w:val="16"/>
                <w:color w:val="auto"/>
              </w:rPr>
            </w:pPr>
          </w:p>
        </w:tc>
        <w:tc>
          <w:tcPr>
            <w:tcW w:w="20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112.61 %</w:t>
            </w:r>
          </w:p>
        </w:tc>
        <w:tc>
          <w:tcPr>
            <w:tcW w:w="180" w:type="dxa"/>
            <w:vAlign w:val="bottom"/>
          </w:tcPr>
          <w:p>
            <w:pPr>
              <w:spacing w:after="0"/>
              <w:rPr>
                <w:sz w:val="16"/>
                <w:szCs w:val="16"/>
                <w:color w:val="auto"/>
              </w:rPr>
            </w:pPr>
          </w:p>
        </w:tc>
        <w:tc>
          <w:tcPr>
            <w:tcW w:w="1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365.44 %</w:t>
            </w:r>
          </w:p>
        </w:tc>
        <w:tc>
          <w:tcPr>
            <w:tcW w:w="0" w:type="dxa"/>
            <w:vAlign w:val="bottom"/>
          </w:tcPr>
          <w:p>
            <w:pPr>
              <w:spacing w:after="0"/>
              <w:rPr>
                <w:sz w:val="1"/>
                <w:szCs w:val="1"/>
                <w:color w:val="auto"/>
              </w:rPr>
            </w:pPr>
          </w:p>
        </w:tc>
      </w:tr>
      <w:tr>
        <w:trPr>
          <w:trHeight w:val="207"/>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Nonperforming Loans*</w:t>
            </w:r>
          </w:p>
        </w:tc>
        <w:tc>
          <w:tcPr>
            <w:tcW w:w="180" w:type="dxa"/>
            <w:vAlign w:val="bottom"/>
          </w:tcPr>
          <w:p>
            <w:pPr>
              <w:spacing w:after="0"/>
              <w:rPr>
                <w:sz w:val="18"/>
                <w:szCs w:val="18"/>
                <w:color w:val="auto"/>
              </w:rPr>
            </w:pPr>
          </w:p>
        </w:tc>
        <w:tc>
          <w:tcPr>
            <w:tcW w:w="204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-6565900</wp:posOffset>
            </wp:positionV>
            <wp:extent cx="7683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-6548755</wp:posOffset>
            </wp:positionV>
            <wp:extent cx="7683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-6565900</wp:posOffset>
            </wp:positionV>
            <wp:extent cx="6858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-6548755</wp:posOffset>
            </wp:positionV>
            <wp:extent cx="6858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-6565900</wp:posOffset>
            </wp:positionV>
            <wp:extent cx="6858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-6548755</wp:posOffset>
            </wp:positionV>
            <wp:extent cx="6858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-6205855</wp:posOffset>
            </wp:positionV>
            <wp:extent cx="7683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-6188710</wp:posOffset>
            </wp:positionV>
            <wp:extent cx="7683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-6205855</wp:posOffset>
            </wp:positionV>
            <wp:extent cx="6858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-6188710</wp:posOffset>
            </wp:positionV>
            <wp:extent cx="6858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-6205855</wp:posOffset>
            </wp:positionV>
            <wp:extent cx="6858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-6188710</wp:posOffset>
            </wp:positionV>
            <wp:extent cx="6858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-4293870</wp:posOffset>
            </wp:positionV>
            <wp:extent cx="7683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-4293870</wp:posOffset>
            </wp:positionV>
            <wp:extent cx="6858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-4293870</wp:posOffset>
            </wp:positionV>
            <wp:extent cx="6858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-3042285</wp:posOffset>
            </wp:positionV>
            <wp:extent cx="7683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-3042285</wp:posOffset>
            </wp:positionV>
            <wp:extent cx="6858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-1199515</wp:posOffset>
            </wp:positionV>
            <wp:extent cx="76835"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-1199515</wp:posOffset>
            </wp:positionV>
            <wp:extent cx="6858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7132320" cy="18034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7970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29146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*Nonperforming loans are defined as all loans on nonaccrual, plus any loans past due 90 days not on nonaccrual.</w:t>
      </w:r>
    </w:p>
    <w:p>
      <w:pPr>
        <w:spacing w:after="0" w:line="185" w:lineRule="exact"/>
        <w:rPr>
          <w:sz w:val="20"/>
          <w:szCs w:val="20"/>
          <w:color w:val="auto"/>
        </w:rPr>
      </w:pPr>
    </w:p>
    <w:p>
      <w:pPr>
        <w:ind w:left="760" w:right="60"/>
        <w:spacing w:after="0" w:line="282" w:lineRule="auto"/>
        <w:rPr>
          <w:sz w:val="20"/>
          <w:szCs w:val="20"/>
          <w:color w:val="auto"/>
        </w:rPr>
      </w:pPr>
      <w:r>
        <w:rPr>
          <w:rFonts w:ascii="Times New Roman" w:cs="Times New Roman" w:eastAsia="Times New Roman" w:hAnsi="Times New Roman"/>
          <w:sz w:val="18"/>
          <w:szCs w:val="18"/>
          <w:color w:val="auto"/>
        </w:rPr>
        <w:t>The balance of loans, net of deferred fees and costs at September 30, 2024 within this chart does not include a fair value basis adjustment for derivatives of $3.0 million or a daily average outstanding balance of $1.3 million.</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ASU 2016-13 was adopted during the first quarter of 2023; therefore, 2022 provision amounts reflect the incurred loss method.</w:t>
      </w:r>
    </w:p>
    <w:p>
      <w:pPr>
        <w:spacing w:after="0" w:line="200" w:lineRule="exact"/>
        <w:rPr>
          <w:sz w:val="20"/>
          <w:szCs w:val="20"/>
          <w:color w:val="auto"/>
        </w:rPr>
      </w:pPr>
    </w:p>
    <w:p>
      <w:pPr>
        <w:spacing w:after="0" w:line="30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99" w:right="279" w:bottom="1440" w:gutter="0" w:footer="0" w:header="0"/>
        </w:sectPr>
      </w:pPr>
    </w:p>
    <w:bookmarkStart w:id="73" w:name="page74"/>
    <w:bookmarkEnd w:id="73"/>
    <w:p>
      <w:pPr>
        <w:jc w:val="both"/>
        <w:spacing w:after="0" w:line="261" w:lineRule="auto"/>
        <w:rPr>
          <w:sz w:val="20"/>
          <w:szCs w:val="20"/>
          <w:color w:val="auto"/>
        </w:rPr>
      </w:pPr>
      <w:r>
        <w:rPr>
          <w:rFonts w:ascii="Times New Roman" w:cs="Times New Roman" w:eastAsia="Times New Roman" w:hAnsi="Times New Roman"/>
          <w:sz w:val="18"/>
          <w:szCs w:val="18"/>
          <w:color w:val="auto"/>
        </w:rPr>
        <w:t>Loans classified as nonaccrual were lower as of September 30, 2024 at $2.9 million as compared to $22.4 million as of September 30, 2023. The agricultural real estate loan portfolio saw the largest decrease at $15.8 million while the commercial and industrial loan portfolio decreased $815 thousand as compared to September 30, 2023. The agricultural loan portfolio decreased $4.6 million compared to September 30, 2023. These decreases were offset by an increase in the consumer real estate loan portfolio of $1.5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income was down $540 thousand for the nine months ended September 30, 2024 over the same time frame in 2023. Servicing rights income for 1-4 family and agricultural real estate loans decreased $2.0 million. This was due to the establishment of agricultural real estate servicing rights of $1.5 million in the first quarter of 2023 and a change in the accounting estimate of $712 thousand in the second quarter of 2023. Combined service fees increased by $214 thousand as compared to the nine months ended September 30, 2023. Bank owned life insurance cash surrender value increased $99 thousand.</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seen relatively flat mortgage production volume. The gain on the sale of these loans was $167 thousand higher for the nine months ended September 30, 2024 over the same period in 2023. Originations of loans held for sale for the nine months ended September 30, 2024 were $36.5 million with proceeds from sale at $37.1 million for 2024 compared to 2023’s activity of $26.3 million in originations and $26.6 million in sales. The mortgages sold were both 1-4 family and agricultural real estate loans originated for sale.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nine months ended September 30, 2024, noninterest expenses were $1.7 million higher than for the same period in 2023. Salaries, wages, and employee benefits (includes normal merit increases, restricted stock expense, incentive payout and all employee benefits) increased $3.3 million in total. This was comprised of increased salaries of $3.2 million which included one-time special payments of $388 thousand; restricted stock award expense of $120 thousand which was primarily attributed to the acceleration of stock awards and incentive accrual of $1.9 million. Employee benefits increased $93 thousand over 2023. The increase was due to the investment in people for our strategic growth initiative. Advertising and public relations expense decreased $563 thousand due to expenses in 2023 related to the new logo launch that were not repeated in 2024. Data processing and ATM expenses decreased $1.7 million as a result of the new 60 month contract signed in December 2023. The additional cost of offices is also evident in the increased expenses in net occupancy with additional lease expenses of $358 thousand and building depreciation of $397 thousand offset with reduced general insurance expense of $135 thousand and increased building rent generated by FM Investments of $130 thousand. Furniture and equipment increased with additional maintenance contract expense of $515 thousand and furniture and equipment depreciation of $56 thousand. Professional fees increased $326 thousand over 2023. FDIC assessments also increased by $215 thousand over the same period in 2023. General and administrative expense decreased $885 thousand as 2023 included $469 thousand related to the conversion of the credit card platform and $108 thousand of scorecard conversion expense that represented awards to customers that the Company paid to honor rather than allowing them to be lost in the conversion. The other items on this line of significance include the reduction in postage and printing expense combined of $243 thousand and check and other losses of $88 thousand.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was $254 thousand higher for the nine months ended September 30, 2024 compared to the same period in 2023, due to higher earnings. 2024 included an additional $331 thousand of income tax expense related to the adoption of ASU 2023-02 LIHTC as presented in Note 8 and Note 12. Effective tax rates were 20.36% and 19.72% for nine months ended September 30, 2024 and 2023 respectively. Excluding the additional $331 thousand of income tax expense, the effective rate would have been 18.86%.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Results overall, net income for the nine months ended September 30, 2024 was up $313 thousand as compared to the same period last year. Net interest income was up $1.6 million or 2.6% as the increased interest income exceeded the increased interest expense. Provision for credit losses for loans and unfunded commitments decreased $1.2 million compared to 2023. Noninterest income decreased $540 thousand and noninterest expense increased $1.7 million as described above. The Company remains strong, stable, and well capitalized and has the capacity to continue to cover the increased costs of expansion.</w:t>
      </w:r>
    </w:p>
    <w:p>
      <w:pPr>
        <w:spacing w:after="0" w:line="200" w:lineRule="exact"/>
        <w:rPr>
          <w:sz w:val="20"/>
          <w:szCs w:val="20"/>
          <w:color w:val="auto"/>
        </w:rPr>
      </w:pPr>
    </w:p>
    <w:p>
      <w:pPr>
        <w:spacing w:after="0" w:line="30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FORWARD LOOKING STATEMENTS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200" w:lineRule="exact"/>
        <w:rPr>
          <w:sz w:val="20"/>
          <w:szCs w:val="20"/>
          <w:color w:val="auto"/>
        </w:rPr>
      </w:pPr>
    </w:p>
    <w:p>
      <w:pPr>
        <w:spacing w:after="0" w:line="2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98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ITEM 3 QUALITATIVE AND QUANTITATIVE DISCLOSURES ABOUT MARKET RISK</w:t>
      </w:r>
    </w:p>
    <w:p>
      <w:pPr>
        <w:spacing w:after="0" w:line="22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43"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Interest rate risk is managed within an overall asset/liability framework. The principal objectives of asset/liability management are to manage sensitivity of net interest spreads and net income to potential changes in interest rates. Funding positions are kept within predetermined limits designed to ensure that risk-taking is not excessive and that liquidity is properly managed. In the event that our asset/liabilities management strategies are unsuccessful, our profitability may be adversely affected. The Company employs sensitivity testing utilizing interest rate shocks to help in this analysis.</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shocks presented below assume an immediate change of rate in the percentages and directions shown covering a twelve month period: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5"/>
          </w:tcPr>
          <w:p>
            <w:pPr>
              <w:jc w:val="center"/>
              <w:ind w:right="1240"/>
              <w:spacing w:after="0"/>
              <w:rPr>
                <w:sz w:val="20"/>
                <w:szCs w:val="20"/>
                <w:color w:val="auto"/>
              </w:rPr>
            </w:pPr>
            <w:r>
              <w:rPr>
                <w:rFonts w:ascii="Times New Roman" w:cs="Times New Roman" w:eastAsia="Times New Roman" w:hAnsi="Times New Roman"/>
                <w:sz w:val="18"/>
                <w:szCs w:val="18"/>
                <w:color w:val="auto"/>
                <w:w w:val="99"/>
              </w:rPr>
              <w:t>Interest Rate Shock</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Interest Rate Shock</w:t>
            </w: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64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on Net Interest Margin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on Net Interest Income</w:t>
            </w:r>
          </w:p>
        </w:tc>
      </w:tr>
      <w:tr>
        <w:trPr>
          <w:trHeight w:val="20"/>
        </w:trPr>
        <w:tc>
          <w:tcPr>
            <w:tcW w:w="11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63"/>
        </w:trPr>
        <w:tc>
          <w:tcPr>
            <w:tcW w:w="1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Net Interest</w:t>
            </w:r>
          </w:p>
        </w:tc>
        <w:tc>
          <w:tcPr>
            <w:tcW w:w="200" w:type="dxa"/>
            <w:vAlign w:val="bottom"/>
          </w:tcPr>
          <w:p>
            <w:pPr>
              <w:spacing w:after="0"/>
              <w:rPr>
                <w:sz w:val="22"/>
                <w:szCs w:val="22"/>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Change to</w:t>
            </w:r>
          </w:p>
        </w:tc>
        <w:tc>
          <w:tcPr>
            <w:tcW w:w="22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Rate</w:t>
            </w:r>
          </w:p>
        </w:tc>
        <w:tc>
          <w:tcPr>
            <w:tcW w:w="20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140" w:type="dxa"/>
            <w:vAlign w:val="bottom"/>
          </w:tcPr>
          <w:p>
            <w:pPr>
              <w:spacing w:after="0"/>
              <w:rPr>
                <w:sz w:val="22"/>
                <w:szCs w:val="22"/>
                <w:color w:val="auto"/>
              </w:rPr>
            </w:pPr>
          </w:p>
        </w:tc>
        <w:tc>
          <w:tcPr>
            <w:tcW w:w="17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Cumulative</w:t>
            </w:r>
          </w:p>
        </w:tc>
        <w:tc>
          <w:tcPr>
            <w:tcW w:w="300" w:type="dxa"/>
            <w:vAlign w:val="bottom"/>
          </w:tcPr>
          <w:p>
            <w:pPr>
              <w:spacing w:after="0"/>
              <w:rPr>
                <w:sz w:val="22"/>
                <w:szCs w:val="22"/>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 Change to</w:t>
            </w:r>
          </w:p>
        </w:tc>
      </w:tr>
      <w:tr>
        <w:trPr>
          <w:trHeight w:val="250"/>
        </w:trPr>
        <w:tc>
          <w:tcPr>
            <w:tcW w:w="1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Margin (Ratio)</w:t>
            </w:r>
          </w:p>
        </w:tc>
        <w:tc>
          <w:tcPr>
            <w:tcW w:w="200" w:type="dxa"/>
            <w:vAlign w:val="bottom"/>
          </w:tcPr>
          <w:p>
            <w:pPr>
              <w:spacing w:after="0"/>
              <w:rPr>
                <w:sz w:val="21"/>
                <w:szCs w:val="21"/>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Flat Rate</w:t>
            </w:r>
          </w:p>
        </w:tc>
        <w:tc>
          <w:tcPr>
            <w:tcW w:w="22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Direction</w:t>
            </w:r>
          </w:p>
        </w:tc>
        <w:tc>
          <w:tcPr>
            <w:tcW w:w="200" w:type="dxa"/>
            <w:vAlign w:val="bottom"/>
          </w:tcPr>
          <w:p>
            <w:pPr>
              <w:spacing w:after="0"/>
              <w:rPr>
                <w:sz w:val="21"/>
                <w:szCs w:val="21"/>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Changes by</w:t>
            </w:r>
          </w:p>
        </w:tc>
        <w:tc>
          <w:tcPr>
            <w:tcW w:w="140" w:type="dxa"/>
            <w:vAlign w:val="bottom"/>
          </w:tcPr>
          <w:p>
            <w:pPr>
              <w:spacing w:after="0"/>
              <w:rPr>
                <w:sz w:val="21"/>
                <w:szCs w:val="21"/>
                <w:color w:val="auto"/>
              </w:rPr>
            </w:pPr>
          </w:p>
        </w:tc>
        <w:tc>
          <w:tcPr>
            <w:tcW w:w="17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color w:val="auto"/>
              </w:rPr>
              <w:t>Total ($000)</w:t>
            </w:r>
          </w:p>
        </w:tc>
        <w:tc>
          <w:tcPr>
            <w:tcW w:w="30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Flat Rate</w:t>
            </w:r>
          </w:p>
        </w:tc>
      </w:tr>
      <w:tr>
        <w:trPr>
          <w:trHeight w:val="243"/>
        </w:trPr>
        <w:tc>
          <w:tcPr>
            <w:tcW w:w="1260" w:type="dxa"/>
            <w:vAlign w:val="bottom"/>
            <w:gridSpan w:val="2"/>
            <w:shd w:val="clear" w:color="auto" w:fill="CFF0FC"/>
          </w:tcPr>
          <w:p>
            <w:pPr>
              <w:jc w:val="center"/>
              <w:ind w:left="510"/>
              <w:spacing w:after="0"/>
              <w:rPr>
                <w:sz w:val="20"/>
                <w:szCs w:val="20"/>
                <w:color w:val="auto"/>
              </w:rPr>
            </w:pPr>
            <w:r>
              <w:rPr>
                <w:rFonts w:ascii="Times New Roman" w:cs="Times New Roman" w:eastAsia="Times New Roman" w:hAnsi="Times New Roman"/>
                <w:sz w:val="18"/>
                <w:szCs w:val="18"/>
                <w:color w:val="auto"/>
                <w:w w:val="98"/>
              </w:rPr>
              <w:t>2.85%</w:t>
            </w:r>
          </w:p>
        </w:tc>
        <w:tc>
          <w:tcPr>
            <w:tcW w:w="600" w:type="dxa"/>
            <w:vAlign w:val="bottom"/>
            <w:shd w:val="clear" w:color="auto" w:fill="CFF0FC"/>
          </w:tcPr>
          <w:p>
            <w:pPr>
              <w:spacing w:after="0"/>
              <w:rPr>
                <w:sz w:val="21"/>
                <w:szCs w:val="21"/>
                <w:color w:val="auto"/>
              </w:rPr>
            </w:pPr>
          </w:p>
        </w:tc>
        <w:tc>
          <w:tcPr>
            <w:tcW w:w="2040" w:type="dxa"/>
            <w:vAlign w:val="bottom"/>
            <w:gridSpan w:val="4"/>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8"/>
              </w:rPr>
              <w:t>-8.21%</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Rising</w:t>
            </w:r>
          </w:p>
        </w:tc>
        <w:tc>
          <w:tcPr>
            <w:tcW w:w="16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3.00%</w:t>
            </w:r>
          </w:p>
        </w:tc>
        <w:tc>
          <w:tcPr>
            <w:tcW w:w="1920" w:type="dxa"/>
            <w:vAlign w:val="bottom"/>
            <w:gridSpan w:val="4"/>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87,889</w:t>
            </w:r>
          </w:p>
        </w:tc>
        <w:tc>
          <w:tcPr>
            <w:tcW w:w="214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-9.24%</w:t>
            </w:r>
          </w:p>
        </w:tc>
      </w:tr>
      <w:tr>
        <w:trPr>
          <w:trHeight w:val="239"/>
        </w:trPr>
        <w:tc>
          <w:tcPr>
            <w:tcW w:w="126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8"/>
              </w:rPr>
              <w:t>2.95%</w:t>
            </w:r>
          </w:p>
        </w:tc>
        <w:tc>
          <w:tcPr>
            <w:tcW w:w="600" w:type="dxa"/>
            <w:vAlign w:val="bottom"/>
          </w:tcPr>
          <w:p>
            <w:pPr>
              <w:spacing w:after="0"/>
              <w:rPr>
                <w:sz w:val="20"/>
                <w:szCs w:val="20"/>
                <w:color w:val="auto"/>
              </w:rPr>
            </w:pPr>
          </w:p>
        </w:tc>
        <w:tc>
          <w:tcPr>
            <w:tcW w:w="204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color w:val="auto"/>
                <w:w w:val="98"/>
              </w:rPr>
              <w:t>-5.06%</w:t>
            </w:r>
          </w:p>
        </w:tc>
        <w:tc>
          <w:tcPr>
            <w:tcW w:w="2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Rising</w:t>
            </w:r>
          </w:p>
        </w:tc>
        <w:tc>
          <w:tcPr>
            <w:tcW w:w="16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2.00%</w:t>
            </w:r>
          </w:p>
        </w:tc>
        <w:tc>
          <w:tcPr>
            <w:tcW w:w="1920" w:type="dxa"/>
            <w:vAlign w:val="bottom"/>
            <w:gridSpan w:val="4"/>
          </w:tcPr>
          <w:p>
            <w:pPr>
              <w:ind w:left="1400"/>
              <w:spacing w:after="0"/>
              <w:rPr>
                <w:sz w:val="20"/>
                <w:szCs w:val="20"/>
                <w:color w:val="auto"/>
              </w:rPr>
            </w:pPr>
            <w:r>
              <w:rPr>
                <w:rFonts w:ascii="Times New Roman" w:cs="Times New Roman" w:eastAsia="Times New Roman" w:hAnsi="Times New Roman"/>
                <w:sz w:val="18"/>
                <w:szCs w:val="18"/>
                <w:color w:val="auto"/>
              </w:rPr>
              <w:t>91,146</w:t>
            </w:r>
          </w:p>
        </w:tc>
        <w:tc>
          <w:tcPr>
            <w:tcW w:w="214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w w:val="98"/>
              </w:rPr>
              <w:t>-5.88%</w:t>
            </w:r>
          </w:p>
        </w:tc>
      </w:tr>
      <w:tr>
        <w:trPr>
          <w:trHeight w:val="247"/>
        </w:trPr>
        <w:tc>
          <w:tcPr>
            <w:tcW w:w="1260" w:type="dxa"/>
            <w:vAlign w:val="bottom"/>
            <w:gridSpan w:val="2"/>
            <w:shd w:val="clear" w:color="auto" w:fill="CFF0FC"/>
          </w:tcPr>
          <w:p>
            <w:pPr>
              <w:jc w:val="center"/>
              <w:ind w:left="510"/>
              <w:spacing w:after="0"/>
              <w:rPr>
                <w:sz w:val="20"/>
                <w:szCs w:val="20"/>
                <w:color w:val="auto"/>
              </w:rPr>
            </w:pPr>
            <w:r>
              <w:rPr>
                <w:rFonts w:ascii="Times New Roman" w:cs="Times New Roman" w:eastAsia="Times New Roman" w:hAnsi="Times New Roman"/>
                <w:sz w:val="18"/>
                <w:szCs w:val="18"/>
                <w:color w:val="auto"/>
                <w:w w:val="98"/>
              </w:rPr>
              <w:t>3.13%</w:t>
            </w:r>
          </w:p>
        </w:tc>
        <w:tc>
          <w:tcPr>
            <w:tcW w:w="600" w:type="dxa"/>
            <w:vAlign w:val="bottom"/>
            <w:shd w:val="clear" w:color="auto" w:fill="CFF0FC"/>
          </w:tcPr>
          <w:p>
            <w:pPr>
              <w:spacing w:after="0"/>
              <w:rPr>
                <w:sz w:val="21"/>
                <w:szCs w:val="21"/>
                <w:color w:val="auto"/>
              </w:rPr>
            </w:pPr>
          </w:p>
        </w:tc>
        <w:tc>
          <w:tcPr>
            <w:tcW w:w="2040" w:type="dxa"/>
            <w:vAlign w:val="bottom"/>
            <w:gridSpan w:val="4"/>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8"/>
              </w:rPr>
              <w:t>0.54%</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Rising</w:t>
            </w:r>
          </w:p>
        </w:tc>
        <w:tc>
          <w:tcPr>
            <w:tcW w:w="16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1.00%</w:t>
            </w:r>
          </w:p>
        </w:tc>
        <w:tc>
          <w:tcPr>
            <w:tcW w:w="1920" w:type="dxa"/>
            <w:vAlign w:val="bottom"/>
            <w:gridSpan w:val="4"/>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96,770</w:t>
            </w:r>
          </w:p>
        </w:tc>
        <w:tc>
          <w:tcPr>
            <w:tcW w:w="214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-0.07%</w:t>
            </w:r>
          </w:p>
        </w:tc>
      </w:tr>
      <w:tr>
        <w:trPr>
          <w:trHeight w:val="239"/>
        </w:trPr>
        <w:tc>
          <w:tcPr>
            <w:tcW w:w="126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8"/>
              </w:rPr>
              <w:t>3.11%</w:t>
            </w:r>
          </w:p>
        </w:tc>
        <w:tc>
          <w:tcPr>
            <w:tcW w:w="600" w:type="dxa"/>
            <w:vAlign w:val="bottom"/>
          </w:tcPr>
          <w:p>
            <w:pPr>
              <w:spacing w:after="0"/>
              <w:rPr>
                <w:sz w:val="20"/>
                <w:szCs w:val="20"/>
                <w:color w:val="auto"/>
              </w:rPr>
            </w:pPr>
          </w:p>
        </w:tc>
        <w:tc>
          <w:tcPr>
            <w:tcW w:w="204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auto"/>
                <w:w w:val="98"/>
              </w:rPr>
              <w:t>0.00%</w:t>
            </w:r>
          </w:p>
        </w:tc>
        <w:tc>
          <w:tcPr>
            <w:tcW w:w="2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Flat</w:t>
            </w:r>
          </w:p>
        </w:tc>
        <w:tc>
          <w:tcPr>
            <w:tcW w:w="16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0.00%</w:t>
            </w:r>
          </w:p>
        </w:tc>
        <w:tc>
          <w:tcPr>
            <w:tcW w:w="1920" w:type="dxa"/>
            <w:vAlign w:val="bottom"/>
            <w:gridSpan w:val="4"/>
          </w:tcPr>
          <w:p>
            <w:pPr>
              <w:ind w:left="1400"/>
              <w:spacing w:after="0"/>
              <w:rPr>
                <w:sz w:val="20"/>
                <w:szCs w:val="20"/>
                <w:color w:val="auto"/>
              </w:rPr>
            </w:pPr>
            <w:r>
              <w:rPr>
                <w:rFonts w:ascii="Times New Roman" w:cs="Times New Roman" w:eastAsia="Times New Roman" w:hAnsi="Times New Roman"/>
                <w:sz w:val="18"/>
                <w:szCs w:val="18"/>
                <w:color w:val="auto"/>
              </w:rPr>
              <w:t>96,837</w:t>
            </w:r>
          </w:p>
        </w:tc>
        <w:tc>
          <w:tcPr>
            <w:tcW w:w="214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47"/>
        </w:trPr>
        <w:tc>
          <w:tcPr>
            <w:tcW w:w="1260" w:type="dxa"/>
            <w:vAlign w:val="bottom"/>
            <w:gridSpan w:val="2"/>
            <w:shd w:val="clear" w:color="auto" w:fill="CFF0FC"/>
          </w:tcPr>
          <w:p>
            <w:pPr>
              <w:jc w:val="center"/>
              <w:ind w:left="510"/>
              <w:spacing w:after="0"/>
              <w:rPr>
                <w:sz w:val="20"/>
                <w:szCs w:val="20"/>
                <w:color w:val="auto"/>
              </w:rPr>
            </w:pPr>
            <w:r>
              <w:rPr>
                <w:rFonts w:ascii="Times New Roman" w:cs="Times New Roman" w:eastAsia="Times New Roman" w:hAnsi="Times New Roman"/>
                <w:sz w:val="18"/>
                <w:szCs w:val="18"/>
                <w:color w:val="auto"/>
                <w:w w:val="98"/>
              </w:rPr>
              <w:t>3.14%</w:t>
            </w:r>
          </w:p>
        </w:tc>
        <w:tc>
          <w:tcPr>
            <w:tcW w:w="600" w:type="dxa"/>
            <w:vAlign w:val="bottom"/>
            <w:shd w:val="clear" w:color="auto" w:fill="CFF0FC"/>
          </w:tcPr>
          <w:p>
            <w:pPr>
              <w:spacing w:after="0"/>
              <w:rPr>
                <w:sz w:val="21"/>
                <w:szCs w:val="21"/>
                <w:color w:val="auto"/>
              </w:rPr>
            </w:pPr>
          </w:p>
        </w:tc>
        <w:tc>
          <w:tcPr>
            <w:tcW w:w="2040" w:type="dxa"/>
            <w:vAlign w:val="bottom"/>
            <w:gridSpan w:val="4"/>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8"/>
              </w:rPr>
              <w:t>1.01%</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Falling</w:t>
            </w:r>
          </w:p>
        </w:tc>
        <w:tc>
          <w:tcPr>
            <w:tcW w:w="16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8"/>
              </w:rPr>
              <w:t>-1.00%</w:t>
            </w:r>
          </w:p>
        </w:tc>
        <w:tc>
          <w:tcPr>
            <w:tcW w:w="1920" w:type="dxa"/>
            <w:vAlign w:val="bottom"/>
            <w:gridSpan w:val="4"/>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98,061</w:t>
            </w:r>
          </w:p>
        </w:tc>
        <w:tc>
          <w:tcPr>
            <w:tcW w:w="2140" w:type="dxa"/>
            <w:vAlign w:val="bottom"/>
            <w:gridSpan w:val="4"/>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8"/>
              </w:rPr>
              <w:t>1.27%</w:t>
            </w:r>
          </w:p>
        </w:tc>
      </w:tr>
      <w:tr>
        <w:trPr>
          <w:trHeight w:val="239"/>
        </w:trPr>
        <w:tc>
          <w:tcPr>
            <w:tcW w:w="126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8"/>
              </w:rPr>
              <w:t>3.11%</w:t>
            </w:r>
          </w:p>
        </w:tc>
        <w:tc>
          <w:tcPr>
            <w:tcW w:w="600" w:type="dxa"/>
            <w:vAlign w:val="bottom"/>
          </w:tcPr>
          <w:p>
            <w:pPr>
              <w:spacing w:after="0"/>
              <w:rPr>
                <w:sz w:val="20"/>
                <w:szCs w:val="20"/>
                <w:color w:val="auto"/>
              </w:rPr>
            </w:pPr>
          </w:p>
        </w:tc>
        <w:tc>
          <w:tcPr>
            <w:tcW w:w="204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color w:val="auto"/>
                <w:w w:val="98"/>
              </w:rPr>
              <w:t>-0.04%</w:t>
            </w:r>
          </w:p>
        </w:tc>
        <w:tc>
          <w:tcPr>
            <w:tcW w:w="2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Falling</w:t>
            </w:r>
          </w:p>
        </w:tc>
        <w:tc>
          <w:tcPr>
            <w:tcW w:w="16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8"/>
              </w:rPr>
              <w:t>-2.00%</w:t>
            </w:r>
          </w:p>
        </w:tc>
        <w:tc>
          <w:tcPr>
            <w:tcW w:w="1920" w:type="dxa"/>
            <w:vAlign w:val="bottom"/>
            <w:gridSpan w:val="4"/>
          </w:tcPr>
          <w:p>
            <w:pPr>
              <w:ind w:left="1400"/>
              <w:spacing w:after="0"/>
              <w:rPr>
                <w:sz w:val="20"/>
                <w:szCs w:val="20"/>
                <w:color w:val="auto"/>
              </w:rPr>
            </w:pPr>
            <w:r>
              <w:rPr>
                <w:rFonts w:ascii="Times New Roman" w:cs="Times New Roman" w:eastAsia="Times New Roman" w:hAnsi="Times New Roman"/>
                <w:sz w:val="18"/>
                <w:szCs w:val="18"/>
                <w:color w:val="auto"/>
              </w:rPr>
              <w:t>97,509</w:t>
            </w:r>
          </w:p>
        </w:tc>
        <w:tc>
          <w:tcPr>
            <w:tcW w:w="214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8"/>
              </w:rPr>
              <w:t>0.70%</w:t>
            </w:r>
          </w:p>
        </w:tc>
      </w:tr>
      <w:tr>
        <w:trPr>
          <w:trHeight w:val="247"/>
        </w:trPr>
        <w:tc>
          <w:tcPr>
            <w:tcW w:w="1260" w:type="dxa"/>
            <w:vAlign w:val="bottom"/>
            <w:gridSpan w:val="2"/>
            <w:shd w:val="clear" w:color="auto" w:fill="CFF0FC"/>
          </w:tcPr>
          <w:p>
            <w:pPr>
              <w:jc w:val="center"/>
              <w:ind w:left="510"/>
              <w:spacing w:after="0"/>
              <w:rPr>
                <w:sz w:val="20"/>
                <w:szCs w:val="20"/>
                <w:color w:val="auto"/>
              </w:rPr>
            </w:pPr>
            <w:r>
              <w:rPr>
                <w:rFonts w:ascii="Times New Roman" w:cs="Times New Roman" w:eastAsia="Times New Roman" w:hAnsi="Times New Roman"/>
                <w:sz w:val="18"/>
                <w:szCs w:val="18"/>
                <w:color w:val="auto"/>
                <w:w w:val="98"/>
              </w:rPr>
              <w:t>3.03%</w:t>
            </w:r>
          </w:p>
        </w:tc>
        <w:tc>
          <w:tcPr>
            <w:tcW w:w="600" w:type="dxa"/>
            <w:vAlign w:val="bottom"/>
            <w:shd w:val="clear" w:color="auto" w:fill="CFF0FC"/>
          </w:tcPr>
          <w:p>
            <w:pPr>
              <w:spacing w:after="0"/>
              <w:rPr>
                <w:sz w:val="21"/>
                <w:szCs w:val="21"/>
                <w:color w:val="auto"/>
              </w:rPr>
            </w:pPr>
          </w:p>
        </w:tc>
        <w:tc>
          <w:tcPr>
            <w:tcW w:w="2040" w:type="dxa"/>
            <w:vAlign w:val="bottom"/>
            <w:gridSpan w:val="4"/>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8"/>
              </w:rPr>
              <w:t>-2.67%</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Falling</w:t>
            </w:r>
          </w:p>
        </w:tc>
        <w:tc>
          <w:tcPr>
            <w:tcW w:w="16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8"/>
              </w:rPr>
              <w:t>-3.00%</w:t>
            </w:r>
          </w:p>
        </w:tc>
        <w:tc>
          <w:tcPr>
            <w:tcW w:w="1920" w:type="dxa"/>
            <w:vAlign w:val="bottom"/>
            <w:gridSpan w:val="4"/>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95,580</w:t>
            </w:r>
          </w:p>
        </w:tc>
        <w:tc>
          <w:tcPr>
            <w:tcW w:w="214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-1.30%</w:t>
            </w:r>
          </w:p>
        </w:tc>
      </w:tr>
    </w:tbl>
    <w:p>
      <w:pPr>
        <w:spacing w:after="0" w:line="198"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net interest margin represents the forecasted twelve month margin. The Company also reviews shocks with a 4.00% fluctuation and over a 24 month time frame. It also shows the effect rate changes will have on both the margin and net interest income. The goal of the Company is to gather more core deposits, such as checking and savings accounts. Checking accounts are preferable for the lower cost of funds and the opportunity to garner noninterest revenue from additional services provided. Savings and money market accounts are beneficial due to the variability of the interest in both rate and immediate option to reprice. Certificate of deposit pricing is more favorable in shorter terms with the future long term rate movements unknown at this time.</w:t>
      </w:r>
    </w:p>
    <w:p>
      <w:pPr>
        <w:spacing w:after="0" w:line="147" w:lineRule="exact"/>
        <w:rPr>
          <w:sz w:val="20"/>
          <w:szCs w:val="20"/>
          <w:color w:val="auto"/>
        </w:rPr>
      </w:pPr>
    </w:p>
    <w:p>
      <w:pPr>
        <w:jc w:val="both"/>
        <w:ind w:left="760"/>
        <w:spacing w:after="0" w:line="268" w:lineRule="auto"/>
        <w:rPr>
          <w:sz w:val="20"/>
          <w:szCs w:val="20"/>
          <w:color w:val="auto"/>
        </w:rPr>
      </w:pPr>
      <w:r>
        <w:rPr>
          <w:rFonts w:ascii="Times New Roman" w:cs="Times New Roman" w:eastAsia="Times New Roman" w:hAnsi="Times New Roman"/>
          <w:sz w:val="17"/>
          <w:szCs w:val="17"/>
          <w:color w:val="auto"/>
        </w:rPr>
        <w:t>The shock chart currently shows a slight widening in net interest margin over the next twelve months in a rising rate environment up to a 1.00% increase and a tightening compared to 2.00% as it moves from 1.00% towards the 3.00% increase. There is also a slight widening in net interest margin as rates fall 1.00% and a tightening as rates continue to fall 2.00% and 3.00%. This is indicative of what the Company experienced over the previous 18 months when rates increased quickly. A benefit in the initial 100 basis point rise was overshadowed by the higher spread increase in the cost of funds as the rates continued to rise. The 1.00% rising rate scenario is predicted to expand the net interest margin and produce a higher level of net interest income. Cost of funds are at 3.16% for the year so the falling shock of 300 basis points is where the Bank can take partial advantage and reprice some funds to match the level of shock. However, there are certificates of deposit and FHLB term advances whose ability to reprice are outside of the twelve month term. Much of the legacy nonmaturity deposit rates are also lower than the percentage of shock. This is why the negative percentage increases as the rate decrease rises. Once the shocks are falling over 200 basis points, there are limited funds to reprice lower and the loss on net interest income continues to build. The average duration of the majority of the assets is outside the 12 month shock period. Older loans continue to reprice higher in the next twelve months based on current rates and impacting positively for the 100 basis points drop. The majority of the newer loans added to the commercial real estate portfolio begin with an initial fixed rate period of three to five years whose variable adjustment is outside of the current shock time frame. The Bank continues to review and uses external assistance to monitor and adjust our assumptions concerning decay rates, key rate ties on certain deposit accounts and prepayment speeds on loans. Rates are modified as index rates change. Both directional changes are within the Bank's risk tolerance. The effect of the rate shocks may be mitigated to the extent that not all lines of business are directly tied to an external index and actual balance sheet composition may differ from prediction.</w:t>
      </w:r>
    </w:p>
    <w:p>
      <w:pPr>
        <w:spacing w:after="0" w:line="139" w:lineRule="exact"/>
        <w:rPr>
          <w:sz w:val="20"/>
          <w:szCs w:val="20"/>
          <w:color w:val="auto"/>
        </w:rPr>
      </w:pPr>
    </w:p>
    <w:p>
      <w:pPr>
        <w:jc w:val="center"/>
        <w:ind w:left="640" w:right="440"/>
        <w:spacing w:after="0" w:line="407" w:lineRule="auto"/>
        <w:rPr>
          <w:sz w:val="20"/>
          <w:szCs w:val="20"/>
          <w:color w:val="auto"/>
        </w:rPr>
      </w:pPr>
      <w:r>
        <w:rPr>
          <w:rFonts w:ascii="Times New Roman" w:cs="Times New Roman" w:eastAsia="Times New Roman" w:hAnsi="Times New Roman"/>
          <w:sz w:val="18"/>
          <w:szCs w:val="18"/>
          <w:color w:val="auto"/>
        </w:rPr>
        <w:t>Overall, the Company must concentrate on increasing loan spreads on variable loans and limit the increase on cost of funds where possible.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8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the end of the period covered by this report. There have been no changes in the Company's internal control over financial reporting that occurred during the most recent fiscal quarter that have materially affected, or are reasonably likely to materially affect, the Company's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8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212529"/>
        </w:rPr>
        <w:t xml:space="preserve">Except as indicated below, there have been no material changes in the Company’s risk factors from those disclosed in the Company’s Annual Report on Form 10-K for the year </w:t>
      </w:r>
      <w:r>
        <w:rPr>
          <w:rFonts w:ascii="Times New Roman" w:cs="Times New Roman" w:eastAsia="Times New Roman" w:hAnsi="Times New Roman"/>
          <w:sz w:val="18"/>
          <w:szCs w:val="18"/>
          <w:color w:val="000000"/>
        </w:rPr>
        <w:t>ended December 31, 2023.</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202"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Liquidity measures the ability to meet current and future cash flow needs as they become due. The liquidity of a financial institution reflects its ability to meet loan requests, to accommodate possible outflows in deposits, and to take advantage of interest rate market opportunities. The ability of a financial institution to meet its current financial obligations is a function of its balance sheet structure, its ability to liquidate assets, and its access to alternative sources of funds. The bank failures in 2023 exemplify the potentially catastrophic results of the unexpected inability of insured depository institutions to obtain needed liquidity to satisfy deposit withdrawal requests, including how quickly such requests can accelerate once uninsured depositors lose confidence in an institution’s ability to satisfy its obligations to depositors. We continually strive to ensure our funding needs are met by maintaining a level of liquidity through asset and liability management. If we become unable to obtain funds when needed, it could have a material adverse effect on our business, financial condition, and results of operations.</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Interest Rate Risk with Respect to the Value of Our Securities Portfolio</w:t>
      </w:r>
    </w:p>
    <w:p>
      <w:pPr>
        <w:spacing w:after="0" w:line="189"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As a result of inflationary pressures and the resulting rapid increases in interest rates over the prior two fiscal years, the trading value of previously issued government and other fixed income securities has declined significantly. These securities make up a majority of the securities portfolio of most banks in the U.S., including the Company’s, resulting in unrealized losses embedded in the held-to-maturity portion of U.S. banks’ securities portfolios. While the Company does not currently intend to sell these securities, if the Company were required to sell such securities to meet liquidity needs, it may incur losses, which could impair the Company’s capital, financial condition, and results of operations and require the Company to raise additional capital on unfavorable terms, thereby negatively impacting its profitability. While the Company has taken actions to maximize its funding sources, there is no guarantee that such actions will be successful or sufficient in the event of sudden liquidity needs.</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Uninsured Deposit Risk</w:t>
      </w:r>
    </w:p>
    <w:p>
      <w:pPr>
        <w:spacing w:after="0" w:line="189"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Uninsured deposits based on FDIC coverage as a percentage of total deposits was 20.9% as of September 30, 2024, and as of the same date, total uninsured deposits (includes public deposits with protection over FDIC) was 10.5%. The use of the financial network products, such as the Certificate of Deposit Account Registry (CDARS) and an Insured Cash Sweep which makes FDIC coverage available to larger depositors, contributes to the low uninsured percentage. Uninsured deposits historically have been viewed by the FDIC as less stable than insured deposits. According to statements made by the FDIC staff and the leadership of the federal banking agencies, customers with larger uninsured deposit account balances often are small- and mid-sized businesses that rely upon deposit funds for payment of operational expenses and, as a result, are more likely to closely monitor the financial condition and performance of their depository institutions. As a result, in the event of financial distress, uninsured depositors historically have been more likely to withdraw their deposits. If a significant portion of our deposits were to be withdrawn within a short period of time such that additional sources of funding would be required to meet withdrawal demands, we may be unable to obtain funding at favorable terms, which may have an adverse effect on our net interest margin. Obtaining adequate funding to meet our deposit obligations may be more challenging during periods of elevated prevailing interest rates, such as the present, and our ability to attract depositors during a time of actual or perceived distress or instability in the marketplace may be limited. Further, interest rates paid for non-deposit borrowings generally exceed the interest rates paid on deposits, and this spread may be exacerbated by higher prevailing interest rates.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Recent Events Impacting the Financial Services Industry</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heightened likelihood of rate changes is impacting the financial services industry as institutions may be impacted by a mismatch of the amount of assets versus liabilities on the balance sheet immediately repricing. Adding to the possible rate change is the complication of the length and effect of an inverted yield curve. The first rate change will assess the validity of assumptions in the institutions’ asset liability models.</w:t>
      </w:r>
    </w:p>
    <w:p>
      <w:pPr>
        <w:spacing w:after="0" w:line="13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outcome of the upcoming political races has the potential to cause disruption within the industry. Many regulatory regulations are currently in a limbo status and whose enactment or enforcement may or may not become effective depending on the results of the elections in the fourth quarter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Periods of inflation may impact our profitability by negatively impacting our fixed costs and expenses, including increasing funding costs and expense related to talent acquisition and retention. Additionally, inflation may lead to a decrease in our customers’ purchasing power and negatively affect the need or demand for our products and services. If significant inflation continues, our business could also be negatively affected by, among other things, increased default rates leading to credit losses which could decrease our appetite for new credit extensions.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Change Risk</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an increasing concern over the risks of climate change and related environmental sustainability matters. The physical risks of climate change include discrete events, such as flooding and wildfires, and longer-term shifts in climate patterns, such as extreme heat, sea level rise, and more frequent and prolonged drought. Under medium or longer-term scenarios, such events, if uninterrupted or unaddressed, could disrupt our operations or those of our customers or third parties on which we rely, including through direct damage to assets and indirect impacts from supply chain disruption and market volatility. While the timing and severity of climate change may not be entirely predictable and our risk management processes may not be effective in mitigating climate risk exposure, we continue to build capabilities to identify, assess, and manage climate risks.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While our primary markets have seemingly been minimally impacted by climate change to date, the increasing unpredictability of severe weather events, primarily droughts and flooding, could have a significant impact on our agricultural customers; loans to which comprise approximately 14.1% of the Bank’s total loan portfolio.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Modeling Risk</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quantitative modeling to measure risks and to estimate certain financial values. Quantitative models may be used to help manage certain aspects of our business and to assist with certain business decisions, including estimating expected lifetime credit losses, measuring the fair value of financial instruments when reliable market prices are unavailable, estimating the effects of changing interest rates and other market measures on our financial condition and results of operations, managing risk, and for capital planning purposes. All models have certain limitations. For instance, these methodologies inherently rely on assumptions, historical analyses, and correlations which may not capture or fully incorporate all relevant conditions and circumstances. As a consequence, such limitations may result in losses, particularly in times of market distress. Additionally, as businesses and markets continue to rapidly evolve, our measurements may not accurately reflect this evolution. Even if the underlying assumptions and historical correlations used in our models are adequate, our models may be deficient due to errors in computer code, inaccurate data, misuse of data, or the use of a model for a purpose outside the scope of the model’s design.</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Reliance on such models presents the risk that our resulting business decisions will be adversely affected due to incorrect, missing, or misleading information. If our models fail to produce reliable results on an ongoing basis, we may not make appropriate risk management, capital planning, or other business or financial decisions. Strategies that we employ to manage and govern the risks associated with our use of models may not be effective or fully reliable. Also, information that we provide to the public or regulators based on poorly designed models could be inaccurate or misleading.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and Geopolitical Instability and Inflationary Risks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Geopolitical conditions, terrorist attacks, military conflicts, natural disasters, severe weather, widespread health emergencies or pandemics, information or cybersecurity incidents (including intrusion into or degradation or unavailability of systems or technology by cyberattacks), operational incidents and other catastrophic events can have a material adverse effect on our business. Political and social conditions, including actions upending geopolitical stability (such as from tensions involving China and the U.S., as well as continued conflict between Russia and Ukraine), fiscal and monetary policies (including developments related to the U.S. federal debt ceiling, budgetary issues and government shutdowns), trade wars and tariffs, labor shortages, regional or domestic hostilities, economic sanctions and the prospect or occurrence of more widespread</w:t>
      </w:r>
    </w:p>
    <w:p>
      <w:pPr>
        <w:spacing w:after="0" w:line="8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57" w:right="339" w:bottom="1440" w:gutter="0" w:footer="0" w:header="0"/>
        </w:sectPr>
      </w:pPr>
    </w:p>
    <w:bookmarkStart w:id="78" w:name="page79"/>
    <w:bookmarkEnd w:id="78"/>
    <w:p>
      <w:pPr>
        <w:jc w:val="both"/>
        <w:spacing w:after="0" w:line="282" w:lineRule="auto"/>
        <w:rPr>
          <w:sz w:val="20"/>
          <w:szCs w:val="20"/>
          <w:color w:val="auto"/>
        </w:rPr>
      </w:pPr>
      <w:r>
        <w:rPr>
          <w:rFonts w:ascii="Times New Roman" w:cs="Times New Roman" w:eastAsia="Times New Roman" w:hAnsi="Times New Roman"/>
          <w:sz w:val="18"/>
          <w:szCs w:val="18"/>
          <w:color w:val="auto"/>
        </w:rPr>
        <w:t>conflicts could also negatively affect our business, operations and partners, consumer and business spending, including consumer spending patterns and business investment, and demand for credit.</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the stock market continues to remain robust through the third quarter of 2024, certain indicators suggest that there could be looming trouble in the national and global economies related to increased fiscal deficits and the need for additional borrowing by the U.S. government to fund both its operations and to service its existing debt. In addition, data supplied by the Federal Reserve continues to show a systematic decline in consumer confidence in the U.S. since the beginning of 2024. Some of the basis for the current consumer sentiment is related to pressure on home values, primarily in the sunbelt states, as well as increasing concern over job security. While personal consumption has remained relatively strong on a national basis through August of 2024, many economists warn that a significant reduction in consumer spending may become a factor going into fiscal year 2025.</w:t>
      </w:r>
    </w:p>
    <w:p>
      <w:pPr>
        <w:spacing w:after="0" w:line="200" w:lineRule="exact"/>
        <w:rPr>
          <w:sz w:val="20"/>
          <w:szCs w:val="20"/>
          <w:color w:val="auto"/>
        </w:rPr>
      </w:pPr>
    </w:p>
    <w:p>
      <w:pPr>
        <w:spacing w:after="0" w:line="2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61"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71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w w:val="99"/>
              </w:rPr>
              <w:t>ITEM 2 UNREGISTERED SALES OF EQUITY SECURITIES AND USE OF PROCEEDS</w:t>
            </w:r>
          </w:p>
        </w:tc>
        <w:tc>
          <w:tcPr>
            <w:tcW w:w="17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5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Treasury stock repurchased the quarter ended September 30, 2024.</w:t>
            </w: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27"/>
        </w:trPr>
        <w:tc>
          <w:tcPr>
            <w:tcW w:w="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 Maximum</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 Total Number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Shares Purchased</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Shares that may</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as Part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yet be</w:t>
            </w:r>
          </w:p>
        </w:tc>
      </w:tr>
      <w:tr>
        <w:trPr>
          <w:trHeight w:val="216"/>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Publicly</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 under the</w:t>
            </w:r>
          </w:p>
        </w:tc>
      </w:tr>
      <w:tr>
        <w:trPr>
          <w:trHeight w:val="182"/>
        </w:trPr>
        <w:tc>
          <w:tcPr>
            <w:tcW w:w="5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580" w:type="dxa"/>
            <w:vAlign w:val="bottom"/>
          </w:tcPr>
          <w:p>
            <w:pPr>
              <w:jc w:val="right"/>
              <w:ind w:right="334"/>
              <w:spacing w:after="0" w:line="182" w:lineRule="exact"/>
              <w:rPr>
                <w:sz w:val="20"/>
                <w:szCs w:val="20"/>
                <w:color w:val="auto"/>
              </w:rPr>
            </w:pPr>
            <w:r>
              <w:rPr>
                <w:rFonts w:ascii="Times New Roman" w:cs="Times New Roman" w:eastAsia="Times New Roman" w:hAnsi="Times New Roman"/>
                <w:sz w:val="18"/>
                <w:szCs w:val="18"/>
                <w:color w:val="auto"/>
              </w:rPr>
              <w:t>(a) Total Number of</w:t>
            </w:r>
          </w:p>
        </w:tc>
        <w:tc>
          <w:tcPr>
            <w:tcW w:w="1580" w:type="dxa"/>
            <w:vAlign w:val="bottom"/>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rPr>
              <w:t>(b) Average Price</w:t>
            </w:r>
          </w:p>
        </w:tc>
        <w:tc>
          <w:tcPr>
            <w:tcW w:w="17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Announced Plan</w:t>
            </w:r>
          </w:p>
        </w:tc>
        <w:tc>
          <w:tcPr>
            <w:tcW w:w="17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Plans or</w:t>
            </w:r>
          </w:p>
        </w:tc>
      </w:tr>
      <w:tr>
        <w:trPr>
          <w:trHeight w:val="281"/>
        </w:trPr>
        <w:tc>
          <w:tcPr>
            <w:tcW w:w="580" w:type="dxa"/>
            <w:vAlign w:val="bottom"/>
          </w:tcPr>
          <w:p>
            <w:pPr>
              <w:spacing w:after="0"/>
              <w:rPr>
                <w:sz w:val="24"/>
                <w:szCs w:val="24"/>
                <w:color w:val="auto"/>
              </w:rPr>
            </w:pPr>
          </w:p>
        </w:tc>
        <w:tc>
          <w:tcPr>
            <w:tcW w:w="24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Period</w:t>
            </w:r>
          </w:p>
        </w:tc>
        <w:tc>
          <w:tcPr>
            <w:tcW w:w="25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Shares Purchased</w:t>
            </w:r>
          </w:p>
        </w:tc>
        <w:tc>
          <w:tcPr>
            <w:tcW w:w="1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Paid per Share</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 xml:space="preserve">or Programs </w:t>
            </w:r>
            <w:r>
              <w:rPr>
                <w:rFonts w:ascii="Times New Roman" w:cs="Times New Roman" w:eastAsia="Times New Roman" w:hAnsi="Times New Roman"/>
                <w:sz w:val="24"/>
                <w:szCs w:val="24"/>
                <w:color w:val="auto"/>
                <w:w w:val="96"/>
                <w:vertAlign w:val="superscript"/>
              </w:rPr>
              <w:t>(1)</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Programs</w:t>
            </w:r>
          </w:p>
        </w:tc>
      </w:tr>
      <w:tr>
        <w:trPr>
          <w:trHeight w:val="237"/>
        </w:trPr>
        <w:tc>
          <w:tcPr>
            <w:tcW w:w="580" w:type="dxa"/>
            <w:vAlign w:val="bottom"/>
          </w:tcPr>
          <w:p>
            <w:pPr>
              <w:spacing w:after="0"/>
              <w:rPr>
                <w:sz w:val="20"/>
                <w:szCs w:val="20"/>
                <w:color w:val="auto"/>
              </w:rPr>
            </w:pPr>
          </w:p>
        </w:tc>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7/1/2024 to 7/31/2024</w:t>
            </w:r>
          </w:p>
        </w:tc>
        <w:tc>
          <w:tcPr>
            <w:tcW w:w="2580" w:type="dxa"/>
            <w:vAlign w:val="bottom"/>
            <w:shd w:val="clear" w:color="auto" w:fill="CFF0FC"/>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639,000</w:t>
            </w:r>
          </w:p>
        </w:tc>
      </w:tr>
      <w:tr>
        <w:trPr>
          <w:trHeight w:val="286"/>
        </w:trPr>
        <w:tc>
          <w:tcPr>
            <w:tcW w:w="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580" w:type="dxa"/>
            <w:vAlign w:val="bottom"/>
          </w:tcPr>
          <w:p>
            <w:pPr>
              <w:jc w:val="right"/>
              <w:ind w:right="54"/>
              <w:spacing w:after="0"/>
              <w:rPr>
                <w:sz w:val="20"/>
                <w:szCs w:val="20"/>
                <w:color w:val="auto"/>
              </w:rPr>
            </w:pPr>
            <w:r>
              <w:rPr>
                <w:rFonts w:ascii="Times New Roman" w:cs="Times New Roman" w:eastAsia="Times New Roman" w:hAnsi="Times New Roman"/>
                <w:sz w:val="12"/>
                <w:szCs w:val="12"/>
                <w:color w:val="auto"/>
              </w:rPr>
              <w:t>(2</w:t>
            </w: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4"/>
        </w:trPr>
        <w:tc>
          <w:tcPr>
            <w:tcW w:w="580" w:type="dxa"/>
            <w:vAlign w:val="bottom"/>
          </w:tcPr>
          <w:p>
            <w:pPr>
              <w:spacing w:after="0"/>
              <w:rPr>
                <w:sz w:val="22"/>
                <w:szCs w:val="22"/>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8/1/2024 to 8/31/2024</w:t>
            </w:r>
          </w:p>
        </w:tc>
        <w:tc>
          <w:tcPr>
            <w:tcW w:w="2580" w:type="dxa"/>
            <w:vAlign w:val="bottom"/>
          </w:tcPr>
          <w:p>
            <w:pPr>
              <w:jc w:val="right"/>
              <w:ind w:right="134"/>
              <w:spacing w:after="0" w:line="255" w:lineRule="exact"/>
              <w:rPr>
                <w:sz w:val="20"/>
                <w:szCs w:val="20"/>
                <w:color w:val="auto"/>
              </w:rPr>
            </w:pPr>
            <w:r>
              <w:rPr>
                <w:rFonts w:ascii="Times New Roman" w:cs="Times New Roman" w:eastAsia="Times New Roman" w:hAnsi="Times New Roman"/>
                <w:sz w:val="18"/>
                <w:szCs w:val="18"/>
                <w:color w:val="auto"/>
              </w:rPr>
              <w:t xml:space="preserve">12,401  </w:t>
            </w:r>
            <w:r>
              <w:rPr>
                <w:rFonts w:ascii="Times New Roman" w:cs="Times New Roman" w:eastAsia="Times New Roman" w:hAnsi="Times New Roman"/>
                <w:sz w:val="24"/>
                <w:szCs w:val="24"/>
                <w:color w:val="auto"/>
                <w:vertAlign w:val="superscript"/>
              </w:rPr>
              <w:t>)</w:t>
            </w: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25.55</w:t>
            </w:r>
          </w:p>
        </w:tc>
        <w:tc>
          <w:tcPr>
            <w:tcW w:w="1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639,000</w:t>
            </w:r>
          </w:p>
        </w:tc>
      </w:tr>
      <w:tr>
        <w:trPr>
          <w:trHeight w:val="243"/>
        </w:trPr>
        <w:tc>
          <w:tcPr>
            <w:tcW w:w="5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24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9/1/2024 to 9/30/2024</w:t>
            </w:r>
          </w:p>
        </w:tc>
        <w:tc>
          <w:tcPr>
            <w:tcW w:w="2580" w:type="dxa"/>
            <w:vAlign w:val="bottom"/>
            <w:tcBorders>
              <w:bottom w:val="single" w:sz="8" w:color="auto"/>
            </w:tcBorders>
            <w:shd w:val="clear" w:color="auto" w:fill="CFF0FC"/>
          </w:tcPr>
          <w:p>
            <w:pPr>
              <w:jc w:val="right"/>
              <w:ind w:right="314"/>
              <w:spacing w:after="0"/>
              <w:rPr>
                <w:sz w:val="20"/>
                <w:szCs w:val="20"/>
                <w:color w:val="auto"/>
              </w:rPr>
            </w:pPr>
            <w:r>
              <w:rPr>
                <w:rFonts w:ascii="Times New Roman" w:cs="Times New Roman" w:eastAsia="Times New Roman" w:hAnsi="Times New Roman"/>
                <w:sz w:val="18"/>
                <w:szCs w:val="18"/>
                <w:color w:val="auto"/>
              </w:rPr>
              <w:t>500</w:t>
            </w:r>
          </w:p>
        </w:tc>
        <w:tc>
          <w:tcPr>
            <w:tcW w:w="15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27.42</w:t>
            </w: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638,500</w:t>
            </w:r>
          </w:p>
        </w:tc>
      </w:tr>
      <w:tr>
        <w:trPr>
          <w:trHeight w:val="236"/>
        </w:trPr>
        <w:tc>
          <w:tcPr>
            <w:tcW w:w="58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rPr>
              <w:t>12,901</w:t>
            </w:r>
          </w:p>
        </w:tc>
        <w:tc>
          <w:tcPr>
            <w:tcW w:w="1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25.62</w:t>
            </w:r>
          </w:p>
        </w:tc>
        <w:tc>
          <w:tcPr>
            <w:tcW w:w="1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638,500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-668020</wp:posOffset>
            </wp:positionV>
            <wp:extent cx="6412230" cy="18859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412230" cy="188595"/>
                    </a:xfrm>
                    <a:prstGeom prst="rect">
                      <a:avLst/>
                    </a:prstGeom>
                    <a:noFill/>
                  </pic:spPr>
                </pic:pic>
              </a:graphicData>
            </a:graphic>
          </wp:anchor>
        </w:drawing>
      </w:r>
    </w:p>
    <w:p>
      <w:pPr>
        <w:spacing w:after="0" w:line="178" w:lineRule="exact"/>
        <w:rPr>
          <w:sz w:val="20"/>
          <w:szCs w:val="20"/>
          <w:color w:val="auto"/>
        </w:rPr>
      </w:pPr>
    </w:p>
    <w:p>
      <w:pPr>
        <w:jc w:val="both"/>
        <w:ind w:left="1140" w:hanging="383"/>
        <w:spacing w:after="0" w:line="257"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purchases shares in the market pursuant to a stock repurchase program publicly announced on January 16, 2024. On that date, the Board of Directors authorized the repurchase of 650,000 common shares between January 16, 2024 and December 31, 2024.</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which are returned to account for tax payable on vested stock awards are outside of the Company’s stock repurchase program.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DEFAULTS UPON SENIOR SECURITIES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MINE SAFETY DISCLOSURES</w:t>
      </w:r>
    </w:p>
    <w:p>
      <w:pPr>
        <w:spacing w:after="0" w:line="225" w:lineRule="exact"/>
        <w:rPr>
          <w:sz w:val="20"/>
          <w:szCs w:val="20"/>
          <w:color w:val="auto"/>
        </w:rPr>
      </w:pPr>
    </w:p>
    <w:p>
      <w:pPr>
        <w:jc w:val="center"/>
        <w:ind w:right="86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most recently completed fiscal quarter, no director or officer of the Company adopted or terminated:</w:t>
      </w:r>
    </w:p>
    <w:p>
      <w:pPr>
        <w:spacing w:after="0" w:line="27" w:lineRule="exact"/>
        <w:rPr>
          <w:sz w:val="20"/>
          <w:szCs w:val="20"/>
          <w:color w:val="auto"/>
        </w:rPr>
      </w:pPr>
    </w:p>
    <w:p>
      <w:pPr>
        <w:ind w:left="1140" w:hanging="379"/>
        <w:spacing w:after="0" w:line="250" w:lineRule="auto"/>
        <w:tabs>
          <w:tab w:leader="none" w:pos="1120" w:val="left"/>
        </w:tabs>
        <w:rPr>
          <w:sz w:val="20"/>
          <w:szCs w:val="20"/>
          <w:color w:val="auto"/>
        </w:rPr>
      </w:pPr>
      <w:r>
        <w:rPr>
          <w:rFonts w:ascii="Times New Roman" w:cs="Times New Roman" w:eastAsia="Times New Roman" w:hAnsi="Times New Roman"/>
          <w:sz w:val="18"/>
          <w:szCs w:val="18"/>
          <w:color w:val="auto"/>
        </w:rPr>
        <w:t>(1)</w:t>
        <w:tab/>
        <w:t>Any contract, instruction or written plan for the purchase or sale of securities of the registrant intended to satisfy the affirmative defense conditions of SEC Rule 10b5–1(c) (a “Rule 10b5–1 trading arrangement”); or</w:t>
      </w:r>
    </w:p>
    <w:p>
      <w:pPr>
        <w:spacing w:after="0" w:line="1" w:lineRule="exact"/>
        <w:rPr>
          <w:sz w:val="20"/>
          <w:szCs w:val="20"/>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“non–Rule 10b5–1 trading arrangement” as defined in paragraph (c) of Item 408 of SEC Regulation S-K.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10040" w:type="dxa"/>
            <w:vAlign w:val="bottom"/>
            <w:gridSpan w:val="8"/>
          </w:tcPr>
          <w:p>
            <w:pPr>
              <w:spacing w:after="0"/>
              <w:rPr>
                <w:rFonts w:ascii="Times New Roman" w:cs="Times New Roman" w:eastAsia="Times New Roman" w:hAnsi="Times New Roman"/>
                <w:sz w:val="18"/>
                <w:szCs w:val="18"/>
                <w:color w:val="0000FF"/>
                <w:w w:val="99"/>
              </w:rPr>
            </w:pPr>
            <w:hyperlink r:id="rId888">
              <w:r>
                <w:rPr>
                  <w:rFonts w:ascii="Times New Roman" w:cs="Times New Roman" w:eastAsia="Times New Roman" w:hAnsi="Times New Roman"/>
                  <w:sz w:val="18"/>
                  <w:szCs w:val="18"/>
                  <w:color w:val="0000FF"/>
                  <w:w w:val="99"/>
                </w:rPr>
                <w:t>Amended Articles of Incorporation of the Registrant (incorporated by reference to Exhibit 3.1 to Registrant’s Quarterly Report on Form 10-</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8"/>
          </w:tcPr>
          <w:p>
            <w:pPr>
              <w:spacing w:after="0" w:line="196" w:lineRule="exact"/>
              <w:rPr>
                <w:rFonts w:ascii="Times New Roman" w:cs="Times New Roman" w:eastAsia="Times New Roman" w:hAnsi="Times New Roman"/>
                <w:sz w:val="18"/>
                <w:szCs w:val="18"/>
                <w:color w:val="0000FF"/>
              </w:rPr>
            </w:pPr>
            <w:hyperlink r:id="rId888">
              <w:r>
                <w:rPr>
                  <w:rFonts w:ascii="Times New Roman" w:cs="Times New Roman" w:eastAsia="Times New Roman" w:hAnsi="Times New Roman"/>
                  <w:sz w:val="18"/>
                  <w:szCs w:val="18"/>
                  <w:color w:val="0000FF"/>
                </w:rPr>
                <w:t>Q filed with the Commission on October 25, 2017).</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10040" w:type="dxa"/>
            <w:vAlign w:val="bottom"/>
            <w:gridSpan w:val="8"/>
          </w:tcPr>
          <w:p>
            <w:pPr>
              <w:spacing w:after="0"/>
              <w:rPr>
                <w:rFonts w:ascii="Times New Roman" w:cs="Times New Roman" w:eastAsia="Times New Roman" w:hAnsi="Times New Roman"/>
                <w:sz w:val="18"/>
                <w:szCs w:val="18"/>
                <w:color w:val="0000FF"/>
              </w:rPr>
            </w:pPr>
            <w:hyperlink r:id="rId889">
              <w:r>
                <w:rPr>
                  <w:rFonts w:ascii="Times New Roman" w:cs="Times New Roman" w:eastAsia="Times New Roman" w:hAnsi="Times New Roman"/>
                  <w:sz w:val="18"/>
                  <w:szCs w:val="18"/>
                  <w:color w:val="0000FF"/>
                </w:rPr>
                <w:t>Amendment to Articles of Incorporation of the Registrant (incorporated by reference to Exhibit 3.1(b) to Registrant’s Annual Report on</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6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8"/>
          </w:tcPr>
          <w:p>
            <w:pPr>
              <w:spacing w:after="0" w:line="196" w:lineRule="exact"/>
              <w:rPr>
                <w:rFonts w:ascii="Times New Roman" w:cs="Times New Roman" w:eastAsia="Times New Roman" w:hAnsi="Times New Roman"/>
                <w:sz w:val="18"/>
                <w:szCs w:val="18"/>
                <w:color w:val="0000FF"/>
              </w:rPr>
            </w:pPr>
            <w:hyperlink r:id="rId889">
              <w:r>
                <w:rPr>
                  <w:rFonts w:ascii="Times New Roman" w:cs="Times New Roman" w:eastAsia="Times New Roman" w:hAnsi="Times New Roman"/>
                  <w:sz w:val="18"/>
                  <w:szCs w:val="18"/>
                  <w:color w:val="0000FF"/>
                </w:rPr>
                <w:t>Form 10-K filed with the Commission on February 27, 2024).</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40" w:type="dxa"/>
            <w:vAlign w:val="bottom"/>
            <w:gridSpan w:val="8"/>
          </w:tcPr>
          <w:p>
            <w:pPr>
              <w:spacing w:after="0"/>
              <w:rPr>
                <w:rFonts w:ascii="Times New Roman" w:cs="Times New Roman" w:eastAsia="Times New Roman" w:hAnsi="Times New Roman"/>
                <w:sz w:val="18"/>
                <w:szCs w:val="18"/>
                <w:color w:val="0000FF"/>
              </w:rPr>
            </w:pPr>
            <w:hyperlink r:id="rId890">
              <w:r>
                <w:rPr>
                  <w:rFonts w:ascii="Times New Roman" w:cs="Times New Roman" w:eastAsia="Times New Roman" w:hAnsi="Times New Roman"/>
                  <w:sz w:val="18"/>
                  <w:szCs w:val="18"/>
                  <w:color w:val="0000FF"/>
                </w:rPr>
                <w:t>Amended and Restated Code of Regulations of the Registrant (incorporated by reference to Exhibit 3.2 to Registrant's Quarterly Report on</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8"/>
          </w:tcPr>
          <w:p>
            <w:pPr>
              <w:spacing w:after="0" w:line="196" w:lineRule="exact"/>
              <w:rPr>
                <w:rFonts w:ascii="Times New Roman" w:cs="Times New Roman" w:eastAsia="Times New Roman" w:hAnsi="Times New Roman"/>
                <w:sz w:val="18"/>
                <w:szCs w:val="18"/>
                <w:color w:val="0000FF"/>
              </w:rPr>
            </w:pPr>
            <w:hyperlink r:id="rId890">
              <w:r>
                <w:rPr>
                  <w:rFonts w:ascii="Times New Roman" w:cs="Times New Roman" w:eastAsia="Times New Roman" w:hAnsi="Times New Roman"/>
                  <w:sz w:val="18"/>
                  <w:szCs w:val="18"/>
                  <w:color w:val="0000FF"/>
                </w:rPr>
                <w:t>Form 10-Q filed with the Commission on July 26, 2017).</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EE"/>
            </w:tcBorders>
            <w:gridSpan w:val="2"/>
            <w:shd w:val="clear" w:color="auto" w:fill="0000FF"/>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40" w:type="dxa"/>
            <w:vAlign w:val="bottom"/>
            <w:gridSpan w:val="8"/>
          </w:tcPr>
          <w:p>
            <w:pPr>
              <w:spacing w:after="0"/>
              <w:rPr>
                <w:rFonts w:ascii="Times New Roman" w:cs="Times New Roman" w:eastAsia="Times New Roman" w:hAnsi="Times New Roman"/>
                <w:sz w:val="18"/>
                <w:szCs w:val="18"/>
                <w:color w:val="0000FF"/>
              </w:rPr>
            </w:pPr>
            <w:hyperlink r:id="rId891">
              <w:r>
                <w:rPr>
                  <w:rFonts w:ascii="Times New Roman" w:cs="Times New Roman" w:eastAsia="Times New Roman" w:hAnsi="Times New Roman"/>
                  <w:sz w:val="18"/>
                  <w:szCs w:val="18"/>
                  <w:color w:val="0000FF"/>
                </w:rPr>
                <w:t>Description of Registrant’s Common Stock (incorporated by reference to Exhibit 4.1 to Registrant's Annual Report on Form 10-K filed</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4840" w:type="dxa"/>
            <w:vAlign w:val="bottom"/>
            <w:gridSpan w:val="4"/>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8"/>
          </w:tcPr>
          <w:p>
            <w:pPr>
              <w:spacing w:after="0" w:line="196" w:lineRule="exact"/>
              <w:rPr>
                <w:rFonts w:ascii="Times New Roman" w:cs="Times New Roman" w:eastAsia="Times New Roman" w:hAnsi="Times New Roman"/>
                <w:sz w:val="18"/>
                <w:szCs w:val="18"/>
                <w:color w:val="0000FF"/>
              </w:rPr>
            </w:pPr>
            <w:hyperlink r:id="rId891">
              <w:r>
                <w:rPr>
                  <w:rFonts w:ascii="Times New Roman" w:cs="Times New Roman" w:eastAsia="Times New Roman" w:hAnsi="Times New Roman"/>
                  <w:sz w:val="18"/>
                  <w:szCs w:val="18"/>
                  <w:color w:val="0000FF"/>
                </w:rPr>
                <w:t>with the Commission on February 26, 2020).</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40" w:type="dxa"/>
            <w:vAlign w:val="bottom"/>
            <w:gridSpan w:val="8"/>
          </w:tcPr>
          <w:p>
            <w:pPr>
              <w:spacing w:after="0"/>
              <w:rPr>
                <w:rFonts w:ascii="Times New Roman" w:cs="Times New Roman" w:eastAsia="Times New Roman" w:hAnsi="Times New Roman"/>
                <w:sz w:val="18"/>
                <w:szCs w:val="18"/>
                <w:color w:val="0000FF"/>
              </w:rPr>
            </w:pPr>
            <w:hyperlink r:id="rId892">
              <w:r>
                <w:rPr>
                  <w:rFonts w:ascii="Times New Roman" w:cs="Times New Roman" w:eastAsia="Times New Roman" w:hAnsi="Times New Roman"/>
                  <w:sz w:val="18"/>
                  <w:szCs w:val="18"/>
                  <w:color w:val="0000FF"/>
                </w:rPr>
                <w:t>Employment Agreement between Farmers &amp; Merchants State Bank and Lars B. Eller dated as of September 1, 2024 (incorporated by</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5480" w:type="dxa"/>
            <w:vAlign w:val="bottom"/>
            <w:tcBorders>
              <w:left w:val="single" w:sz="8" w:color="0000FF"/>
            </w:tcBorders>
            <w:gridSpan w:val="5"/>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8"/>
          </w:tcPr>
          <w:p>
            <w:pPr>
              <w:spacing w:after="0" w:line="196" w:lineRule="exact"/>
              <w:rPr>
                <w:rFonts w:ascii="Times New Roman" w:cs="Times New Roman" w:eastAsia="Times New Roman" w:hAnsi="Times New Roman"/>
                <w:sz w:val="18"/>
                <w:szCs w:val="18"/>
                <w:color w:val="0000FF"/>
              </w:rPr>
            </w:pPr>
            <w:hyperlink r:id="rId892">
              <w:r>
                <w:rPr>
                  <w:rFonts w:ascii="Times New Roman" w:cs="Times New Roman" w:eastAsia="Times New Roman" w:hAnsi="Times New Roman"/>
                  <w:sz w:val="18"/>
                  <w:szCs w:val="18"/>
                  <w:color w:val="0000FF"/>
                </w:rPr>
                <w:t>reference to 10.1 to Registrant's Current Report on Form 8-K filed with the Commission on September 3, 2024).</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5480" w:type="dxa"/>
            <w:vAlign w:val="bottom"/>
            <w:tcBorders>
              <w:left w:val="single" w:sz="8" w:color="0000FF"/>
            </w:tcBorders>
            <w:gridSpan w:val="5"/>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Rule 13-a-14(a) Certification - CEO</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7460" w:type="dxa"/>
            <w:vAlign w:val="bottom"/>
            <w:tcBorders>
              <w:left w:val="single" w:sz="8" w:color="0000FF"/>
            </w:tcBorders>
            <w:gridSpan w:val="6"/>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Rule 13-a-14(a) Certification - CFO</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7460" w:type="dxa"/>
            <w:vAlign w:val="bottom"/>
            <w:gridSpan w:val="6"/>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Section 1350 Certification - CEO</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FF"/>
            </w:tcBorders>
            <w:shd w:val="clear" w:color="auto" w:fill="0000FF"/>
          </w:tcPr>
          <w:p>
            <w:pPr>
              <w:spacing w:after="0" w:line="20" w:lineRule="exact"/>
              <w:rPr>
                <w:sz w:val="1"/>
                <w:szCs w:val="1"/>
                <w:color w:val="auto"/>
              </w:rPr>
            </w:pPr>
          </w:p>
        </w:tc>
        <w:tc>
          <w:tcPr>
            <w:tcW w:w="7640" w:type="dxa"/>
            <w:vAlign w:val="bottom"/>
            <w:tcBorders>
              <w:left w:val="single" w:sz="8" w:color="0000FF"/>
            </w:tcBorders>
            <w:gridSpan w:val="7"/>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Section 1350 Certification - CFO</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0" w:type="dxa"/>
            <w:vAlign w:val="bottom"/>
            <w:tcBorders>
              <w:right w:val="single" w:sz="8" w:color="0000EE"/>
            </w:tcBorders>
            <w:shd w:val="clear" w:color="auto" w:fill="0000FF"/>
          </w:tcPr>
          <w:p>
            <w:pPr>
              <w:spacing w:after="0" w:line="20" w:lineRule="exact"/>
              <w:rPr>
                <w:sz w:val="1"/>
                <w:szCs w:val="1"/>
                <w:color w:val="auto"/>
              </w:rPr>
            </w:pPr>
          </w:p>
        </w:tc>
        <w:tc>
          <w:tcPr>
            <w:tcW w:w="7640" w:type="dxa"/>
            <w:vAlign w:val="bottom"/>
            <w:gridSpan w:val="7"/>
          </w:tcPr>
          <w:p>
            <w:pPr>
              <w:spacing w:after="0" w:line="20" w:lineRule="exact"/>
              <w:rPr>
                <w:sz w:val="1"/>
                <w:szCs w:val="1"/>
                <w:color w:val="auto"/>
              </w:rPr>
            </w:pPr>
          </w:p>
        </w:tc>
      </w:tr>
      <w:tr>
        <w:trPr>
          <w:trHeight w:val="46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43"/>
        </w:trPr>
        <w:tc>
          <w:tcPr>
            <w:tcW w:w="1160" w:type="dxa"/>
            <w:vAlign w:val="bottom"/>
          </w:tcPr>
          <w:p>
            <w:pPr>
              <w:spacing w:after="0"/>
              <w:rPr>
                <w:sz w:val="21"/>
                <w:szCs w:val="21"/>
                <w:color w:val="auto"/>
              </w:rPr>
            </w:pPr>
          </w:p>
        </w:tc>
        <w:tc>
          <w:tcPr>
            <w:tcW w:w="10040" w:type="dxa"/>
            <w:vAlign w:val="bottom"/>
            <w:gridSpan w:val="8"/>
          </w:tcPr>
          <w:p>
            <w:pPr>
              <w:spacing w:after="0" w:line="243" w:lineRule="exact"/>
              <w:rPr>
                <w:sz w:val="20"/>
                <w:szCs w:val="20"/>
                <w:color w:val="auto"/>
              </w:rPr>
            </w:pPr>
            <w:r>
              <w:rPr>
                <w:rFonts w:ascii="Times New Roman" w:cs="Times New Roman" w:eastAsia="Times New Roman" w:hAnsi="Times New Roman"/>
                <w:sz w:val="18"/>
                <w:szCs w:val="18"/>
                <w:color w:val="auto"/>
              </w:rPr>
              <w:t xml:space="preserve">embedded within the Inline XBRL document. </w:t>
            </w:r>
            <w:r>
              <w:rPr>
                <w:rFonts w:ascii="Times New Roman" w:cs="Times New Roman" w:eastAsia="Times New Roman" w:hAnsi="Times New Roman"/>
                <w:sz w:val="24"/>
                <w:szCs w:val="24"/>
                <w:color w:val="auto"/>
                <w:vertAlign w:val="superscript"/>
              </w:rPr>
              <w:t>(1)</w:t>
            </w:r>
          </w:p>
        </w:tc>
      </w:tr>
      <w:tr>
        <w:trPr>
          <w:trHeight w:val="28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Schema with Embedded Linkbase Documents. </w:t>
            </w:r>
            <w:r>
              <w:rPr>
                <w:rFonts w:ascii="Times New Roman" w:cs="Times New Roman" w:eastAsia="Times New Roman" w:hAnsi="Times New Roman"/>
                <w:sz w:val="24"/>
                <w:szCs w:val="24"/>
                <w:color w:val="auto"/>
                <w:vertAlign w:val="superscript"/>
              </w:rPr>
              <w:t>(1)</w:t>
            </w:r>
          </w:p>
        </w:tc>
      </w:tr>
    </w:tbl>
    <w:p>
      <w:pPr>
        <w:ind w:left="1160" w:right="20" w:hanging="1139"/>
        <w:spacing w:after="0" w:line="258" w:lineRule="auto"/>
        <w:tabs>
          <w:tab w:leader="none" w:pos="1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September 30, 2024, has been formatted in Inline XBRL.</w:t>
      </w:r>
    </w:p>
    <w:p>
      <w:pPr>
        <w:spacing w:after="0" w:line="200" w:lineRule="exact"/>
        <w:rPr>
          <w:rFonts w:ascii="Times New Roman" w:cs="Times New Roman" w:eastAsia="Times New Roman" w:hAnsi="Times New Roman"/>
          <w:sz w:val="18"/>
          <w:szCs w:val="18"/>
          <w:color w:val="auto"/>
        </w:rPr>
      </w:pPr>
    </w:p>
    <w:p>
      <w:pPr>
        <w:spacing w:after="0" w:line="225" w:lineRule="exact"/>
        <w:rPr>
          <w:rFonts w:ascii="Times New Roman" w:cs="Times New Roman" w:eastAsia="Times New Roman" w:hAnsi="Times New Roman"/>
          <w:sz w:val="18"/>
          <w:szCs w:val="18"/>
          <w:color w:val="auto"/>
        </w:rPr>
      </w:pPr>
    </w:p>
    <w:p>
      <w:pPr>
        <w:jc w:val="both"/>
        <w:ind w:firstLine="8"/>
        <w:spacing w:after="0" w:line="251" w:lineRule="auto"/>
        <w:tabs>
          <w:tab w:leader="none" w:pos="184"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Farmers &amp; Merchants Bancorp, Inc.,</w:t>
            </w:r>
          </w:p>
        </w:tc>
      </w:tr>
      <w:tr>
        <w:trPr>
          <w:trHeight w:val="493"/>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6, 2024</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Lars B. Eller</w:t>
            </w:r>
          </w:p>
        </w:tc>
      </w:tr>
      <w:tr>
        <w:trPr>
          <w:trHeight w:val="234"/>
        </w:trPr>
        <w:tc>
          <w:tcPr>
            <w:tcW w:w="6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Lars B. Eller</w:t>
            </w:r>
          </w:p>
        </w:tc>
      </w:tr>
      <w:tr>
        <w:trPr>
          <w:trHeight w:val="238"/>
        </w:trPr>
        <w:tc>
          <w:tcPr>
            <w:tcW w:w="6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Date:</w:t>
            </w:r>
          </w:p>
        </w:tc>
        <w:tc>
          <w:tcPr>
            <w:tcW w:w="2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6, 2024</w:t>
            </w:r>
          </w:p>
        </w:tc>
        <w:tc>
          <w:tcPr>
            <w:tcW w:w="2300" w:type="dxa"/>
            <w:vAlign w:val="bottom"/>
          </w:tcPr>
          <w:p>
            <w:pPr>
              <w:spacing w:after="0"/>
              <w:rPr>
                <w:sz w:val="20"/>
                <w:szCs w:val="20"/>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Barbara J. Britenriker</w:t>
            </w:r>
          </w:p>
        </w:tc>
        <w:tc>
          <w:tcPr>
            <w:tcW w:w="400" w:type="dxa"/>
            <w:vAlign w:val="bottom"/>
          </w:tcPr>
          <w:p>
            <w:pPr>
              <w:spacing w:after="0"/>
              <w:rPr>
                <w:sz w:val="20"/>
                <w:szCs w:val="20"/>
                <w:color w:val="auto"/>
              </w:rPr>
            </w:pPr>
          </w:p>
        </w:tc>
      </w:tr>
      <w:tr>
        <w:trPr>
          <w:trHeight w:val="234"/>
        </w:trPr>
        <w:tc>
          <w:tcPr>
            <w:tcW w:w="14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Barbara J. Britenriker</w:t>
            </w:r>
          </w:p>
        </w:tc>
        <w:tc>
          <w:tcPr>
            <w:tcW w:w="400" w:type="dxa"/>
            <w:vAlign w:val="bottom"/>
          </w:tcPr>
          <w:p>
            <w:pPr>
              <w:spacing w:after="0"/>
              <w:rPr>
                <w:sz w:val="20"/>
                <w:szCs w:val="20"/>
                <w:color w:val="auto"/>
              </w:rPr>
            </w:pPr>
          </w:p>
        </w:tc>
      </w:tr>
      <w:tr>
        <w:trPr>
          <w:trHeight w:val="238"/>
        </w:trPr>
        <w:tc>
          <w:tcPr>
            <w:tcW w:w="14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Executive Vice-President and</w:t>
            </w:r>
          </w:p>
        </w:tc>
        <w:tc>
          <w:tcPr>
            <w:tcW w:w="400" w:type="dxa"/>
            <w:vAlign w:val="bottom"/>
          </w:tcPr>
          <w:p>
            <w:pPr>
              <w:spacing w:after="0"/>
              <w:rPr>
                <w:sz w:val="20"/>
                <w:szCs w:val="20"/>
                <w:color w:val="auto"/>
              </w:rPr>
            </w:pPr>
          </w:p>
        </w:tc>
      </w:tr>
      <w:tr>
        <w:trPr>
          <w:trHeight w:val="243"/>
        </w:trPr>
        <w:tc>
          <w:tcPr>
            <w:tcW w:w="14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Chief Financial Officer</w:t>
            </w:r>
          </w:p>
        </w:tc>
        <w:tc>
          <w:tcPr>
            <w:tcW w:w="400" w:type="dxa"/>
            <w:vAlign w:val="bottom"/>
          </w:tcPr>
          <w:p>
            <w:pPr>
              <w:spacing w:after="0"/>
              <w:rPr>
                <w:sz w:val="21"/>
                <w:szCs w:val="21"/>
                <w:color w:val="auto"/>
              </w:rPr>
            </w:pPr>
          </w:p>
        </w:tc>
      </w:tr>
      <w:tr>
        <w:trPr>
          <w:trHeight w:val="797"/>
        </w:trPr>
        <w:tc>
          <w:tcPr>
            <w:tcW w:w="14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3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82</w:t>
            </w:r>
          </w:p>
        </w:tc>
        <w:tc>
          <w:tcPr>
            <w:tcW w:w="4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3"/>
        </w:trPr>
        <w:tc>
          <w:tcPr>
            <w:tcW w:w="14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Lars B. Eller, President and CEO of Farmers &amp; Merchants Bancorp, Inc., certify that:</w:t>
      </w:r>
    </w:p>
    <w:p>
      <w:pPr>
        <w:spacing w:after="0" w:line="225"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Farmers &amp; Merchants Bancorp, Inc.;</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1680" w:val="left"/>
          <w:tab w:leader="none" w:pos="7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2024</w:t>
      </w:r>
      <w:r>
        <w:rPr>
          <w:sz w:val="20"/>
          <w:szCs w:val="20"/>
          <w:color w:val="auto"/>
        </w:rPr>
        <w:tab/>
      </w:r>
      <w:r>
        <w:rPr>
          <w:rFonts w:ascii="Times New Roman" w:cs="Times New Roman" w:eastAsia="Times New Roman" w:hAnsi="Times New Roman"/>
          <w:sz w:val="17"/>
          <w:szCs w:val="17"/>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Lars B. Eller</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Barbara J. Britenriker, Executive Vice President and CFO of Farmers &amp; Merchants Bancorp, Inc., certify that:</w:t>
      </w:r>
    </w:p>
    <w:p>
      <w:pPr>
        <w:spacing w:after="0" w:line="225"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Farmers &amp; Merchants Bancorp, Inc.;</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November 6, 2024</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205"/>
        </w:trPr>
        <w:tc>
          <w:tcPr>
            <w:tcW w:w="106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3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Barbara J. Britenriker</w:t>
            </w:r>
          </w:p>
        </w:tc>
      </w:tr>
      <w:tr>
        <w:trPr>
          <w:trHeight w:val="230"/>
        </w:trPr>
        <w:tc>
          <w:tcPr>
            <w:tcW w:w="10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106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40"/>
        </w:trPr>
        <w:tc>
          <w:tcPr>
            <w:tcW w:w="106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Farmers &amp; Merchants Bancorp, Inc. on Form 10-Q for the period ending September 30, 2024, as filed with the Securities and Exchange Commission ("the report"), I, Lars B. Eller, President and Chief Executive Officer, certify, pursuant to 18 U.S.C. Section 1350, as adopted pursuant to Section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95" w:lineRule="exact"/>
        <w:rPr>
          <w:sz w:val="20"/>
          <w:szCs w:val="20"/>
          <w:color w:val="auto"/>
        </w:rPr>
      </w:pPr>
    </w:p>
    <w:p>
      <w:pPr>
        <w:ind w:left="20"/>
        <w:spacing w:after="0"/>
        <w:tabs>
          <w:tab w:leader="none" w:pos="1680" w:val="left"/>
          <w:tab w:leader="none" w:pos="7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2024</w:t>
      </w:r>
      <w:r>
        <w:rPr>
          <w:sz w:val="20"/>
          <w:szCs w:val="20"/>
          <w:color w:val="auto"/>
        </w:rPr>
        <w:tab/>
      </w:r>
      <w:r>
        <w:rPr>
          <w:rFonts w:ascii="Times New Roman" w:cs="Times New Roman" w:eastAsia="Times New Roman" w:hAnsi="Times New Roman"/>
          <w:sz w:val="17"/>
          <w:szCs w:val="17"/>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0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Lars B. Eller</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1241425</wp:posOffset>
            </wp:positionV>
            <wp:extent cx="7157720" cy="425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Farmers &amp; Merchants Bancorp, Inc. on Form 10-Q for the period ending September 30, 2024, as filed with the Securities and Exchange Commission ("the report"), I, Barbara J. Britenriker, Executive Vice President and Chief Financial Officer, certify, pursuant to 18 U.S.C. Section 1350, as adopted pursuant to Section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760" w:hanging="378"/>
        <w:spacing w:after="0" w:line="26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November 6, 2024</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J. Britenriker</w:t>
            </w:r>
          </w:p>
        </w:tc>
      </w:tr>
      <w:tr>
        <w:trPr>
          <w:trHeight w:val="205"/>
        </w:trPr>
        <w:tc>
          <w:tcPr>
            <w:tcW w:w="104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3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Barbara J. Britenriker</w:t>
            </w:r>
          </w:p>
        </w:tc>
      </w:tr>
      <w:tr>
        <w:trPr>
          <w:trHeight w:val="229"/>
        </w:trPr>
        <w:tc>
          <w:tcPr>
            <w:tcW w:w="10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104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lvl w:ilvl="1">
      <w:lvlJc w:val="left"/>
      <w:lvlText w:val="%2."/>
      <w:numFmt w:val="lowerLetter"/>
      <w:start w:val="1"/>
    </w:lvl>
  </w:abstractNum>
  <w:abstractNum w:abstractNumId="5">
    <w:nsid w:val="109CF92E"/>
    <w:multiLevelType w:val="hybridMultilevel"/>
    <w:lvl w:ilvl="0">
      <w:lvlJc w:val="left"/>
      <w:lvlText w:val="%1."/>
      <w:numFmt w:val="decimal"/>
      <w:start w:val="7"/>
    </w:lvl>
    <w:lvl w:ilvl="1">
      <w:lvlJc w:val="left"/>
      <w:lvlText w:val="%2."/>
      <w:numFmt w:val="lowerLetter"/>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lvl w:ilvl="1">
      <w:lvlJc w:val="left"/>
      <w:lvlText w:val="o"/>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2"/>
    </w:lvl>
  </w:abstractNum>
  <w:abstractNum w:abstractNumId="15">
    <w:nsid w:val="3F2DBA31"/>
    <w:multiLevelType w:val="hybridMultilevel"/>
    <w:lvl w:ilvl="0">
      <w:lvlJc w:val="left"/>
      <w:lvlText w:val="%1"/>
      <w:numFmt w:val="decimal"/>
      <w:start w:val="1"/>
    </w:lvl>
    <w:lvl w:ilvl="1">
      <w:lvlJc w:val="left"/>
      <w:lvlText w:val="%2"/>
      <w:numFmt w:val="decimal"/>
      <w:start w:val="104"/>
    </w:lvl>
  </w:abstractNum>
  <w:abstractNum w:abstractNumId="16">
    <w:nsid w:val="7C83E458"/>
    <w:multiLevelType w:val="hybridMultilevel"/>
    <w:lvl w:ilvl="0">
      <w:lvlJc w:val="left"/>
      <w:lvlText w:val="(%1)"/>
      <w:numFmt w:val="decimal"/>
      <w:start w:val="1"/>
    </w:lvl>
    <w:lvl w:ilvl="1">
      <w:lvlJc w:val="left"/>
      <w:lvlText w:val="%2"/>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93" Type="http://schemas.openxmlformats.org/officeDocument/2006/relationships/image" Target="media/image881.png"/><Relationship Id="rId894" Type="http://schemas.openxmlformats.org/officeDocument/2006/relationships/image" Target="media/image882.png"/><Relationship Id="rId895" Type="http://schemas.openxmlformats.org/officeDocument/2006/relationships/image" Target="media/image883.png"/><Relationship Id="rId896" Type="http://schemas.openxmlformats.org/officeDocument/2006/relationships/image" Target="media/image884.png"/><Relationship Id="rId897" Type="http://schemas.openxmlformats.org/officeDocument/2006/relationships/image" Target="media/image885.png"/><Relationship Id="rId898" Type="http://schemas.openxmlformats.org/officeDocument/2006/relationships/image" Target="media/image886.png"/><Relationship Id="rId899" Type="http://schemas.openxmlformats.org/officeDocument/2006/relationships/image" Target="media/image887.png"/><Relationship Id="rId900" Type="http://schemas.openxmlformats.org/officeDocument/2006/relationships/image" Target="media/image888.png"/><Relationship Id="rId901" Type="http://schemas.openxmlformats.org/officeDocument/2006/relationships/image" Target="media/image889.png"/><Relationship Id="rId902" Type="http://schemas.openxmlformats.org/officeDocument/2006/relationships/image" Target="media/image890.png"/><Relationship Id="rId888" Type="http://schemas.openxmlformats.org/officeDocument/2006/relationships/hyperlink" Target="https://www.sec.gov/Archives/edgar/data/792966/000119312517318709/d447990dex31.htm" TargetMode="External"/><Relationship Id="rId889" Type="http://schemas.openxmlformats.org/officeDocument/2006/relationships/hyperlink" Target="https://www.sec.gov/Archives/edgar/data/792966/000095017024021373/fmao-ex3_1b.htm" TargetMode="External"/><Relationship Id="rId890" Type="http://schemas.openxmlformats.org/officeDocument/2006/relationships/hyperlink" Target="https://www.sec.gov/Archives/edgar/data/792966/000119312517235925/d422994dex32.htm" TargetMode="External"/><Relationship Id="rId891" Type="http://schemas.openxmlformats.org/officeDocument/2006/relationships/hyperlink" Target="https://www.sec.gov/Archives/edgar/data/792966/000156459020006695/fmao-ex41_282.htm" TargetMode="External"/><Relationship Id="rId892" Type="http://schemas.openxmlformats.org/officeDocument/2006/relationships/hyperlink" Target="https://www.sec.gov/Archives/edgar/data/792966/000095017024102663/fmao-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2024-11-06T14:20:37Z</dcterms:created>
  <dcterms:modified xsi:type="dcterms:W3CDTF">2024-11-06T14:20:37Z</dcterms:modified>
</cp:coreProperties>
</file>